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80D44" w14:textId="77777777" w:rsidR="00775CF4" w:rsidRPr="009D0D97" w:rsidRDefault="00775CF4" w:rsidP="00775CF4">
      <w:pPr>
        <w:spacing w:line="480" w:lineRule="auto"/>
        <w:rPr>
          <w:sz w:val="32"/>
          <w:szCs w:val="32"/>
        </w:rPr>
      </w:pPr>
      <w:r>
        <w:rPr>
          <w:sz w:val="32"/>
          <w:szCs w:val="32"/>
        </w:rPr>
        <w:t xml:space="preserve">The </w:t>
      </w:r>
      <w:r w:rsidRPr="009D0D97">
        <w:rPr>
          <w:sz w:val="32"/>
          <w:szCs w:val="32"/>
        </w:rPr>
        <w:t>Eucharistic Locus of the Presbyterate in Aquinas and Zizioulas: A Proposal for a Theology of the Priesthood</w:t>
      </w:r>
    </w:p>
    <w:p w14:paraId="6191F8AA" w14:textId="77777777" w:rsidR="00775CF4" w:rsidRPr="009D0D97" w:rsidRDefault="00775CF4" w:rsidP="00775CF4">
      <w:pPr>
        <w:spacing w:line="480" w:lineRule="auto"/>
        <w:rPr>
          <w:sz w:val="28"/>
          <w:szCs w:val="28"/>
        </w:rPr>
      </w:pPr>
      <w:r w:rsidRPr="009D0D97">
        <w:rPr>
          <w:sz w:val="28"/>
          <w:szCs w:val="28"/>
        </w:rPr>
        <w:t>James Dominic Rooney, O</w:t>
      </w:r>
      <w:r>
        <w:rPr>
          <w:sz w:val="28"/>
          <w:szCs w:val="28"/>
        </w:rPr>
        <w:t>.</w:t>
      </w:r>
      <w:r w:rsidRPr="009D0D97">
        <w:rPr>
          <w:sz w:val="28"/>
          <w:szCs w:val="28"/>
        </w:rPr>
        <w:t>P</w:t>
      </w:r>
      <w:r>
        <w:rPr>
          <w:sz w:val="28"/>
          <w:szCs w:val="28"/>
        </w:rPr>
        <w:t>.</w:t>
      </w:r>
    </w:p>
    <w:p w14:paraId="37FD817A" w14:textId="77777777" w:rsidR="00775CF4" w:rsidRDefault="00775CF4" w:rsidP="00775CF4">
      <w:pPr>
        <w:spacing w:line="480" w:lineRule="auto"/>
        <w:ind w:firstLine="720"/>
        <w:rPr>
          <w:b/>
          <w:iCs/>
        </w:rPr>
      </w:pPr>
    </w:p>
    <w:p w14:paraId="135CF87E" w14:textId="77777777" w:rsidR="00775CF4" w:rsidRPr="009D0D97" w:rsidRDefault="00775CF4" w:rsidP="00775CF4">
      <w:pPr>
        <w:spacing w:line="480" w:lineRule="auto"/>
      </w:pPr>
      <w:r w:rsidRPr="009D0D97">
        <w:t>ABSTRACT:</w:t>
      </w:r>
    </w:p>
    <w:p w14:paraId="70B5C513" w14:textId="77777777" w:rsidR="00775CF4" w:rsidRDefault="00775CF4" w:rsidP="00775CF4">
      <w:pPr>
        <w:spacing w:line="480" w:lineRule="auto"/>
        <w:rPr>
          <w:iCs/>
        </w:rPr>
      </w:pPr>
      <w:r>
        <w:rPr>
          <w:iCs/>
        </w:rPr>
        <w:t xml:space="preserve">The contemporary revival of Eucharistic ecclesiology has occurred alongside a new understanding of the episcopacy as a distinct grade of holy orders. Both of these developments make possible a new synthetic understanding </w:t>
      </w:r>
      <w:r w:rsidRPr="00774158">
        <w:rPr>
          <w:iCs/>
        </w:rPr>
        <w:t>of the presbyterate</w:t>
      </w:r>
      <w:r>
        <w:rPr>
          <w:iCs/>
        </w:rPr>
        <w:t xml:space="preserve">, building on classical theological approaches to orders that incorporate </w:t>
      </w:r>
      <w:r w:rsidRPr="00774158">
        <w:rPr>
          <w:iCs/>
        </w:rPr>
        <w:t xml:space="preserve">both of these </w:t>
      </w:r>
      <w:r>
        <w:rPr>
          <w:iCs/>
        </w:rPr>
        <w:t xml:space="preserve">perspectives. </w:t>
      </w:r>
      <w:r w:rsidRPr="00774158">
        <w:rPr>
          <w:iCs/>
        </w:rPr>
        <w:t xml:space="preserve">In this </w:t>
      </w:r>
      <w:r>
        <w:rPr>
          <w:iCs/>
        </w:rPr>
        <w:t>essay</w:t>
      </w:r>
      <w:r w:rsidRPr="00774158">
        <w:rPr>
          <w:iCs/>
        </w:rPr>
        <w:t xml:space="preserve">, I will attempt to show how the theology of the presbyterate articulated by Thomas Aquinas might help supplement and be supplemented by that of </w:t>
      </w:r>
      <w:r>
        <w:rPr>
          <w:iCs/>
        </w:rPr>
        <w:t xml:space="preserve">John </w:t>
      </w:r>
      <w:r w:rsidRPr="00774158">
        <w:rPr>
          <w:iCs/>
        </w:rPr>
        <w:t xml:space="preserve">Zizioulas. </w:t>
      </w:r>
      <w:r>
        <w:rPr>
          <w:iCs/>
        </w:rPr>
        <w:t>The synthesis I propose</w:t>
      </w:r>
      <w:r w:rsidRPr="00774158">
        <w:rPr>
          <w:iCs/>
        </w:rPr>
        <w:t xml:space="preserve"> has the merit of corresponding with much of</w:t>
      </w:r>
      <w:r>
        <w:rPr>
          <w:iCs/>
        </w:rPr>
        <w:t xml:space="preserve"> the classical approach to orders</w:t>
      </w:r>
      <w:r w:rsidRPr="00774158">
        <w:rPr>
          <w:iCs/>
        </w:rPr>
        <w:t xml:space="preserve">, </w:t>
      </w:r>
      <w:r>
        <w:rPr>
          <w:iCs/>
        </w:rPr>
        <w:t>while advancing a new thesis on the Eucharistic role of the presbyterate that establishes a</w:t>
      </w:r>
      <w:r w:rsidRPr="00774158">
        <w:rPr>
          <w:iCs/>
        </w:rPr>
        <w:t xml:space="preserve"> clearer connection between contemporary ecclesiology and </w:t>
      </w:r>
      <w:r>
        <w:rPr>
          <w:iCs/>
        </w:rPr>
        <w:t>the theology of holy orders</w:t>
      </w:r>
      <w:r w:rsidRPr="00774158">
        <w:rPr>
          <w:iCs/>
        </w:rPr>
        <w:t>.</w:t>
      </w:r>
    </w:p>
    <w:p w14:paraId="085658CD" w14:textId="77777777" w:rsidR="00775CF4" w:rsidRDefault="00775CF4" w:rsidP="00775CF4">
      <w:pPr>
        <w:spacing w:line="480" w:lineRule="auto"/>
        <w:rPr>
          <w:iCs/>
        </w:rPr>
      </w:pPr>
    </w:p>
    <w:p w14:paraId="73995D5A" w14:textId="77777777" w:rsidR="00775CF4" w:rsidRPr="009D0D97" w:rsidRDefault="00775CF4" w:rsidP="00775CF4">
      <w:pPr>
        <w:spacing w:line="480" w:lineRule="auto"/>
        <w:rPr>
          <w:iCs/>
        </w:rPr>
      </w:pPr>
      <w:r w:rsidRPr="009D0D97">
        <w:rPr>
          <w:iCs/>
        </w:rPr>
        <w:t>KEYWORDS:</w:t>
      </w:r>
    </w:p>
    <w:p w14:paraId="5D9F3E54" w14:textId="77777777" w:rsidR="00775CF4" w:rsidRPr="009D0D97" w:rsidRDefault="00775CF4" w:rsidP="00775CF4">
      <w:pPr>
        <w:spacing w:line="480" w:lineRule="auto"/>
        <w:rPr>
          <w:iCs/>
        </w:rPr>
      </w:pPr>
      <w:r>
        <w:rPr>
          <w:iCs/>
        </w:rPr>
        <w:t>Holy orders</w:t>
      </w:r>
      <w:r w:rsidRPr="00B77089">
        <w:rPr>
          <w:iCs/>
        </w:rPr>
        <w:t xml:space="preserve">, presbyterate, episcopacy, Eucharist, </w:t>
      </w:r>
      <w:r>
        <w:rPr>
          <w:i/>
        </w:rPr>
        <w:t>communio</w:t>
      </w:r>
      <w:r w:rsidRPr="00B77089">
        <w:rPr>
          <w:iCs/>
        </w:rPr>
        <w:t xml:space="preserve"> ecclesiology</w:t>
      </w:r>
    </w:p>
    <w:p w14:paraId="41270770" w14:textId="77777777" w:rsidR="00775CF4" w:rsidRDefault="00775CF4" w:rsidP="00775CF4">
      <w:pPr>
        <w:pageBreakBefore/>
        <w:spacing w:line="480" w:lineRule="auto"/>
      </w:pPr>
      <w:r>
        <w:lastRenderedPageBreak/>
        <w:t>Of the theological developments at the Second Vatican Council, the articulation of a distinct theology of the episcopacy is among the most significant. In resolving the disputed question regarding the sacramental character of the ordination of bishops, centuries of doctrinal development regarding the episcopal character found their culmination.</w:t>
      </w:r>
      <w:r>
        <w:rPr>
          <w:rStyle w:val="FootnoteReference"/>
        </w:rPr>
        <w:footnoteReference w:id="1"/>
      </w:r>
      <w:r>
        <w:t xml:space="preserve"> In the post-conciliar period, one of the most noteworthy theological achievements has been the development of a Eucharistic ecclesiology.</w:t>
      </w:r>
      <w:r>
        <w:rPr>
          <w:rStyle w:val="FootnoteReference"/>
        </w:rPr>
        <w:footnoteReference w:id="2"/>
      </w:r>
      <w:r>
        <w:t xml:space="preserve"> What has been neglected in the midst of both of these developments is a coherent theology of the presbyterate which incorporates and reconciles both of these perspectives. After the conciliar developments, many aspects of traditional theology on the subject were put in question, further endangered by the uncertain results of historical-critical biblical and positive theology, which often undermined traditional positions on the presbyterate.</w:t>
      </w:r>
      <w:r>
        <w:rPr>
          <w:rStyle w:val="FootnoteReference"/>
        </w:rPr>
        <w:footnoteReference w:id="3"/>
      </w:r>
      <w:r>
        <w:t xml:space="preserve"> The nature of the presbyterate was unclear, and a certain kind of theological crisis ensued. </w:t>
      </w:r>
    </w:p>
    <w:p w14:paraId="1155353F" w14:textId="77777777" w:rsidR="00775CF4" w:rsidRDefault="00775CF4" w:rsidP="00775CF4">
      <w:pPr>
        <w:spacing w:line="480" w:lineRule="auto"/>
        <w:ind w:firstLine="720"/>
      </w:pPr>
      <w:r>
        <w:t xml:space="preserve">Theologians attempting to develop a theology of the presbyterate that corresponded to the developments of the council, especially as contained in the scant theological material relevant to the presbyterate in </w:t>
      </w:r>
      <w:r>
        <w:rPr>
          <w:i/>
          <w:iCs/>
        </w:rPr>
        <w:t xml:space="preserve">Lumen Gentium </w:t>
      </w:r>
      <w:r>
        <w:t xml:space="preserve">and </w:t>
      </w:r>
      <w:r>
        <w:rPr>
          <w:i/>
          <w:iCs/>
        </w:rPr>
        <w:t>Presbyterorum Ordinis</w:t>
      </w:r>
      <w:r>
        <w:t xml:space="preserve">, often focused on the presbyterate as sharing in the threefold office of Christ as priest, prophet, and king. This aimed to mirror language from the conciliar documents. Such a theory remains a dominant motif in recent work </w:t>
      </w:r>
      <w:r>
        <w:lastRenderedPageBreak/>
        <w:t>on the presbyterate as well.</w:t>
      </w:r>
      <w:r>
        <w:rPr>
          <w:rStyle w:val="FootnoteReference"/>
        </w:rPr>
        <w:footnoteReference w:id="4"/>
      </w:r>
      <w:r>
        <w:t xml:space="preserve"> Nevertheless, the conciliar documents themselves provide no distinct theological approach which facilitates reconciling the insights of a Eucharistic ecclesiology to the sacramental character of holy orders. Thus, while themes such as the three-fold office remain relevant, the theology of the presbyterate continues to exhibit lacunae in comparison with both theologies of the episcopate and diaconate, and continues to raise problems in clearly distinguishing the ministerial from the universal or common priesthood of the baptized.</w:t>
      </w:r>
      <w:r>
        <w:rPr>
          <w:rStyle w:val="FootnoteReference"/>
        </w:rPr>
        <w:footnoteReference w:id="5"/>
      </w:r>
      <w:r>
        <w:t xml:space="preserve"> </w:t>
      </w:r>
    </w:p>
    <w:p w14:paraId="0CE87866" w14:textId="77777777" w:rsidR="00775CF4" w:rsidRDefault="00775CF4" w:rsidP="00775CF4">
      <w:pPr>
        <w:spacing w:line="480" w:lineRule="auto"/>
        <w:ind w:firstLine="720"/>
      </w:pPr>
      <w:r>
        <w:t xml:space="preserve">John Zizioulas </w:t>
      </w:r>
      <w:r>
        <w:rPr>
          <w:rFonts w:eastAsia="Times New Roman" w:cs="Times New Roman"/>
          <w:color w:val="000000"/>
        </w:rPr>
        <w:t>(1931–)</w:t>
      </w:r>
      <w:r>
        <w:t xml:space="preserve"> has made inroads in linking a clear theology of holy orders with the constitution of the Church resulting from the Eucharist, but has focused almost entirely on the role of the episcopate. In this essay, I will attempt to show how the theology of the presbyterate articulated by Thomas Aquinas might help supplement and be supplemented by that of Zizioulas. The contemporary notion that the ways in which Eucharistic roles normatively establish the relationality and </w:t>
      </w:r>
      <w:r>
        <w:rPr>
          <w:i/>
          <w:iCs/>
        </w:rPr>
        <w:t>communio</w:t>
      </w:r>
      <w:r>
        <w:t xml:space="preserve"> of the Church can, however, be explicitly used to ground the sacramental nature of holy orders: particularly, the specific way in which a presbyter is able to celebrate the Eucharist, and others in the Church cannot, can be taken as the source of the distinctive character of the presbyterate. This theology has the merit of corresponding with much of traditional theory while remaining at the heart of contemporary ecclesiology and teaching concerning the presbyterate, helping elucidate a clearer connection between contemporary ecclesiology and holy orders. After offering a reconciliation of these theologies, I will begin to respond to some objections, illustrating the worth of this theory for contemporary </w:t>
      </w:r>
      <w:r>
        <w:lastRenderedPageBreak/>
        <w:t>theology of holy orders.</w:t>
      </w:r>
    </w:p>
    <w:p w14:paraId="4D5F919C" w14:textId="77777777" w:rsidR="00775CF4" w:rsidRPr="00217D2C" w:rsidRDefault="00775CF4" w:rsidP="00775CF4">
      <w:pPr>
        <w:spacing w:line="480" w:lineRule="auto"/>
        <w:ind w:firstLine="720"/>
        <w:rPr>
          <w:b/>
        </w:rPr>
      </w:pPr>
    </w:p>
    <w:p w14:paraId="6661DC1F" w14:textId="77777777" w:rsidR="00775CF4" w:rsidRPr="00217D2C" w:rsidRDefault="00775CF4" w:rsidP="00775CF4">
      <w:pPr>
        <w:spacing w:line="480" w:lineRule="auto"/>
        <w:rPr>
          <w:b/>
          <w:bCs/>
        </w:rPr>
      </w:pPr>
      <w:r>
        <w:rPr>
          <w:b/>
          <w:bCs/>
        </w:rPr>
        <w:t xml:space="preserve">1. </w:t>
      </w:r>
      <w:r w:rsidRPr="00217D2C">
        <w:rPr>
          <w:b/>
          <w:bCs/>
        </w:rPr>
        <w:t>EUCHARISTIC ECCLESIOLOGY</w:t>
      </w:r>
    </w:p>
    <w:p w14:paraId="534671EB" w14:textId="77777777" w:rsidR="00775CF4" w:rsidRDefault="00775CF4" w:rsidP="00775CF4">
      <w:pPr>
        <w:spacing w:line="480" w:lineRule="auto"/>
        <w:ind w:firstLine="720"/>
        <w:rPr>
          <w:rFonts w:eastAsia="Times New Roman" w:cs="Times New Roman"/>
          <w:color w:val="000000"/>
        </w:rPr>
      </w:pPr>
      <w:r>
        <w:t>Both of the theological figures I will contrast are well-known among contemporary scholars, and both come from radically different backgrounds both theologically and historically; in the discussion here, however, I will prescind from many questions of historical context to consider systematic implications of their sacramental theology of holy orders.</w:t>
      </w:r>
      <w:r>
        <w:rPr>
          <w:rStyle w:val="FootnoteReference"/>
        </w:rPr>
        <w:footnoteReference w:id="6"/>
      </w:r>
      <w:r>
        <w:t xml:space="preserve"> </w:t>
      </w:r>
      <w:r>
        <w:rPr>
          <w:rFonts w:eastAsia="Times New Roman" w:cs="Times New Roman"/>
          <w:color w:val="000000"/>
        </w:rPr>
        <w:t>It is helpful for this reason to begin with the thought of John Zizioulas, nearer to our own day and more immersed in contemporary theological discussions. Where St. Thomas works from within the tradition of Peter Lombard and Augustine, Zizioulas’s ecclesiological insights, coming from the Orthodox tradition, derive in part from the work of Fr. Nicholas Afanasiev (1893–1966).</w:t>
      </w:r>
      <w:r>
        <w:rPr>
          <w:rStyle w:val="FootnoteReference"/>
          <w:rFonts w:eastAsia="Times New Roman" w:cs="Times New Roman"/>
          <w:color w:val="000000"/>
        </w:rPr>
        <w:footnoteReference w:id="7"/>
      </w:r>
    </w:p>
    <w:p w14:paraId="508D2A59" w14:textId="77777777" w:rsidR="00775CF4" w:rsidRDefault="00775CF4" w:rsidP="00775CF4">
      <w:pPr>
        <w:spacing w:line="480" w:lineRule="auto"/>
        <w:ind w:firstLine="720"/>
        <w:rPr>
          <w:rFonts w:cs="Times New Roman"/>
        </w:rPr>
      </w:pPr>
      <w:r>
        <w:rPr>
          <w:rFonts w:eastAsia="Times New Roman" w:cs="Times New Roman"/>
          <w:color w:val="000000"/>
        </w:rPr>
        <w:t>The ecclesiology developed by Afanasiev parallels a recovery of Eucharistic theology in the Western Church, expressed in the famous declaration of Henri de Lubac that, “</w:t>
      </w:r>
      <w:r>
        <w:rPr>
          <w:rFonts w:cs="Times New Roman"/>
          <w:color w:val="000000"/>
        </w:rPr>
        <w:t>the Eucharist builds the Church, and the Church makes the Eucharist.”</w:t>
      </w:r>
      <w:r>
        <w:rPr>
          <w:rStyle w:val="FootnoteReference"/>
          <w:rFonts w:cs="Times New Roman"/>
          <w:color w:val="000000"/>
        </w:rPr>
        <w:footnoteReference w:id="8"/>
      </w:r>
      <w:r>
        <w:rPr>
          <w:rFonts w:cs="Times New Roman"/>
        </w:rPr>
        <w:t xml:space="preserve"> Afanasiev, attempting to reconcile Western and Eastern approaches to ecclesiology, focused on the Eucharist as the locus of unity. The Eucharistic assembly is itself the source of the being of the Catholic Church, establishing all constituent relationships of communion in the relationship of the members to the Eucharistic </w:t>
      </w:r>
      <w:r>
        <w:rPr>
          <w:rFonts w:cs="Times New Roman"/>
        </w:rPr>
        <w:lastRenderedPageBreak/>
        <w:t>sacrifice—including the ordained priesthood. This ecclesiology emphasizes the hierarchical element only indirectly, as the Eucharist requires a hierarchical presider (ideally a bishop), giving priority to the local church as the primary instantiation or realization of the Church universal.</w:t>
      </w:r>
      <w:r>
        <w:rPr>
          <w:rStyle w:val="FootnoteReference"/>
          <w:rFonts w:cs="Times New Roman"/>
        </w:rPr>
        <w:footnoteReference w:id="9"/>
      </w:r>
      <w:r>
        <w:rPr>
          <w:rFonts w:cs="Times New Roman"/>
        </w:rPr>
        <w:t xml:space="preserve"> Despite this, Afanasiev was significantly receptive to Western papal claims, while hostile to conciliarism as a foreign import into Christianity. The difficulty with his theology is its particularism, tending toward congregationalism. Consequently, Afanasiev’s ecclesiology, while influential, did not adequately represent Catholic or Orthodox ecclesiological realities, both of which involve a more heavily hierarchical and universal element in how they envision ecclesiological communion.</w:t>
      </w:r>
    </w:p>
    <w:p w14:paraId="529E7A56" w14:textId="77777777" w:rsidR="00775CF4" w:rsidRDefault="00775CF4" w:rsidP="00775CF4">
      <w:pPr>
        <w:spacing w:line="480" w:lineRule="auto"/>
        <w:ind w:firstLine="720"/>
        <w:rPr>
          <w:rFonts w:cs="Times New Roman"/>
        </w:rPr>
      </w:pPr>
      <w:r>
        <w:rPr>
          <w:rFonts w:cs="Times New Roman"/>
        </w:rPr>
        <w:t>Zizioulas set out to correct these deficiencies, while following in the main the same intuition of Eucharistic ecclesiology that guided the work of Afanasiev. Zizioulas avoids tendencies toward congregationalism which might be present in the work of prior Orthodox theologians like Afanasiev, instead emphasizing the primary role of the bishop in the celebration of the local Eucharist. Highlighting the way the bishop functions within the Eucharistic liturgy points to structures of communion broader than the local assembly—in fact, hierarchical, trans-local—which are immanent to each local celebration of the liturgy.</w:t>
      </w:r>
      <w:r>
        <w:rPr>
          <w:rStyle w:val="FootnoteReference"/>
          <w:rFonts w:cs="Times New Roman"/>
        </w:rPr>
        <w:footnoteReference w:id="10"/>
      </w:r>
      <w:r>
        <w:rPr>
          <w:rFonts w:cs="Times New Roman"/>
        </w:rPr>
        <w:t xml:space="preserve"> Zizioulas’s position is elaborated in </w:t>
      </w:r>
      <w:r>
        <w:rPr>
          <w:rFonts w:cs="Times New Roman"/>
          <w:i/>
          <w:iCs/>
        </w:rPr>
        <w:t xml:space="preserve">Eucharist, Bishop, Church, </w:t>
      </w:r>
      <w:r>
        <w:rPr>
          <w:rFonts w:cs="Times New Roman"/>
        </w:rPr>
        <w:t>where he attempts to illustrate, using both historical and systematic considerations, the role of the bishop in the early Church as constitutive of celebrations of the Eucharist and the unity of the Church.</w:t>
      </w:r>
      <w:r>
        <w:rPr>
          <w:rStyle w:val="FootnoteReference"/>
          <w:rFonts w:cs="Times New Roman"/>
        </w:rPr>
        <w:footnoteReference w:id="11"/>
      </w:r>
      <w:r>
        <w:rPr>
          <w:rFonts w:cs="Times New Roman"/>
        </w:rPr>
        <w:t xml:space="preserve"> He begins by noting as an </w:t>
      </w:r>
      <w:r>
        <w:rPr>
          <w:rFonts w:cs="Times New Roman"/>
        </w:rPr>
        <w:lastRenderedPageBreak/>
        <w:t>ecclesiological presupposition two principles: first, that the Church should be primarily understood as the Body of Christ—a mystical, Christological body into which believers are incorporated—and, second, that this incorporation occurs in its primary form in the Eucharist (even as baptism marks the temporally first incorporation, the Church continues to be incorporated and has its goal in the completion of initiation at the Eucharist</w:t>
      </w:r>
      <w:r>
        <w:rPr>
          <w:rStyle w:val="FootnoteReference"/>
          <w:rFonts w:cs="Times New Roman"/>
        </w:rPr>
        <w:footnoteReference w:id="12"/>
      </w:r>
      <w:r>
        <w:rPr>
          <w:rFonts w:cs="Times New Roman"/>
        </w:rPr>
        <w:t>). This is not to say that the Eucharist is the only vehicle for unity, but that it exemplifies a paradigmatic and a central place that has ontological priority in the Church’s life.</w:t>
      </w:r>
      <w:r>
        <w:rPr>
          <w:rStyle w:val="FootnoteReference"/>
          <w:rFonts w:cs="Times New Roman"/>
        </w:rPr>
        <w:footnoteReference w:id="13"/>
      </w:r>
    </w:p>
    <w:p w14:paraId="24C82590" w14:textId="77777777" w:rsidR="00775CF4" w:rsidRDefault="00775CF4" w:rsidP="00775CF4">
      <w:pPr>
        <w:spacing w:line="480" w:lineRule="auto"/>
        <w:ind w:firstLine="720"/>
        <w:rPr>
          <w:rFonts w:cs="Times New Roman"/>
        </w:rPr>
      </w:pPr>
      <w:r>
        <w:rPr>
          <w:rFonts w:cs="Times New Roman"/>
        </w:rPr>
        <w:t>Zizioulas’s theology of holy orders focuses heavily upon the role of the bishop as the guarantor of an orthodox and canonical Eucharistic assembly. Holy orders has a clear connection to the Eucharist—it is one of the few sacraments never to be divorced from the Eucharistic context in its transmission.</w:t>
      </w:r>
      <w:r>
        <w:rPr>
          <w:rStyle w:val="FootnoteReference"/>
          <w:rFonts w:cs="Times New Roman"/>
        </w:rPr>
        <w:footnoteReference w:id="14"/>
      </w:r>
      <w:r>
        <w:rPr>
          <w:rFonts w:cs="Times New Roman"/>
        </w:rPr>
        <w:t xml:space="preserve"> He sees the aforementioned ecclesiological principles expressed in two ways in the early Church, which have implications for orders; first, the Eucharist was understood to be “the Church”—the assembly of the Eucharist—and, second, that all orders found expression and context within the Eucharist.</w:t>
      </w:r>
      <w:r>
        <w:rPr>
          <w:rStyle w:val="FootnoteReference"/>
          <w:rFonts w:cs="Times New Roman"/>
        </w:rPr>
        <w:footnoteReference w:id="15"/>
      </w:r>
      <w:r>
        <w:rPr>
          <w:rFonts w:cs="Times New Roman"/>
        </w:rPr>
        <w:t xml:space="preserve"> Specifically, the bishop was constituted as the celebrant at the Eucharist </w:t>
      </w:r>
      <w:r>
        <w:rPr>
          <w:rFonts w:cs="Times New Roman"/>
          <w:i/>
          <w:iCs/>
        </w:rPr>
        <w:t>par excellence—</w:t>
      </w:r>
      <w:r>
        <w:rPr>
          <w:rFonts w:cs="Times New Roman"/>
        </w:rPr>
        <w:t>so much that, in fact, the earliest documentary evidence shows him as primarily a liturgical president, surrounded by deacons and presbyters.</w:t>
      </w:r>
      <w:r>
        <w:rPr>
          <w:rStyle w:val="FootnoteReference"/>
          <w:rFonts w:cs="Times New Roman"/>
        </w:rPr>
        <w:footnoteReference w:id="16"/>
      </w:r>
      <w:r>
        <w:rPr>
          <w:rFonts w:cs="Times New Roman"/>
        </w:rPr>
        <w:t xml:space="preserve"> Zizioulas extrapolates that the emergence of the monepiscopacy was an organic development in light of the unity of the Eucharist—one bishop means one Eucharistic assembly in a particular </w:t>
      </w:r>
      <w:r>
        <w:rPr>
          <w:rFonts w:cs="Times New Roman"/>
        </w:rPr>
        <w:lastRenderedPageBreak/>
        <w:t>locale. The consequences for ecclesiology are clear: the unity of the Eucharistic assembly is maintained through a canonical bishop in communion with other bishops, the local diocese (as the place of the Eucharistic assembly) has ontological priority over the universal Church, and, critical for our purposes, the bishop’s leadership in the Church essentially flows from his status as divinely-constituted primary or ordinary celebrant at the Divine Liturgy.</w:t>
      </w:r>
      <w:r>
        <w:rPr>
          <w:rStyle w:val="FootnoteReference"/>
          <w:rFonts w:cs="Times New Roman"/>
        </w:rPr>
        <w:footnoteReference w:id="17"/>
      </w:r>
      <w:r>
        <w:rPr>
          <w:rFonts w:cs="Times New Roman"/>
        </w:rPr>
        <w:t xml:space="preserve"> Zizioulas is clear in his ecclesiological reasoning, much of which has already been discussed by other authors. But there are problematic aspects in his understanding of the role of the universal Church in this theory, as the local Eucharist is identified heavily with the Church. Zizioulas sees the bishop, and holy orders more generally, as ontological relationships within the Church, so that both ministerial and “common” priesthood involve relationship toward Christ in the liturgy. So, for example, because there is no universal Eucharist, there is no corresponding universal ecclesial structure; there is only communion between bishops, expressed in liturgical commemorations of the canonical bishop, metropolitan or patriarch.</w:t>
      </w:r>
      <w:r>
        <w:rPr>
          <w:rStyle w:val="FootnoteReference"/>
          <w:rFonts w:cs="Times New Roman"/>
        </w:rPr>
        <w:footnoteReference w:id="18"/>
      </w:r>
      <w:r>
        <w:rPr>
          <w:rFonts w:cs="Times New Roman"/>
        </w:rPr>
        <w:t xml:space="preserve"> </w:t>
      </w:r>
    </w:p>
    <w:p w14:paraId="2D55C381" w14:textId="77777777" w:rsidR="00775CF4" w:rsidRDefault="00775CF4" w:rsidP="00775CF4">
      <w:pPr>
        <w:spacing w:line="480" w:lineRule="auto"/>
        <w:ind w:firstLine="720"/>
        <w:rPr>
          <w:rFonts w:cs="Times New Roman"/>
        </w:rPr>
      </w:pPr>
      <w:r>
        <w:rPr>
          <w:rFonts w:cs="Times New Roman"/>
        </w:rPr>
        <w:t xml:space="preserve">Zizioulas’s theology of holy orders is implicit in other ecclesiological reflections, but the main contours are clear. The Eucharist constitutes the Church, and holy orders are divinely and sacramentally established, “vertically” originated relationships that constitute ministers in relationship to the Church via a relationship to the Eucharist. Where this theory of holy orders becomes particularly problematic is in its theology of the presbyterate. Zizioulas’s theology focuses on the </w:t>
      </w:r>
      <w:r>
        <w:rPr>
          <w:rFonts w:cs="Times New Roman"/>
          <w:i/>
          <w:iCs/>
        </w:rPr>
        <w:t>bishop</w:t>
      </w:r>
      <w:r>
        <w:rPr>
          <w:rFonts w:cs="Times New Roman"/>
        </w:rPr>
        <w:t xml:space="preserve"> as celebrant of the Eucharist, and, following Alexander Schmemann, sees the rise of presbyteral celebrations of the Eucharist as an aberration.</w:t>
      </w:r>
      <w:r>
        <w:rPr>
          <w:rStyle w:val="FootnoteReference"/>
          <w:rFonts w:cs="Times New Roman"/>
        </w:rPr>
        <w:footnoteReference w:id="19"/>
      </w:r>
      <w:r>
        <w:rPr>
          <w:rFonts w:cs="Times New Roman"/>
        </w:rPr>
        <w:t xml:space="preserve"> The deacon poses fewer problems in this theory, as he forms a link between priesthood and laity, unable to offer sacrifice </w:t>
      </w:r>
      <w:r>
        <w:rPr>
          <w:rFonts w:cs="Times New Roman"/>
        </w:rPr>
        <w:lastRenderedPageBreak/>
        <w:t>directly and consecrate the Eucharist, but able as intermediary to receive the gifts of the faithful.</w:t>
      </w:r>
      <w:r>
        <w:rPr>
          <w:rStyle w:val="FootnoteReference"/>
          <w:rFonts w:cs="Times New Roman"/>
        </w:rPr>
        <w:footnoteReference w:id="20"/>
      </w:r>
      <w:r>
        <w:rPr>
          <w:rFonts w:cs="Times New Roman"/>
        </w:rPr>
        <w:t xml:space="preserve"> The priest, however, cannot be constituted by his role as celebrant of the Eucharist—this would leave no distinction between him and the bishop (because the latter is the unique celebrant). Attempting to follow the lead of the </w:t>
      </w:r>
      <w:r>
        <w:rPr>
          <w:rFonts w:cs="Times New Roman"/>
          <w:i/>
          <w:iCs/>
        </w:rPr>
        <w:t>Apostolic Tradition</w:t>
      </w:r>
      <w:r>
        <w:rPr>
          <w:rFonts w:cs="Times New Roman"/>
        </w:rPr>
        <w:t>, Zizioulas sees the presbyter as originally a teacher and counselor, with no right to offer the Eucharist initially other than as a (ceremonial) concelebrant.</w:t>
      </w:r>
      <w:r>
        <w:rPr>
          <w:rStyle w:val="FootnoteReference"/>
          <w:rFonts w:cs="Times New Roman"/>
        </w:rPr>
        <w:footnoteReference w:id="21"/>
      </w:r>
      <w:r>
        <w:rPr>
          <w:rFonts w:cs="Times New Roman"/>
        </w:rPr>
        <w:t xml:space="preserve"> The presbyter eventually came to offer the Eucharist in exceptional circumstances, but not as his primary function. Later, the rise of parishes made this seem the fundamental duty or role of presbyters and confused the theological basis for their order.</w:t>
      </w:r>
      <w:r>
        <w:rPr>
          <w:rStyle w:val="FootnoteReference"/>
          <w:rFonts w:cs="Times New Roman"/>
        </w:rPr>
        <w:footnoteReference w:id="22"/>
      </w:r>
      <w:r>
        <w:rPr>
          <w:rFonts w:cs="Times New Roman"/>
        </w:rPr>
        <w:t xml:space="preserve"> The bishop, by contrast, became a teacher and leader when, in fact, his office was </w:t>
      </w:r>
      <w:r>
        <w:rPr>
          <w:rFonts w:cs="Times New Roman"/>
          <w:i/>
          <w:iCs/>
        </w:rPr>
        <w:t xml:space="preserve">not </w:t>
      </w:r>
      <w:r>
        <w:rPr>
          <w:rFonts w:cs="Times New Roman"/>
        </w:rPr>
        <w:t>to teach but to celebrate the liturgy.</w:t>
      </w:r>
      <w:r>
        <w:rPr>
          <w:rStyle w:val="FootnoteReference"/>
          <w:rFonts w:cs="Times New Roman"/>
        </w:rPr>
        <w:footnoteReference w:id="23"/>
      </w:r>
    </w:p>
    <w:p w14:paraId="4E39FC8F" w14:textId="77777777" w:rsidR="00775CF4" w:rsidRDefault="00775CF4" w:rsidP="00775CF4">
      <w:pPr>
        <w:spacing w:line="480" w:lineRule="auto"/>
        <w:ind w:firstLine="720"/>
        <w:rPr>
          <w:rFonts w:cs="Times New Roman"/>
        </w:rPr>
      </w:pPr>
      <w:r>
        <w:rPr>
          <w:rFonts w:cs="Times New Roman"/>
        </w:rPr>
        <w:t xml:space="preserve">This nevertheless raises two distinct problems. First, the ability of the presbyter to celebrate the Eucharist </w:t>
      </w:r>
      <w:r>
        <w:rPr>
          <w:rFonts w:cs="Times New Roman"/>
          <w:i/>
          <w:iCs/>
        </w:rPr>
        <w:t xml:space="preserve">at all </w:t>
      </w:r>
      <w:r>
        <w:rPr>
          <w:rFonts w:cs="Times New Roman"/>
        </w:rPr>
        <w:t xml:space="preserve">remains unexplained. If his role was merely as a teacher and administrator of the Church, we would not want to claim that Eucharist celebrated by presbyters is invalid (and the Eucharist of a bishop the only valid liturgy!). On the other hand, if the grace of the presbyteral order has no intrinsic relationship to the Eucharist, and he was allowed to celebrate the Eucharist by </w:t>
      </w:r>
      <w:r>
        <w:rPr>
          <w:rFonts w:cs="Times New Roman"/>
          <w:i/>
          <w:iCs/>
        </w:rPr>
        <w:t xml:space="preserve">fiat </w:t>
      </w:r>
      <w:r>
        <w:rPr>
          <w:rFonts w:cs="Times New Roman"/>
        </w:rPr>
        <w:t>of the bishop</w:t>
      </w:r>
      <w:r>
        <w:rPr>
          <w:rFonts w:cs="Times New Roman"/>
          <w:i/>
          <w:iCs/>
        </w:rPr>
        <w:t>,</w:t>
      </w:r>
      <w:r w:rsidRPr="007E0396">
        <w:rPr>
          <w:i/>
        </w:rPr>
        <w:t xml:space="preserve"> </w:t>
      </w:r>
      <w:r>
        <w:rPr>
          <w:rFonts w:cs="Times New Roman"/>
        </w:rPr>
        <w:t xml:space="preserve">this would undermine the whole rationale for requiring sacramental consecration as a priest to celebrate the Eucharist. Why would, then, a deacon or qualified lay person not be able to celebrate the Eucharist? Without an “intrinsic” connection between presbyteral ordination and the Eucharist, the presbyter cannot be adequately </w:t>
      </w:r>
      <w:r>
        <w:rPr>
          <w:rFonts w:cs="Times New Roman"/>
        </w:rPr>
        <w:lastRenderedPageBreak/>
        <w:t>distinguished from the bishop in any meaningful way—either they are both properly liturgical celebrants, or there must be different grounds for their distinct orders. Second, it seems problematic to ignore administration and teaching as integral to the episcopal charism. In fact, as Zizioulas himself remarks, the bishop is the guarantor of orthodoxy and the only one who was originally able to give the Eucharistic homily.</w:t>
      </w:r>
      <w:r>
        <w:rPr>
          <w:rStyle w:val="FootnoteReference"/>
          <w:rFonts w:cs="Times New Roman"/>
        </w:rPr>
        <w:footnoteReference w:id="24"/>
      </w:r>
      <w:r>
        <w:rPr>
          <w:rFonts w:cs="Times New Roman"/>
        </w:rPr>
        <w:t xml:space="preserve"> If that is the case, it seems teaching remains critical to our understanding of the bishop and cannot be divorced as a purely ancillary function.</w:t>
      </w:r>
    </w:p>
    <w:p w14:paraId="219AEBD8" w14:textId="77777777" w:rsidR="00775CF4" w:rsidRDefault="00775CF4" w:rsidP="00775CF4">
      <w:pPr>
        <w:spacing w:line="480" w:lineRule="auto"/>
        <w:ind w:firstLine="720"/>
        <w:rPr>
          <w:rFonts w:cs="Times New Roman"/>
        </w:rPr>
      </w:pPr>
    </w:p>
    <w:p w14:paraId="4F56748A" w14:textId="77777777" w:rsidR="00775CF4" w:rsidRPr="00217D2C" w:rsidRDefault="00775CF4" w:rsidP="00775CF4">
      <w:pPr>
        <w:spacing w:line="480" w:lineRule="auto"/>
        <w:rPr>
          <w:rFonts w:cs="Times New Roman"/>
          <w:b/>
          <w:bCs/>
        </w:rPr>
      </w:pPr>
      <w:r>
        <w:rPr>
          <w:rFonts w:cs="Times New Roman"/>
          <w:b/>
          <w:bCs/>
        </w:rPr>
        <w:t xml:space="preserve">2. </w:t>
      </w:r>
      <w:r w:rsidRPr="00217D2C">
        <w:rPr>
          <w:rFonts w:cs="Times New Roman"/>
          <w:b/>
          <w:bCs/>
        </w:rPr>
        <w:t>THE THOMISTIC APPROACH TO HOLY ORDERS</w:t>
      </w:r>
    </w:p>
    <w:p w14:paraId="42C1BF61" w14:textId="77777777" w:rsidR="00775CF4" w:rsidRDefault="00775CF4" w:rsidP="00775CF4">
      <w:pPr>
        <w:spacing w:line="480" w:lineRule="auto"/>
        <w:ind w:firstLine="720"/>
        <w:rPr>
          <w:rFonts w:cs="Times New Roman"/>
        </w:rPr>
      </w:pPr>
      <w:r>
        <w:rPr>
          <w:rFonts w:cs="Times New Roman"/>
        </w:rPr>
        <w:t xml:space="preserve">The theological contributions of St. Thomas Aquinas, I propose, offer the potential to resolve these outstanding issues in the theology of Zizioulas. While it is beyond the scope of this paper to attempt to sift through various interpretations of Aquinas’s ecclesiology or his sacramentology, I will show how Thomas’s theology of holy orders provides reflections that can be used to extend Zizioulas’s account of presbyterate and provide a more satisfactory theological picture. While coming from a distinct historical </w:t>
      </w:r>
      <w:r w:rsidRPr="00AC4F5D">
        <w:rPr>
          <w:rFonts w:cs="Times New Roman"/>
        </w:rPr>
        <w:t xml:space="preserve">context, Aquinas runs into similar problems in describing the differences between the presbyterate and episcopacy, although in exactly the opposite direction to that of Zizioulas. Because Aquinas </w:t>
      </w:r>
      <w:r>
        <w:rPr>
          <w:rFonts w:cs="Times New Roman"/>
        </w:rPr>
        <w:t>regards</w:t>
      </w:r>
      <w:r w:rsidRPr="00AC4F5D">
        <w:rPr>
          <w:rFonts w:cs="Times New Roman"/>
        </w:rPr>
        <w:t xml:space="preserve"> roles in the Eucharist as constitutive of holy orders, Aquinas cannot accommodate a </w:t>
      </w:r>
      <w:r w:rsidRPr="00AC4F5D">
        <w:rPr>
          <w:rFonts w:cs="Times New Roman"/>
          <w:i/>
          <w:iCs/>
        </w:rPr>
        <w:t>further</w:t>
      </w:r>
      <w:r w:rsidRPr="00AC4F5D">
        <w:rPr>
          <w:i/>
        </w:rPr>
        <w:t xml:space="preserve"> </w:t>
      </w:r>
      <w:r w:rsidRPr="00AC4F5D">
        <w:rPr>
          <w:rFonts w:cs="Times New Roman"/>
        </w:rPr>
        <w:t>role to the bishop beyond the power common to priest and bishop in consecrating the Eucharist. However, Thomas’s theology poses some textual problems for the contemporary reader: he never finished</w:t>
      </w:r>
      <w:r>
        <w:rPr>
          <w:rFonts w:cs="Times New Roman"/>
        </w:rPr>
        <w:t xml:space="preserve"> a mature treatise on holy orders, and the theology on this topic present in the “Supplement” to the </w:t>
      </w:r>
      <w:r>
        <w:rPr>
          <w:rFonts w:cs="Times New Roman"/>
          <w:i/>
          <w:iCs/>
        </w:rPr>
        <w:t xml:space="preserve">Summa Theologiae </w:t>
      </w:r>
      <w:r>
        <w:rPr>
          <w:rFonts w:cs="Times New Roman"/>
        </w:rPr>
        <w:t xml:space="preserve">is not representative of his mature thinking (as culled from his earliest works in the </w:t>
      </w:r>
      <w:r>
        <w:rPr>
          <w:rFonts w:cs="Times New Roman"/>
          <w:i/>
          <w:iCs/>
        </w:rPr>
        <w:t>Commentary on the Sentences</w:t>
      </w:r>
      <w:r>
        <w:rPr>
          <w:rFonts w:cs="Times New Roman"/>
        </w:rPr>
        <w:t xml:space="preserve">). His later writings may illustrate a development in Aquinas’s thought, where he </w:t>
      </w:r>
      <w:r>
        <w:rPr>
          <w:rFonts w:cs="Times New Roman"/>
        </w:rPr>
        <w:lastRenderedPageBreak/>
        <w:t>might have come to hold that the episcopacy does constitute a truly different order from the presbyterate, but this is unclear.</w:t>
      </w:r>
      <w:r>
        <w:rPr>
          <w:rStyle w:val="FootnoteReference"/>
          <w:rFonts w:cs="Times New Roman"/>
        </w:rPr>
        <w:footnoteReference w:id="25"/>
      </w:r>
      <w:r>
        <w:rPr>
          <w:rFonts w:cs="Times New Roman"/>
        </w:rPr>
        <w:t xml:space="preserve"> In the following, I will present elements from Thomas’s theory of holy orders, treating it as fundamentally incomplete and focusing on his rationale for the existence of holy orders as presented in a prominent subset of his works (the </w:t>
      </w:r>
      <w:r>
        <w:rPr>
          <w:rFonts w:cs="Times New Roman"/>
          <w:i/>
          <w:iCs/>
        </w:rPr>
        <w:t xml:space="preserve">Summa Theologiae </w:t>
      </w:r>
      <w:r>
        <w:rPr>
          <w:rFonts w:cs="Times New Roman"/>
        </w:rPr>
        <w:t xml:space="preserve">and </w:t>
      </w:r>
      <w:r>
        <w:rPr>
          <w:rFonts w:cs="Times New Roman"/>
          <w:i/>
          <w:iCs/>
        </w:rPr>
        <w:t>Summa contra Gentiles</w:t>
      </w:r>
      <w:r>
        <w:rPr>
          <w:rFonts w:cs="Times New Roman"/>
        </w:rPr>
        <w:t>), without speculating on any latent developments that might be present in other writings.</w:t>
      </w:r>
    </w:p>
    <w:p w14:paraId="1DD7BFA3" w14:textId="77777777" w:rsidR="00775CF4" w:rsidRDefault="00775CF4" w:rsidP="00775CF4">
      <w:pPr>
        <w:spacing w:line="480" w:lineRule="auto"/>
        <w:ind w:firstLine="720"/>
        <w:rPr>
          <w:rFonts w:cs="Times New Roman"/>
        </w:rPr>
      </w:pPr>
      <w:r>
        <w:rPr>
          <w:rFonts w:cs="Times New Roman"/>
        </w:rPr>
        <w:t>Aquinas’s theology of the Eucharist carries modern-sounding ecclesiological overtones, paralleling the high role Zizioulas would attribute to the Eucharist. The Eucharist is the unique sacramental representation of the sacrifice of Christ made once upon the cross, rendered present by the priest’s words, and applied to the souls of the faithful in each Mass.</w:t>
      </w:r>
      <w:r>
        <w:rPr>
          <w:rStyle w:val="FootnoteReference"/>
          <w:rFonts w:cs="Times New Roman"/>
        </w:rPr>
        <w:footnoteReference w:id="26"/>
      </w:r>
      <w:r>
        <w:rPr>
          <w:rFonts w:cs="Times New Roman"/>
        </w:rPr>
        <w:t xml:space="preserve"> It is the highest sacrament because it contains </w:t>
      </w:r>
      <w:r>
        <w:rPr>
          <w:rFonts w:cs="Times New Roman"/>
          <w:i/>
          <w:iCs/>
        </w:rPr>
        <w:t>Christum</w:t>
      </w:r>
      <w:r>
        <w:rPr>
          <w:rFonts w:cs="Times New Roman"/>
        </w:rPr>
        <w:t xml:space="preserve"> </w:t>
      </w:r>
      <w:r>
        <w:rPr>
          <w:rFonts w:cs="Times New Roman"/>
          <w:i/>
          <w:iCs/>
        </w:rPr>
        <w:t>ipsum passum</w:t>
      </w:r>
      <w:r w:rsidRPr="00E84B66">
        <w:rPr>
          <w:rFonts w:cs="Times New Roman"/>
        </w:rPr>
        <w:t>—</w:t>
      </w:r>
      <w:r>
        <w:rPr>
          <w:rFonts w:cs="Times New Roman"/>
        </w:rPr>
        <w:t>Christ himself as suffering</w:t>
      </w:r>
      <w:r w:rsidRPr="00E84B66">
        <w:rPr>
          <w:rFonts w:cs="Times New Roman"/>
        </w:rPr>
        <w:t>—</w:t>
      </w:r>
      <w:r>
        <w:rPr>
          <w:rFonts w:cs="Times New Roman"/>
        </w:rPr>
        <w:t>and so is the source of all the grace of the other sacraments.</w:t>
      </w:r>
      <w:r>
        <w:rPr>
          <w:rStyle w:val="FootnoteReference"/>
          <w:rFonts w:cs="Times New Roman"/>
        </w:rPr>
        <w:footnoteReference w:id="27"/>
      </w:r>
      <w:r>
        <w:rPr>
          <w:rFonts w:cs="Times New Roman"/>
        </w:rPr>
        <w:t xml:space="preserve"> Consequently, within the sacramental economy itself, every other sacrament is ordered toward participation in the Eucharist.</w:t>
      </w:r>
      <w:r>
        <w:rPr>
          <w:rStyle w:val="FootnoteReference"/>
          <w:rFonts w:cs="Times New Roman"/>
        </w:rPr>
        <w:footnoteReference w:id="28"/>
      </w:r>
      <w:r>
        <w:rPr>
          <w:rFonts w:cs="Times New Roman"/>
        </w:rPr>
        <w:t xml:space="preserve"> This has ecclesiological implications as well, as the divine worship of the Church finds its summit in the Eucharist, and this same sacrament has as its effect the infusion of the virtue of charity and the corresponding unity among all the faithful in Christ.</w:t>
      </w:r>
      <w:r>
        <w:rPr>
          <w:rStyle w:val="FootnoteReference"/>
          <w:rFonts w:cs="Times New Roman"/>
        </w:rPr>
        <w:footnoteReference w:id="29"/>
      </w:r>
      <w:r>
        <w:rPr>
          <w:rFonts w:cs="Times New Roman"/>
        </w:rPr>
        <w:t xml:space="preserve"> So far, the role Aquinas assigns to the Eucharist within the sacramental economy echoes the role of the Eucharist in the theology of </w:t>
      </w:r>
      <w:r>
        <w:rPr>
          <w:rFonts w:cs="Times New Roman"/>
        </w:rPr>
        <w:lastRenderedPageBreak/>
        <w:t xml:space="preserve">Zizioulas. This picture also resonates with contemporary Catholic magisterial teaching quite clearly; </w:t>
      </w:r>
      <w:r>
        <w:rPr>
          <w:rFonts w:cs="Times New Roman"/>
          <w:i/>
          <w:iCs/>
        </w:rPr>
        <w:t>Lumen Gentium</w:t>
      </w:r>
      <w:r>
        <w:rPr>
          <w:rFonts w:cs="Times New Roman"/>
        </w:rPr>
        <w:t xml:space="preserve"> affirms this truth in its famous statement that “</w:t>
      </w:r>
      <w:r>
        <w:rPr>
          <w:rFonts w:cs="Times New Roman"/>
          <w:color w:val="000000"/>
        </w:rPr>
        <w:t>the Eucharistic sacrifice [is] the fount and apex of the whole Christian life.”</w:t>
      </w:r>
      <w:r>
        <w:rPr>
          <w:rStyle w:val="FootnoteReference"/>
          <w:rFonts w:cs="Times New Roman"/>
          <w:color w:val="000000"/>
        </w:rPr>
        <w:footnoteReference w:id="30"/>
      </w:r>
    </w:p>
    <w:p w14:paraId="78DF8A0E" w14:textId="77777777" w:rsidR="00775CF4" w:rsidRDefault="00775CF4" w:rsidP="00775CF4">
      <w:pPr>
        <w:spacing w:line="480" w:lineRule="auto"/>
        <w:ind w:firstLine="720"/>
        <w:rPr>
          <w:rFonts w:cs="Times New Roman"/>
        </w:rPr>
      </w:pPr>
      <w:r>
        <w:rPr>
          <w:rFonts w:cs="Times New Roman"/>
        </w:rPr>
        <w:t>Aquinas’s account of the sacramental grace of the consecration given by holy orders is similar to that of Zizioulas, as the character of holy orders establishes a relationship between the minister and the faithful insofar as the minister is ordered toward celebrating the liturgy.</w:t>
      </w:r>
      <w:r>
        <w:rPr>
          <w:rStyle w:val="FootnoteReference"/>
          <w:rFonts w:cs="Times New Roman"/>
        </w:rPr>
        <w:footnoteReference w:id="31"/>
      </w:r>
      <w:r>
        <w:rPr>
          <w:rFonts w:cs="Times New Roman"/>
        </w:rPr>
        <w:t xml:space="preserve"> In Thomas’s theology, the end or purpose of the sacramental life of the Church is the Eucharist, and, as holy orders are given to “order” the Church and constitute her in light of her purpose, they exist in light of that end.</w:t>
      </w:r>
      <w:r>
        <w:rPr>
          <w:rStyle w:val="FootnoteReference"/>
          <w:rFonts w:cs="Times New Roman"/>
        </w:rPr>
        <w:footnoteReference w:id="32"/>
      </w:r>
      <w:r>
        <w:rPr>
          <w:rFonts w:cs="Times New Roman"/>
        </w:rPr>
        <w:t xml:space="preserve"> Holy orders thereby are ordered toward a fuller participation in the Eucharistic life that constitutes the Church—they make the Mass possible and advance believers toward their final resting place in heaven through the symbolic realities of the Church’s liturgy. The ministers are instrumental causes of the grace given to the Church by God in the sacraments and they are cooperators with Him in its distribution.</w:t>
      </w:r>
      <w:r>
        <w:rPr>
          <w:rStyle w:val="FootnoteReference"/>
          <w:rFonts w:cs="Times New Roman"/>
        </w:rPr>
        <w:footnoteReference w:id="33"/>
      </w:r>
      <w:r>
        <w:rPr>
          <w:rFonts w:cs="Times New Roman"/>
        </w:rPr>
        <w:t xml:space="preserve"> Each order is consequently distinguished by the relationship it has toward dispensing the sacraments or preparing the faithful for participation in them, which sacramentally bestows in the higher orders (priesthood and diaconate) an indelible spiritual configuration to the priesthood of Christ in an ontological “character.”</w:t>
      </w:r>
      <w:r>
        <w:rPr>
          <w:rStyle w:val="FootnoteReference"/>
          <w:rFonts w:cs="Times New Roman"/>
        </w:rPr>
        <w:footnoteReference w:id="34"/>
      </w:r>
      <w:r>
        <w:rPr>
          <w:rFonts w:cs="Times New Roman"/>
        </w:rPr>
        <w:t xml:space="preserve"> Aquinas gives an elaborate derivation of each of the seven traditional orders by their relationship to the Eucharist, illustrated by the different “instruments” which they received at ordination.</w:t>
      </w:r>
      <w:r>
        <w:rPr>
          <w:rStyle w:val="FootnoteReference"/>
          <w:rFonts w:cs="Times New Roman"/>
        </w:rPr>
        <w:footnoteReference w:id="35"/>
      </w:r>
    </w:p>
    <w:p w14:paraId="32C043FB" w14:textId="77777777" w:rsidR="00775CF4" w:rsidRDefault="00775CF4" w:rsidP="00775CF4">
      <w:pPr>
        <w:spacing w:line="480" w:lineRule="auto"/>
        <w:ind w:firstLine="720"/>
        <w:rPr>
          <w:rFonts w:cs="Times New Roman"/>
        </w:rPr>
      </w:pPr>
      <w:r>
        <w:rPr>
          <w:rFonts w:cs="Times New Roman"/>
        </w:rPr>
        <w:lastRenderedPageBreak/>
        <w:t>In that same article, Aquinas notes that one should not differentiate orders according to powers over the other sacraments, as the graces of the other sacraments flow from what is contained in the Eucharist.</w:t>
      </w:r>
      <w:r>
        <w:rPr>
          <w:rStyle w:val="FootnoteReference"/>
          <w:rFonts w:cs="Times New Roman"/>
        </w:rPr>
        <w:footnoteReference w:id="36"/>
      </w:r>
      <w:r>
        <w:rPr>
          <w:rFonts w:cs="Times New Roman"/>
        </w:rPr>
        <w:t xml:space="preserve"> We can use this feature of his account to respond to criticisms of a Eucharistic-centered concept of the priesthood; instead of offering a purely “cultic” model that fails to correspond either to pastoral-didactic aspects of ministry or to the historical situation in the early Church, both Aquinas and Zizioulas see the ministry as exemplified in Eucharistic relationships which “found” the Church’s structures. Aquinas can hold that it is precisely the sacrifice at the heart of the Eucharist which accomplishes ecclesial unity and so functions as “reparative love” in the Church.</w:t>
      </w:r>
      <w:r>
        <w:rPr>
          <w:rStyle w:val="FootnoteReference"/>
          <w:rFonts w:cs="Times New Roman"/>
        </w:rPr>
        <w:footnoteReference w:id="37"/>
      </w:r>
      <w:r>
        <w:rPr>
          <w:rFonts w:cs="Times New Roman"/>
        </w:rPr>
        <w:t xml:space="preserve"> While Aquinas makes the nature of the pastoral office more explicit in his commentaries on St. Paul’s pastoral epistles, the Orthodox theologian Calivas has likewise, beginning from Zizioulas’s model, offered a four-fold delineation of the pastoral office into worship (as source) followed by preaching, catechizing, and charitable activity.</w:t>
      </w:r>
      <w:r>
        <w:rPr>
          <w:rStyle w:val="FootnoteReference"/>
          <w:rFonts w:cs="Times New Roman"/>
        </w:rPr>
        <w:footnoteReference w:id="38"/>
      </w:r>
      <w:r>
        <w:rPr>
          <w:rFonts w:cs="Times New Roman"/>
        </w:rPr>
        <w:t xml:space="preserve"> Similarly, Aquinas, in line with how Zizioulas attempts to do so, understands other pastoral functions such as preaching to follow from the priest’s Eucharistic role.</w:t>
      </w:r>
      <w:r>
        <w:rPr>
          <w:rStyle w:val="FootnoteReference"/>
          <w:rFonts w:cs="Times New Roman"/>
        </w:rPr>
        <w:footnoteReference w:id="39"/>
      </w:r>
      <w:r>
        <w:rPr>
          <w:rFonts w:cs="Times New Roman"/>
        </w:rPr>
        <w:t xml:space="preserve"> The Eucharistic model of priesthood endorsed by both theologians considered here attempts to isolate the fundamental relationship that establishes the priesthood, and not just its exclusive sphere of activity in cultic/liturgical functions. So, for both theologians, they attempt to avoid, by a wider concept of “Eucharist,” the pitfall of thinking of priesthood in the context of a “private Mass” in isolation from the faithful.</w:t>
      </w:r>
      <w:r>
        <w:rPr>
          <w:rStyle w:val="FootnoteReference"/>
          <w:rFonts w:cs="Times New Roman"/>
        </w:rPr>
        <w:footnoteReference w:id="40"/>
      </w:r>
      <w:r>
        <w:rPr>
          <w:rFonts w:cs="Times New Roman"/>
        </w:rPr>
        <w:t xml:space="preserve"> </w:t>
      </w:r>
      <w:r>
        <w:rPr>
          <w:rFonts w:cs="Times New Roman"/>
        </w:rPr>
        <w:lastRenderedPageBreak/>
        <w:t>Aquinas is explicit that the Eucharist is the sacrament of ecclesial unity, which involves the entire priestly people of God.</w:t>
      </w:r>
      <w:r>
        <w:rPr>
          <w:rStyle w:val="FootnoteReference"/>
          <w:rFonts w:cs="Times New Roman"/>
        </w:rPr>
        <w:footnoteReference w:id="41"/>
      </w:r>
    </w:p>
    <w:p w14:paraId="14FCC8A1" w14:textId="77777777" w:rsidR="00775CF4" w:rsidRDefault="00775CF4" w:rsidP="00775CF4">
      <w:pPr>
        <w:spacing w:line="480" w:lineRule="auto"/>
        <w:ind w:firstLine="720"/>
        <w:rPr>
          <w:rFonts w:cs="Times New Roman"/>
        </w:rPr>
      </w:pPr>
      <w:r>
        <w:rPr>
          <w:rFonts w:cs="Times New Roman"/>
        </w:rPr>
        <w:t>Despite these strengths, Aquinas’s theology of priesthood runs into more significant problems when it comes to offering a clear theological rationale for the episcopacy. Unlike Zizioulas, who, utilizing modern liturgical and historical studies, can highlight the role of the bishop in the early Church, Aquinas was operating from a tradition that did not have a clearly defined theory of the episcopacy. Many other medieval theologians denied its sacramental character entirely, where Aquinas himself attempts by contrast to hold a moderate position.</w:t>
      </w:r>
      <w:r>
        <w:rPr>
          <w:rStyle w:val="FootnoteReference"/>
          <w:rFonts w:cs="Times New Roman"/>
        </w:rPr>
        <w:footnoteReference w:id="42"/>
      </w:r>
      <w:r>
        <w:rPr>
          <w:rFonts w:cs="Times New Roman"/>
        </w:rPr>
        <w:t xml:space="preserve"> He argued, in the </w:t>
      </w:r>
      <w:r>
        <w:rPr>
          <w:rFonts w:cs="Times New Roman"/>
          <w:i/>
          <w:iCs/>
        </w:rPr>
        <w:t>Summa Theologiae</w:t>
      </w:r>
      <w:r>
        <w:rPr>
          <w:rFonts w:cs="Times New Roman"/>
        </w:rPr>
        <w:t>, that the episcopacy had no additional power over the “Real Body” of Christ in the Eucharist—no additional power to consecrate—and so was not a separate sacramental order. He concedes it is an “order,” but only analogously meant as a higher authority in the “Mystical Body” and as a “state of perfection” akin to monastic life.</w:t>
      </w:r>
      <w:r>
        <w:rPr>
          <w:rStyle w:val="FootnoteReference"/>
          <w:rFonts w:cs="Times New Roman"/>
        </w:rPr>
        <w:footnoteReference w:id="43"/>
      </w:r>
      <w:r>
        <w:rPr>
          <w:rFonts w:cs="Times New Roman"/>
        </w:rPr>
        <w:t xml:space="preserve"> The episcopacy consequently occupies a problematic position in that he maintains that only a bishop can ordain, but that there is no unique sacramental character to establish this relationship. Only later does he possibly realize it need be a really separate sacramental order, but it is unclear if he reasoned to any unique character in the more mature writings. Louis Billot, a Thomist writing before the Second Vatican Council, defended precisely this thesis, holding that it would be unthinkable that the episcopacy would be a distinct order, as this would entail that they consecrate the Eucharist more than the presbyterate.</w:t>
      </w:r>
      <w:r>
        <w:rPr>
          <w:rStyle w:val="FootnoteReference"/>
          <w:rFonts w:cs="Times New Roman"/>
        </w:rPr>
        <w:footnoteReference w:id="44"/>
      </w:r>
    </w:p>
    <w:p w14:paraId="40A9972A" w14:textId="77777777" w:rsidR="00775CF4" w:rsidRDefault="00775CF4" w:rsidP="00775CF4">
      <w:pPr>
        <w:spacing w:line="480" w:lineRule="auto"/>
        <w:rPr>
          <w:b/>
          <w:bCs/>
        </w:rPr>
      </w:pPr>
    </w:p>
    <w:p w14:paraId="4518F575" w14:textId="77777777" w:rsidR="00775CF4" w:rsidRPr="00217D2C" w:rsidRDefault="00775CF4" w:rsidP="00775CF4">
      <w:pPr>
        <w:spacing w:line="480" w:lineRule="auto"/>
        <w:rPr>
          <w:b/>
          <w:bCs/>
        </w:rPr>
      </w:pPr>
      <w:r>
        <w:rPr>
          <w:b/>
          <w:bCs/>
        </w:rPr>
        <w:lastRenderedPageBreak/>
        <w:t xml:space="preserve">3. </w:t>
      </w:r>
      <w:r w:rsidRPr="00217D2C">
        <w:rPr>
          <w:b/>
          <w:bCs/>
        </w:rPr>
        <w:t>THE SYNTHETIC PROPOSAL</w:t>
      </w:r>
    </w:p>
    <w:p w14:paraId="698D631E" w14:textId="77777777" w:rsidR="00775CF4" w:rsidRDefault="00775CF4" w:rsidP="00775CF4">
      <w:pPr>
        <w:spacing w:line="480" w:lineRule="auto"/>
        <w:ind w:firstLine="720"/>
        <w:rPr>
          <w:rFonts w:cs="Times New Roman"/>
        </w:rPr>
      </w:pPr>
      <w:r>
        <w:t xml:space="preserve">The strength of the position that both Zizioulas and Aquinas hold in common is that it connects holy orders very explicitly in its theological rationale to that of contemporary Eucharistic ecclesiology and offers a way of conceiving holy orders that is both Eucharistic (in line with traditional theology), but also more expansive than a mere cultic vision of priesthood. This also corrects the view of some contemporary theologians who, holding a similar ecclesial vision, tend to hold that the priest is a sign or “representative” of ecclesial community, whether universal or local (although most often the latter), so that presidency at the Eucharist follows their leadership in the community. While the priest is not merely functional (as in “presbyterian” theories) but ontological, the fundamental relationship is that of </w:t>
      </w:r>
      <w:r>
        <w:rPr>
          <w:i/>
          <w:iCs/>
        </w:rPr>
        <w:t>community</w:t>
      </w:r>
      <w:r>
        <w:t xml:space="preserve"> representation.</w:t>
      </w:r>
      <w:r>
        <w:rPr>
          <w:rStyle w:val="FootnoteReference"/>
        </w:rPr>
        <w:footnoteReference w:id="45"/>
      </w:r>
      <w:r>
        <w:t xml:space="preserve"> By contrast, problems arise with these theories because the notion that the priest acts only to represent the people, and that his power arises only from that role, is explicitly ruled out by Pius XII’s </w:t>
      </w:r>
      <w:r>
        <w:rPr>
          <w:i/>
          <w:iCs/>
        </w:rPr>
        <w:t>Mediator Dei</w:t>
      </w:r>
      <w:r>
        <w:rPr>
          <w:kern w:val="2"/>
        </w:rPr>
        <w:t>;</w:t>
      </w:r>
      <w:r>
        <w:rPr>
          <w:rStyle w:val="FootnoteReference"/>
          <w:rFonts w:cs="Times New Roman"/>
        </w:rPr>
        <w:footnoteReference w:id="46"/>
      </w:r>
      <w:r>
        <w:rPr>
          <w:kern w:val="2"/>
        </w:rPr>
        <w:t xml:space="preserve"> instead, the priest acts in the person of Christ (as affirmed later</w:t>
      </w:r>
      <w:r w:rsidRPr="00D74B7C">
        <w:rPr>
          <w:kern w:val="2"/>
        </w:rPr>
        <w:t xml:space="preserve"> in </w:t>
      </w:r>
      <w:r>
        <w:rPr>
          <w:i/>
          <w:iCs/>
        </w:rPr>
        <w:t>Lumen Gentium</w:t>
      </w:r>
      <w:r>
        <w:rPr>
          <w:iCs/>
        </w:rPr>
        <w:t>, no. 28)</w:t>
      </w:r>
      <w:r>
        <w:rPr>
          <w:rFonts w:cs="Times New Roman"/>
        </w:rPr>
        <w:t>.</w:t>
      </w:r>
    </w:p>
    <w:p w14:paraId="70205907" w14:textId="77777777" w:rsidR="00775CF4" w:rsidRDefault="00775CF4" w:rsidP="00775CF4">
      <w:pPr>
        <w:spacing w:line="480" w:lineRule="auto"/>
        <w:ind w:firstLine="720"/>
        <w:rPr>
          <w:rFonts w:cs="Times New Roman"/>
        </w:rPr>
      </w:pPr>
      <w:r>
        <w:rPr>
          <w:rFonts w:cs="Times New Roman"/>
        </w:rPr>
        <w:t>In the controversy over women’s ordination, the Church’s rejection of the possibility of women priests also seems to require a priority of Christic representation and not merely that of the community.</w:t>
      </w:r>
      <w:r>
        <w:rPr>
          <w:rStyle w:val="FootnoteReference"/>
          <w:rFonts w:cs="Times New Roman"/>
        </w:rPr>
        <w:footnoteReference w:id="47"/>
      </w:r>
      <w:r>
        <w:rPr>
          <w:rFonts w:cs="Times New Roman"/>
        </w:rPr>
        <w:t xml:space="preserve"> Further, the recent decision as to the invalidity of baptisms performed in the name of the community come to a similar conclusion as to the role of the priest as representing </w:t>
      </w:r>
      <w:r>
        <w:rPr>
          <w:rFonts w:cs="Times New Roman"/>
        </w:rPr>
        <w:lastRenderedPageBreak/>
        <w:t>Christ the Head, rather than the community.</w:t>
      </w:r>
      <w:r>
        <w:rPr>
          <w:rStyle w:val="FootnoteReference"/>
          <w:rFonts w:cs="Times New Roman"/>
        </w:rPr>
        <w:footnoteReference w:id="48"/>
      </w:r>
      <w:r>
        <w:rPr>
          <w:rFonts w:cs="Times New Roman"/>
        </w:rPr>
        <w:t xml:space="preserve"> As Welch has argued, such an emphasis on the priest representing the transcendent Christ avoids an “ecclesial Pelagianism” where the Body creates its own sacraments and leadership.</w:t>
      </w:r>
      <w:r>
        <w:rPr>
          <w:rStyle w:val="FootnoteReference"/>
          <w:rFonts w:cs="Times New Roman"/>
        </w:rPr>
        <w:footnoteReference w:id="49"/>
      </w:r>
      <w:r>
        <w:rPr>
          <w:rFonts w:cs="Times New Roman"/>
        </w:rPr>
        <w:t xml:space="preserve"> The priest thus “represents” what the Body receives from Christ the Head. There is no need to oppose the priest’s role as representing Christ as Head, however, from representing the Church, because there is no theological need to divorce the priesthood from the Body as an independent entity. Rather, headship (with the priesthood as “representational” headship) is inherently relational, especially as seen through the lens of the Eucharistic theology of the presbyterate which I think can be derived from both Aquinas and Zizioulas. Consequently, while the priesthood, participating in that of Christ, may create the possibility of Eucharist for the community, it does not mean that the community is an exterior modification or accidental feature.</w:t>
      </w:r>
      <w:r>
        <w:rPr>
          <w:rStyle w:val="FootnoteReference"/>
          <w:rFonts w:cs="Times New Roman"/>
        </w:rPr>
        <w:footnoteReference w:id="50"/>
      </w:r>
      <w:r>
        <w:rPr>
          <w:rFonts w:cs="Times New Roman"/>
        </w:rPr>
        <w:t xml:space="preserve"> This mirrors the ecclesiological truth expressed in Joseph Ratzinger’s priority of the universal Church; for Ratzinger, the unity of the Church is “received from without,” because it results from a participation in Christ’s own unity with the Father. In sum, Christ’s Headship is the source of the Church’s unity.</w:t>
      </w:r>
      <w:r>
        <w:rPr>
          <w:rStyle w:val="FootnoteReference"/>
          <w:rFonts w:cs="Times New Roman"/>
        </w:rPr>
        <w:footnoteReference w:id="51"/>
      </w:r>
      <w:r>
        <w:rPr>
          <w:rFonts w:cs="Times New Roman"/>
        </w:rPr>
        <w:t xml:space="preserve"> Thus, one can affirm a primacy of “representation” in the Eucharistic theologies of orders presented here, and one that perhaps transcends current stalemates on how we should interpret the relationship of “representation”.</w:t>
      </w:r>
    </w:p>
    <w:p w14:paraId="2404474C" w14:textId="77777777" w:rsidR="00775CF4" w:rsidRDefault="00775CF4" w:rsidP="00775CF4">
      <w:pPr>
        <w:spacing w:line="480" w:lineRule="auto"/>
        <w:ind w:firstLine="720"/>
      </w:pPr>
      <w:r>
        <w:rPr>
          <w:rFonts w:cs="Times New Roman"/>
        </w:rPr>
        <w:t xml:space="preserve">Further, </w:t>
      </w:r>
      <w:r>
        <w:rPr>
          <w:rFonts w:cs="Times New Roman"/>
          <w:i/>
          <w:iCs/>
        </w:rPr>
        <w:t>Lumen Gentium</w:t>
      </w:r>
      <w:r>
        <w:rPr>
          <w:rFonts w:cs="Times New Roman"/>
        </w:rPr>
        <w:t xml:space="preserve"> (no. 28) and </w:t>
      </w:r>
      <w:r>
        <w:rPr>
          <w:rFonts w:cs="Times New Roman"/>
          <w:i/>
          <w:iCs/>
        </w:rPr>
        <w:t>Presbyterorum Ordinis</w:t>
      </w:r>
      <w:r>
        <w:rPr>
          <w:rFonts w:cs="Times New Roman"/>
        </w:rPr>
        <w:t xml:space="preserve"> (nos. 2, 5) both support the vision given in Zizioulas and Aquinas of a Eucharistic priesthood, as they identify the priesthood </w:t>
      </w:r>
      <w:r>
        <w:rPr>
          <w:rFonts w:cs="Times New Roman"/>
        </w:rPr>
        <w:lastRenderedPageBreak/>
        <w:t xml:space="preserve">as finding its primary locus or expression in the Eucharistic celebration. While doing so, the modern documents help emphasize what Zizioulas and Aquinas affirm in a wider concept of Eucharistic ministry, holding together elements of the priesthood in the sharing in a threefold </w:t>
      </w:r>
      <w:r>
        <w:rPr>
          <w:rFonts w:cs="Times New Roman"/>
          <w:i/>
          <w:iCs/>
        </w:rPr>
        <w:t>munera</w:t>
      </w:r>
      <w:r>
        <w:rPr>
          <w:rFonts w:cs="Times New Roman"/>
        </w:rPr>
        <w:t xml:space="preserve"> of consecration as priest, prophet, and king.</w:t>
      </w:r>
      <w:r>
        <w:rPr>
          <w:rStyle w:val="FootnoteReference"/>
          <w:rFonts w:cs="Times New Roman"/>
        </w:rPr>
        <w:footnoteReference w:id="52"/>
      </w:r>
      <w:r>
        <w:rPr>
          <w:rFonts w:cs="Times New Roman"/>
        </w:rPr>
        <w:t xml:space="preserve"> The Eucharistic focus also highlights the priestly ministry of the presbyter as ministry to a specific local church and to the Church Universal—no Eucharist is a universal Eucharist, but a particular assembly of the people of God, even as each local Eucharist is celebrated in communion with all other local churches (symbolized by, e.g., commemorations of other hierarchs).</w:t>
      </w:r>
      <w:r>
        <w:rPr>
          <w:rStyle w:val="FootnoteReference"/>
          <w:rFonts w:cs="Times New Roman"/>
        </w:rPr>
        <w:footnoteReference w:id="53"/>
      </w:r>
      <w:r>
        <w:rPr>
          <w:rFonts w:cs="Times New Roman"/>
        </w:rPr>
        <w:t xml:space="preserve"> Finally, both can agree with contemporary ecclesiology that, if the Church gains being from its Eucharistic celebration, all authority in the Mystical Body flows from a new relation to the Eucharist—both are intimately linked.</w:t>
      </w:r>
      <w:r>
        <w:rPr>
          <w:rStyle w:val="FootnoteReference"/>
          <w:rFonts w:cs="Times New Roman"/>
        </w:rPr>
        <w:footnoteReference w:id="54"/>
      </w:r>
      <w:r>
        <w:rPr>
          <w:rFonts w:cs="Times New Roman"/>
        </w:rPr>
        <w:t xml:space="preserve"> The contemporary magisterium has reaffirmed this link in </w:t>
      </w:r>
      <w:r>
        <w:rPr>
          <w:rFonts w:cs="Times New Roman"/>
          <w:i/>
          <w:iCs/>
        </w:rPr>
        <w:t xml:space="preserve">Ecclesia de Eucharistia </w:t>
      </w:r>
      <w:r>
        <w:rPr>
          <w:rFonts w:cs="Times New Roman"/>
        </w:rPr>
        <w:t>which, quoting a prior apostolic letter of the same John Paul II, stated that “</w:t>
      </w:r>
      <w:r>
        <w:rPr>
          <w:rFonts w:cs="Times New Roman"/>
          <w:color w:val="000000"/>
        </w:rPr>
        <w:t>the Eucharist ‘is the principal and central </w:t>
      </w:r>
      <w:r>
        <w:rPr>
          <w:rFonts w:cs="Times New Roman"/>
          <w:i/>
          <w:color w:val="000000"/>
        </w:rPr>
        <w:t>raison d’être </w:t>
      </w:r>
      <w:r>
        <w:rPr>
          <w:rFonts w:cs="Times New Roman"/>
          <w:color w:val="000000"/>
        </w:rPr>
        <w:t>of the sacrament of priesthood, which effectively came into being at the moment of the institution of the Eucharist.’”</w:t>
      </w:r>
      <w:r>
        <w:rPr>
          <w:rStyle w:val="FootnoteReference"/>
          <w:rFonts w:cs="Times New Roman"/>
          <w:color w:val="000000"/>
        </w:rPr>
        <w:footnoteReference w:id="55"/>
      </w:r>
    </w:p>
    <w:p w14:paraId="532FFBDC" w14:textId="77777777" w:rsidR="00775CF4" w:rsidRDefault="00775CF4" w:rsidP="00775CF4">
      <w:pPr>
        <w:spacing w:line="480" w:lineRule="auto"/>
        <w:ind w:firstLine="720"/>
      </w:pPr>
      <w:r>
        <w:t xml:space="preserve">Where the positions of Zizioulas and Aquinas can be of use to each other is precisely in clarifying the differing Eucharistic nature of episcopal and presbyteral ministry. They approach from different angles, but encounter the same problem: if one identifies the ability to celebrate the Eucharist as the unique function of either presbyter or bishop, the other’s function cannot be differentiated adequately. However, because of the way each begins in a different perspective, I think their theories can be synthesized into a more comprehensive insight. With both theologians </w:t>
      </w:r>
      <w:r>
        <w:lastRenderedPageBreak/>
        <w:t xml:space="preserve">affirming a relationship to the Eucharist as constitutive of holy orders, a possible solution lies in differentiating the </w:t>
      </w:r>
      <w:r>
        <w:rPr>
          <w:i/>
          <w:iCs/>
        </w:rPr>
        <w:t xml:space="preserve">way </w:t>
      </w:r>
      <w:r>
        <w:t>in which Eucharistic sacrifice is offered by presbyter or bishop, even as both have equal power to consecrate the Eucharist.</w:t>
      </w:r>
    </w:p>
    <w:p w14:paraId="72DE0B2C" w14:textId="77777777" w:rsidR="00775CF4" w:rsidRDefault="00775CF4" w:rsidP="00775CF4">
      <w:pPr>
        <w:spacing w:line="480" w:lineRule="auto"/>
        <w:ind w:firstLine="720"/>
      </w:pPr>
      <w:r>
        <w:t>On this synthetic picture I am advancing, the difference in order between episcopacy and presbyterium is correlated to a difference in kind of sacrificial offering—the bishop gathers together and offers the Eucharistic sacrifice “within” separated liturgical celebrations headed by presbyters in his diocese or area of jurisdiction, and, in conjunction, each presbyter offers a Eucharistic sacrifice “with” a particular bishop. In essence, the bishop functions as an ontological basis for the unity of the Eucharistic sacrifice of a particular people, gathering together the sacrifice of a particular section of the people of God, whether immediately or mediately through his assistant priests.</w:t>
      </w:r>
    </w:p>
    <w:p w14:paraId="4B5F9889" w14:textId="77777777" w:rsidR="00775CF4" w:rsidRDefault="00775CF4" w:rsidP="00775CF4">
      <w:pPr>
        <w:spacing w:line="480" w:lineRule="auto"/>
        <w:ind w:firstLine="720"/>
      </w:pPr>
      <w:r>
        <w:t>On the other hand, the presbyter is essentially constituted as a “concelebrant” of a bishop’s Eucharist. Correlatively, the relationship of the bishop to the local church is one of unity among Eucharists, and so that teaching and governing is manifested and sealed in ministry at the altar.</w:t>
      </w:r>
      <w:r>
        <w:rPr>
          <w:rStyle w:val="FootnoteReference"/>
        </w:rPr>
        <w:footnoteReference w:id="56"/>
      </w:r>
      <w:r>
        <w:t xml:space="preserve"> The presbyterate is, correspondingly, jointly representative of Christ as Head and of the bishop, and its task is to extend the bishop’s liturgy and teaching into the wider community, gathering all into unity, and exercising the three-fold </w:t>
      </w:r>
      <w:r>
        <w:rPr>
          <w:i/>
          <w:iCs/>
        </w:rPr>
        <w:t xml:space="preserve">munera </w:t>
      </w:r>
      <w:r>
        <w:t xml:space="preserve">in a limited capacity. Following Zizioulas, we can affirm that it is the bishop’s task to offer the Eucharistic sacrifice for a particular locale and to be the “primary celebrant” </w:t>
      </w:r>
      <w:r w:rsidRPr="005824AE">
        <w:rPr>
          <w:i/>
          <w:iCs/>
        </w:rPr>
        <w:t>there</w:t>
      </w:r>
      <w:r>
        <w:t xml:space="preserve">; following Thomas, the presbyterate is ordered equally toward the Eucharist but essentially as </w:t>
      </w:r>
      <w:r>
        <w:rPr>
          <w:i/>
          <w:iCs/>
        </w:rPr>
        <w:t>concelebrant</w:t>
      </w:r>
      <w:r>
        <w:t xml:space="preserve"> of some bishop, and therefore ordered to evangelization and ministry in a diocese alongside that bishop. The bishop has a priority flowing from that liturgical presidency in evangelization, pastoral work, and </w:t>
      </w:r>
      <w:r>
        <w:lastRenderedPageBreak/>
        <w:t>preaching—he acquires even a marital relationship of perfection to his diocese— but is also an ontological principle of unity as a sacramental order above that of the presbyterate.</w:t>
      </w:r>
    </w:p>
    <w:p w14:paraId="2D6B9BDC" w14:textId="77777777" w:rsidR="00775CF4" w:rsidRDefault="00775CF4" w:rsidP="00775CF4">
      <w:pPr>
        <w:spacing w:line="480" w:lineRule="auto"/>
        <w:ind w:firstLine="720"/>
      </w:pPr>
      <w:r>
        <w:t>The second facet of my presentation will involve briefly addressing what seem to be difficulties consequent upon this account. The chief difficulty in accepting this view undoubtedly is something of an argument from silence. It seems odd to argue that there is a real difference in presiding at the Eucharist and sacrificial offering, as the theme has not clearly been treated by prior theologians. Alongside this difficulty come more serious ones which follow in light of the nature of Eucharistic sacrifice. Does one need to hold that there is a separate logical moment of offering within the Eucharistic prayer alongside the words of institution? Is there no sacrifice when a presbyter offers the sacrifice out of communion from a bishop? Finally, connected with the nature of holy orders itself, are those ordinations to the presbyterate/diaconate strictly invalid when one is not being ordained for an office in a particular local church (i.e., “absolute” ordinations)? I will shortly address each of these in turn, offering an outline of responses to historical and systematic considerations, but I hope to show that these questions, while needing to be fully addressed elsewhere, are not fatal objections to the distinction I offer.</w:t>
      </w:r>
    </w:p>
    <w:p w14:paraId="14470378" w14:textId="77777777" w:rsidR="00775CF4" w:rsidRDefault="00775CF4" w:rsidP="00775CF4">
      <w:pPr>
        <w:spacing w:line="480" w:lineRule="auto"/>
        <w:ind w:firstLine="720"/>
      </w:pPr>
    </w:p>
    <w:p w14:paraId="035CBD15" w14:textId="77777777" w:rsidR="00775CF4" w:rsidRPr="00217D2C" w:rsidRDefault="00775CF4" w:rsidP="00775CF4">
      <w:pPr>
        <w:spacing w:line="480" w:lineRule="auto"/>
        <w:rPr>
          <w:i/>
          <w:iCs/>
        </w:rPr>
      </w:pPr>
      <w:r w:rsidRPr="00217D2C">
        <w:rPr>
          <w:i/>
          <w:iCs/>
        </w:rPr>
        <w:t>a. Historical Evidence for the Proposed Distinction</w:t>
      </w:r>
    </w:p>
    <w:p w14:paraId="17CE81BC" w14:textId="77777777" w:rsidR="00775CF4" w:rsidRDefault="00775CF4" w:rsidP="00775CF4">
      <w:pPr>
        <w:spacing w:line="480" w:lineRule="auto"/>
        <w:ind w:firstLine="720"/>
      </w:pPr>
      <w:r>
        <w:t xml:space="preserve">The chief difficulty, as I noted, seems to be that this systematic distinction between presbyterate and episcopacy has never been made—an argument from silence in the tradition on this particular distinction. However, I contend that much of both traditional language about the episcopacy, especially in the East, and contemporary magisterial teaching affirms this distinction (albeit implicitly). While I cannot engage in an historical study of how this view exists in many places latent in patristic thought, I can offer some suggestions for research and highlights from </w:t>
      </w:r>
      <w:r>
        <w:lastRenderedPageBreak/>
        <w:t>some varied periods.</w:t>
      </w:r>
    </w:p>
    <w:p w14:paraId="6853B820" w14:textId="77777777" w:rsidR="00775CF4" w:rsidRDefault="00775CF4" w:rsidP="00775CF4">
      <w:pPr>
        <w:spacing w:line="480" w:lineRule="auto"/>
        <w:ind w:firstLine="720"/>
        <w:rPr>
          <w:rFonts w:cs="Times New Roman"/>
          <w:color w:val="000000"/>
        </w:rPr>
      </w:pPr>
      <w:r>
        <w:t>One of the most prominent places in which one can find indications of such a concept is in the writings of St. Ignatius of Antioch. His famous letter to the Ephesi</w:t>
      </w:r>
      <w:r>
        <w:rPr>
          <w:color w:val="000000"/>
        </w:rPr>
        <w:t>ans, in its fourth, fifth, and sixth chapters, endorses the idea that the Church is not truly gathered around the altar except when united with the bishop. The same is implicit in his other calls to unity with the bishop, as in those to the Magnesians, Philadelphians and Trallians. The most</w:t>
      </w:r>
      <w:r>
        <w:rPr>
          <w:rFonts w:cs="Times New Roman"/>
          <w:color w:val="000000"/>
        </w:rPr>
        <w:t xml:space="preserve"> explicit is in his letter to the Smyrneans, where he says, “Let no man do anything connected with the </w:t>
      </w:r>
      <w:r>
        <w:rPr>
          <w:color w:val="000000"/>
        </w:rPr>
        <w:t>Church</w:t>
      </w:r>
      <w:r>
        <w:rPr>
          <w:rFonts w:cs="Times New Roman"/>
          <w:color w:val="000000"/>
        </w:rPr>
        <w:t> without the </w:t>
      </w:r>
      <w:r>
        <w:rPr>
          <w:color w:val="000000"/>
        </w:rPr>
        <w:t>bishop</w:t>
      </w:r>
      <w:r>
        <w:rPr>
          <w:rFonts w:cs="Times New Roman"/>
          <w:color w:val="000000"/>
        </w:rPr>
        <w:t>. Let that be deemed a proper </w:t>
      </w:r>
      <w:r>
        <w:rPr>
          <w:color w:val="000000"/>
        </w:rPr>
        <w:t>Eucharist</w:t>
      </w:r>
      <w:r>
        <w:rPr>
          <w:rFonts w:cs="Times New Roman"/>
          <w:color w:val="000000"/>
        </w:rPr>
        <w:t>, which is [administered] either by the </w:t>
      </w:r>
      <w:r>
        <w:rPr>
          <w:color w:val="000000"/>
        </w:rPr>
        <w:t>bishop</w:t>
      </w:r>
      <w:r>
        <w:rPr>
          <w:rFonts w:cs="Times New Roman"/>
          <w:color w:val="000000"/>
        </w:rPr>
        <w:t>, or by one to whom he has entrusted it.”</w:t>
      </w:r>
      <w:r>
        <w:rPr>
          <w:rStyle w:val="FootnoteReference"/>
          <w:rFonts w:cs="Times New Roman"/>
          <w:color w:val="000000"/>
        </w:rPr>
        <w:footnoteReference w:id="57"/>
      </w:r>
      <w:r>
        <w:rPr>
          <w:rFonts w:cs="Times New Roman"/>
          <w:color w:val="000000"/>
        </w:rPr>
        <w:t xml:space="preserve"> St. Irenaeus of Lyon is another representative figure of this strand of early thinking, seeing the unity of the Church and its offering as finding its basis in the ministry of the bishop.</w:t>
      </w:r>
      <w:r>
        <w:rPr>
          <w:rStyle w:val="FootnoteReference"/>
          <w:rFonts w:cs="Times New Roman"/>
          <w:color w:val="000000"/>
        </w:rPr>
        <w:footnoteReference w:id="58"/>
      </w:r>
      <w:r>
        <w:rPr>
          <w:rFonts w:cs="Times New Roman"/>
          <w:color w:val="000000"/>
        </w:rPr>
        <w:t xml:space="preserve"> The same is echoed in the writings of St. Cyprian of Carthage.</w:t>
      </w:r>
      <w:r>
        <w:rPr>
          <w:rStyle w:val="FootnoteReference"/>
          <w:rFonts w:cs="Times New Roman"/>
          <w:color w:val="000000"/>
        </w:rPr>
        <w:footnoteReference w:id="59"/>
      </w:r>
      <w:r w:rsidRPr="009233FC">
        <w:rPr>
          <w:rFonts w:cs="Times New Roman"/>
          <w:color w:val="000000"/>
        </w:rPr>
        <w:t xml:space="preserve"> </w:t>
      </w:r>
      <w:r>
        <w:rPr>
          <w:rFonts w:cs="Times New Roman"/>
          <w:color w:val="000000"/>
        </w:rPr>
        <w:t>While many figures in the early Church</w:t>
      </w:r>
      <w:r w:rsidRPr="009233FC">
        <w:rPr>
          <w:rFonts w:cs="Times New Roman"/>
          <w:color w:val="000000"/>
        </w:rPr>
        <w:t xml:space="preserve"> </w:t>
      </w:r>
      <w:r>
        <w:rPr>
          <w:rFonts w:cs="Times New Roman"/>
          <w:color w:val="000000"/>
        </w:rPr>
        <w:t>provide grounds for this distinction in explicit statements about the role of the bishop in the local church</w:t>
      </w:r>
      <w:r w:rsidRPr="009233FC">
        <w:rPr>
          <w:rFonts w:cs="Times New Roman"/>
          <w:color w:val="000000"/>
        </w:rPr>
        <w:t xml:space="preserve">, </w:t>
      </w:r>
      <w:r>
        <w:rPr>
          <w:rFonts w:cs="Times New Roman"/>
          <w:color w:val="000000"/>
        </w:rPr>
        <w:t xml:space="preserve">we also find many writers who, like St. Clement of Rome, invoke </w:t>
      </w:r>
      <w:r w:rsidRPr="009233FC">
        <w:rPr>
          <w:rFonts w:cs="Times New Roman"/>
          <w:color w:val="000000"/>
        </w:rPr>
        <w:t>Old Testament typology that alludes implicitly to different ways that participants offer the Eucharistic sacrifice.</w:t>
      </w:r>
      <w:r w:rsidRPr="009233FC">
        <w:rPr>
          <w:rFonts w:cs="Times New Roman"/>
          <w:color w:val="000000"/>
          <w:vertAlign w:val="superscript"/>
        </w:rPr>
        <w:footnoteReference w:id="60"/>
      </w:r>
      <w:r>
        <w:rPr>
          <w:rFonts w:cs="Times New Roman"/>
          <w:color w:val="000000"/>
        </w:rPr>
        <w:t xml:space="preserve"> The distinction, then, between ways that different offices or persons in the Church offer the Eucharist is a widespread one, even when not invoked to distinguish the episcopacy from the presbyterate.</w:t>
      </w:r>
    </w:p>
    <w:p w14:paraId="6ECB919E" w14:textId="77777777" w:rsidR="00775CF4" w:rsidRDefault="00775CF4" w:rsidP="00775CF4">
      <w:pPr>
        <w:spacing w:line="480" w:lineRule="auto"/>
        <w:ind w:firstLine="720"/>
        <w:rPr>
          <w:rFonts w:cs="Times New Roman"/>
          <w:color w:val="000000"/>
        </w:rPr>
      </w:pPr>
      <w:r>
        <w:rPr>
          <w:rFonts w:cs="Times New Roman"/>
          <w:color w:val="000000"/>
        </w:rPr>
        <w:t xml:space="preserve">Later writings follow up on this basic intuition. Outstanding among these are the writings </w:t>
      </w:r>
      <w:r>
        <w:rPr>
          <w:rFonts w:cs="Times New Roman"/>
          <w:color w:val="000000"/>
        </w:rPr>
        <w:lastRenderedPageBreak/>
        <w:t>of Pseudo-Dionysus the Areopagite who, perhaps as a representative of Syrian theology, understands the bishop as the consummation and perfecter of holy orders. This place as a summit position involves gathering together and completing all that is done in lower orders.</w:t>
      </w:r>
      <w:r>
        <w:rPr>
          <w:rStyle w:val="FootnoteReference"/>
          <w:rFonts w:cs="Times New Roman"/>
          <w:color w:val="000000"/>
        </w:rPr>
        <w:footnoteReference w:id="61"/>
      </w:r>
      <w:r>
        <w:rPr>
          <w:rFonts w:cs="Times New Roman"/>
          <w:color w:val="000000"/>
        </w:rPr>
        <w:t xml:space="preserve"> Dionysus is also very explicit in placing the Eucharist as the act </w:t>
      </w:r>
      <w:r>
        <w:rPr>
          <w:rFonts w:cs="Times New Roman"/>
          <w:i/>
          <w:iCs/>
          <w:color w:val="000000"/>
        </w:rPr>
        <w:t xml:space="preserve">par excellence </w:t>
      </w:r>
      <w:r>
        <w:rPr>
          <w:rFonts w:cs="Times New Roman"/>
          <w:color w:val="000000"/>
        </w:rPr>
        <w:t>of the hierarch, and that act which most especially gathers together the people who are offered.</w:t>
      </w:r>
      <w:r>
        <w:rPr>
          <w:rStyle w:val="FootnoteReference"/>
          <w:rFonts w:cs="Times New Roman"/>
          <w:color w:val="000000"/>
        </w:rPr>
        <w:footnoteReference w:id="62"/>
      </w:r>
      <w:r>
        <w:rPr>
          <w:rFonts w:cs="Times New Roman"/>
          <w:color w:val="000000"/>
        </w:rPr>
        <w:t xml:space="preserve"> It is at least tantalizing to note that we find even St. Augustine linking side-by-side the heretical denial of a distinction between episcopacy and presbyteral orders and of the sacrificial efficacy of the Mass.</w:t>
      </w:r>
      <w:r>
        <w:rPr>
          <w:rStyle w:val="FootnoteReference"/>
          <w:rFonts w:cs="Times New Roman"/>
          <w:color w:val="000000"/>
        </w:rPr>
        <w:footnoteReference w:id="63"/>
      </w:r>
      <w:r>
        <w:rPr>
          <w:rStyle w:val="FootnoteReference"/>
          <w:rFonts w:cs="Times New Roman"/>
          <w:color w:val="000000"/>
        </w:rPr>
        <w:t xml:space="preserve"> </w:t>
      </w:r>
      <w:r>
        <w:rPr>
          <w:rFonts w:cs="Times New Roman"/>
          <w:color w:val="000000"/>
        </w:rPr>
        <w:t>One finds further explicit support in early Church orders</w:t>
      </w:r>
      <w:r>
        <w:rPr>
          <w:rFonts w:cs="Times New Roman"/>
          <w:i/>
          <w:iCs/>
          <w:color w:val="000000"/>
        </w:rPr>
        <w:t xml:space="preserve">. </w:t>
      </w:r>
      <w:r>
        <w:rPr>
          <w:rFonts w:cs="Times New Roman"/>
          <w:color w:val="000000"/>
        </w:rPr>
        <w:t xml:space="preserve">Taking the </w:t>
      </w:r>
      <w:r>
        <w:rPr>
          <w:rFonts w:cs="Times New Roman"/>
          <w:i/>
          <w:iCs/>
          <w:color w:val="000000"/>
        </w:rPr>
        <w:t>Apostolic Tradition</w:t>
      </w:r>
      <w:r>
        <w:rPr>
          <w:rFonts w:cs="Times New Roman"/>
          <w:color w:val="000000"/>
        </w:rPr>
        <w:t xml:space="preserve"> as an exemplar, it is noteworthy that the office of the bishop is the only one who merits the title of “high priest,” and who is explicitly mentioned as one who offers the gifts of the Holy Church.</w:t>
      </w:r>
      <w:r>
        <w:rPr>
          <w:rStyle w:val="FootnoteReference"/>
          <w:rFonts w:cs="Times New Roman"/>
          <w:color w:val="000000"/>
        </w:rPr>
        <w:footnoteReference w:id="64"/>
      </w:r>
      <w:r>
        <w:rPr>
          <w:rFonts w:cs="Times New Roman"/>
          <w:color w:val="000000"/>
        </w:rPr>
        <w:t xml:space="preserve"> By contrast, while a recognized concelebrant who offers the gifts with the bishop, the ordination prayer proper to presbyters highlights the gift of “counsel.”</w:t>
      </w:r>
      <w:r>
        <w:rPr>
          <w:rStyle w:val="FootnoteReference"/>
          <w:rFonts w:cs="Times New Roman"/>
          <w:color w:val="000000"/>
        </w:rPr>
        <w:footnoteReference w:id="65"/>
      </w:r>
      <w:r>
        <w:rPr>
          <w:rFonts w:cs="Times New Roman"/>
          <w:color w:val="000000"/>
        </w:rPr>
        <w:t xml:space="preserve"> It similarly notes that the presbyter has “the power of this alone, that he may receive; but he does not have power to give,” and this is given as the reason the presbyter does not lay on hands in the ordination of the diaconate— thus, similarly, the presbyter “seals” at ordinations of fellow presbyters, but only the bishop properly “ordains.”</w:t>
      </w:r>
      <w:r>
        <w:rPr>
          <w:rStyle w:val="FootnoteReference"/>
          <w:rFonts w:cs="Times New Roman"/>
          <w:color w:val="000000"/>
        </w:rPr>
        <w:footnoteReference w:id="66"/>
      </w:r>
      <w:r>
        <w:rPr>
          <w:rFonts w:cs="Times New Roman"/>
          <w:color w:val="000000"/>
        </w:rPr>
        <w:t xml:space="preserve"> The canonical codex of the Orthodox Church, let alone the Latin, both continue to witness to these distinctions as well. But it would be tedious and beyond the scope of this essay to give an overview of sacramental formulae, canons, and sacramental theology of the Fathers; it </w:t>
      </w:r>
      <w:r>
        <w:rPr>
          <w:rFonts w:cs="Times New Roman"/>
          <w:color w:val="000000"/>
        </w:rPr>
        <w:lastRenderedPageBreak/>
        <w:t xml:space="preserve">suffices to show that there is ample material in the early Church to serve as potential justification for the distinction. </w:t>
      </w:r>
    </w:p>
    <w:p w14:paraId="129E4D1E" w14:textId="77777777" w:rsidR="00775CF4" w:rsidRDefault="00775CF4" w:rsidP="00775CF4">
      <w:pPr>
        <w:spacing w:line="480" w:lineRule="auto"/>
        <w:ind w:firstLine="720"/>
        <w:rPr>
          <w:rFonts w:cs="Times New Roman"/>
          <w:color w:val="000000"/>
          <w:shd w:val="clear" w:color="auto" w:fill="FFFFFF"/>
        </w:rPr>
      </w:pPr>
      <w:r>
        <w:rPr>
          <w:rFonts w:cs="Times New Roman"/>
          <w:color w:val="000000"/>
        </w:rPr>
        <w:t>More relevant, perhaps for liturgical theology in particular, would be whether Catholic magisterial teaching in the modern period has either supported or intimated the distinction between presbyter and bishop on the lines I have suggested of sacrificial offering. As noted before, the connection of the priesthood to the Eucharist is clear and continuous, needing no special proof; Vatican II only continued the common teaching</w:t>
      </w:r>
      <w:r w:rsidRPr="00084160">
        <w:rPr>
          <w:rFonts w:cs="Times New Roman"/>
          <w:color w:val="000000"/>
        </w:rPr>
        <w:t>.</w:t>
      </w:r>
      <w:r w:rsidRPr="00084160">
        <w:rPr>
          <w:rStyle w:val="FootnoteReference"/>
          <w:rFonts w:cs="Times New Roman"/>
          <w:color w:val="000000"/>
        </w:rPr>
        <w:footnoteReference w:id="67"/>
      </w:r>
      <w:r w:rsidRPr="00084160">
        <w:rPr>
          <w:rFonts w:cs="Times New Roman"/>
          <w:color w:val="000000"/>
        </w:rPr>
        <w:t xml:space="preserve"> But</w:t>
      </w:r>
      <w:r>
        <w:rPr>
          <w:rFonts w:cs="Times New Roman"/>
          <w:color w:val="000000"/>
        </w:rPr>
        <w:t xml:space="preserve"> what is important about the magisterial teaching on this subject is that the distinction between the orders of episcopate and presbyterate was only recently made explicit. The development of a doctrinal consensus on the distinct sacramental character of the episcopacy was virtually affirmed at the Council of Trent, which taught </w:t>
      </w:r>
      <w:r>
        <w:rPr>
          <w:rFonts w:cs="Times New Roman"/>
        </w:rPr>
        <w:t>that bishops are part of the divinely instituted hierarchy, that they are superior to priests, that they have the ability</w:t>
      </w:r>
      <w:r>
        <w:t xml:space="preserve"> to ordain and confirm, and that they have a power not common to priests.</w:t>
      </w:r>
      <w:r>
        <w:rPr>
          <w:rStyle w:val="FootnoteReference"/>
        </w:rPr>
        <w:footnoteReference w:id="68"/>
      </w:r>
      <w:r>
        <w:t xml:space="preserve"> But the council left the question open, as it refrained from deciding between rival theological schools at the time. T</w:t>
      </w:r>
      <w:r>
        <w:rPr>
          <w:rFonts w:cs="Times New Roman"/>
          <w:color w:val="000000"/>
        </w:rPr>
        <w:t xml:space="preserve">he </w:t>
      </w:r>
      <w:r>
        <w:rPr>
          <w:rFonts w:cs="Times New Roman"/>
          <w:i/>
          <w:iCs/>
          <w:color w:val="000000"/>
        </w:rPr>
        <w:t>Roman</w:t>
      </w:r>
      <w:r w:rsidRPr="00C06528">
        <w:rPr>
          <w:i/>
          <w:color w:val="000000"/>
        </w:rPr>
        <w:t xml:space="preserve"> Catechism</w:t>
      </w:r>
      <w:r>
        <w:rPr>
          <w:rFonts w:cs="Times New Roman"/>
          <w:i/>
          <w:iCs/>
          <w:color w:val="000000"/>
        </w:rPr>
        <w:t xml:space="preserve"> </w:t>
      </w:r>
      <w:r>
        <w:rPr>
          <w:rFonts w:cs="Times New Roman"/>
          <w:color w:val="000000"/>
        </w:rPr>
        <w:t>(issued after the Council of Trent) relegates the order of “bishop” to an addendum on holy orders that treats of these other ranks as ranks of “dignity,” alongside “archbishop,” “patriarch,” and “pope.”</w:t>
      </w:r>
      <w:r>
        <w:rPr>
          <w:rStyle w:val="FootnoteReference"/>
          <w:rFonts w:cs="Times New Roman"/>
          <w:color w:val="000000"/>
        </w:rPr>
        <w:footnoteReference w:id="69"/>
      </w:r>
      <w:r>
        <w:rPr>
          <w:rFonts w:cs="Times New Roman"/>
          <w:color w:val="000000"/>
        </w:rPr>
        <w:t xml:space="preserve"> There is in the immediate post-Tridentine era no clear reflection on the distinction between orders that commands universal assent. St. Robert Bellarmine is one of the clearest and most forcefully in favor of the sacramentality of the e</w:t>
      </w:r>
      <w:r>
        <w:rPr>
          <w:rFonts w:cs="Times New Roman"/>
          <w:color w:val="000000"/>
          <w:shd w:val="clear" w:color="auto" w:fill="FFFFFF"/>
        </w:rPr>
        <w:t>piscopate,</w:t>
      </w:r>
      <w:r>
        <w:rPr>
          <w:rStyle w:val="FootnoteReference"/>
          <w:rFonts w:cs="Times New Roman"/>
          <w:color w:val="000000"/>
          <w:shd w:val="clear" w:color="auto" w:fill="FFFFFF"/>
        </w:rPr>
        <w:footnoteReference w:id="70"/>
      </w:r>
      <w:r>
        <w:rPr>
          <w:rFonts w:cs="Times New Roman"/>
          <w:color w:val="000000"/>
          <w:shd w:val="clear" w:color="auto" w:fill="FFFFFF"/>
        </w:rPr>
        <w:t xml:space="preserve"> and it was only post-Bellarmine that this teaching gradually </w:t>
      </w:r>
      <w:r>
        <w:rPr>
          <w:rFonts w:cs="Times New Roman"/>
          <w:color w:val="000000"/>
          <w:shd w:val="clear" w:color="auto" w:fill="FFFFFF"/>
        </w:rPr>
        <w:lastRenderedPageBreak/>
        <w:t xml:space="preserve">gained universal consensus. </w:t>
      </w:r>
    </w:p>
    <w:p w14:paraId="5E012EF8" w14:textId="77777777" w:rsidR="00775CF4" w:rsidRDefault="00775CF4" w:rsidP="00775CF4">
      <w:pPr>
        <w:spacing w:line="480" w:lineRule="auto"/>
        <w:ind w:firstLine="720"/>
        <w:rPr>
          <w:rFonts w:cs="Times New Roman"/>
          <w:color w:val="000000"/>
          <w:shd w:val="clear" w:color="auto" w:fill="FFFFFF"/>
        </w:rPr>
      </w:pPr>
      <w:r>
        <w:rPr>
          <w:rFonts w:cs="Times New Roman"/>
          <w:color w:val="000000"/>
          <w:shd w:val="clear" w:color="auto" w:fill="FFFFFF"/>
        </w:rPr>
        <w:t>In the modern period, the magisterium made more definite pronouncements on the distinction between orders that affirmed the sacramentality of the episcopacy, but in general any claims as to the uniqueness of the episcopacy remained only implicit in these documents.</w:t>
      </w:r>
      <w:r>
        <w:rPr>
          <w:rStyle w:val="FootnoteReference"/>
          <w:rFonts w:cs="Times New Roman"/>
          <w:color w:val="000000"/>
          <w:shd w:val="clear" w:color="auto" w:fill="FFFFFF"/>
        </w:rPr>
        <w:footnoteReference w:id="71"/>
      </w:r>
      <w:r>
        <w:rPr>
          <w:rFonts w:cs="Times New Roman"/>
          <w:color w:val="000000"/>
          <w:shd w:val="clear" w:color="auto" w:fill="FFFFFF"/>
        </w:rPr>
        <w:t xml:space="preserve"> As a consequence, even into the contemporary period, different opinions were to be found; Louis Billot, mentioned earlier, was representative of a strand in Thomism that continued to affirm the traditional thesis that the episcopacy was not a distinct sacramental order.</w:t>
      </w:r>
      <w:r>
        <w:rPr>
          <w:rStyle w:val="FootnoteReference"/>
          <w:rFonts w:cs="Times New Roman"/>
          <w:color w:val="000000"/>
          <w:shd w:val="clear" w:color="auto" w:fill="FFFFFF"/>
        </w:rPr>
        <w:footnoteReference w:id="72"/>
      </w:r>
      <w:r>
        <w:rPr>
          <w:rFonts w:cs="Times New Roman"/>
          <w:color w:val="000000"/>
          <w:shd w:val="clear" w:color="auto" w:fill="FFFFFF"/>
        </w:rPr>
        <w:t xml:space="preserve"> Only with Vatican II did there arrive on the scene explicit reflection in magisterial teaching. The presbyterate is explicitly connected to the episcopacy, not simply because presbyters receive their “mission” from their bishop, but because they are sharers in the same “office,” “ministry,” and “consecration.”</w:t>
      </w:r>
      <w:r>
        <w:rPr>
          <w:rStyle w:val="FootnoteReference"/>
          <w:rFonts w:cs="Times New Roman"/>
          <w:color w:val="000000"/>
          <w:shd w:val="clear" w:color="auto" w:fill="FFFFFF"/>
        </w:rPr>
        <w:footnoteReference w:id="73"/>
      </w:r>
      <w:r>
        <w:rPr>
          <w:rFonts w:cs="Times New Roman"/>
          <w:color w:val="000000"/>
          <w:shd w:val="clear" w:color="auto" w:fill="FFFFFF"/>
        </w:rPr>
        <w:t xml:space="preserve"> They form one priesthood with their bishop and this requires hierarchical communion with them on the part of presbyters.</w:t>
      </w:r>
      <w:r>
        <w:rPr>
          <w:rStyle w:val="FootnoteReference"/>
          <w:rFonts w:cs="Times New Roman"/>
          <w:color w:val="000000"/>
          <w:shd w:val="clear" w:color="auto" w:fill="FFFFFF"/>
        </w:rPr>
        <w:footnoteReference w:id="74"/>
      </w:r>
      <w:r>
        <w:rPr>
          <w:rFonts w:cs="Times New Roman"/>
          <w:color w:val="000000"/>
          <w:shd w:val="clear" w:color="auto" w:fill="FFFFFF"/>
        </w:rPr>
        <w:t xml:space="preserve"> There is no language of participating in the same sacrifice or offering the sacrifice of the Eucharist distinctly, but the claims are bold in affirming some internal relationship stemming from the character of the orders themselves. The bishop gathers the local church “through the Gospel and the Eucharist in the Holy Spirit.”</w:t>
      </w:r>
      <w:r>
        <w:rPr>
          <w:rStyle w:val="FootnoteReference"/>
          <w:rFonts w:cs="Times New Roman"/>
          <w:color w:val="000000"/>
          <w:shd w:val="clear" w:color="auto" w:fill="FFFFFF"/>
        </w:rPr>
        <w:footnoteReference w:id="75"/>
      </w:r>
      <w:r>
        <w:rPr>
          <w:rStyle w:val="FootnoteReference"/>
          <w:rFonts w:cs="Times New Roman"/>
          <w:color w:val="000000"/>
          <w:shd w:val="clear" w:color="auto" w:fill="FFFFFF"/>
        </w:rPr>
        <w:t xml:space="preserve"> </w:t>
      </w:r>
      <w:r>
        <w:rPr>
          <w:rFonts w:cs="Times New Roman"/>
          <w:color w:val="000000"/>
          <w:shd w:val="clear" w:color="auto" w:fill="FFFFFF"/>
        </w:rPr>
        <w:t xml:space="preserve">Priestly ministry is to gather the local church together with their bishop—a task connected with the offering of the Eucharist by which “in a certain way they make [the bishop] present in every </w:t>
      </w:r>
      <w:r>
        <w:rPr>
          <w:rFonts w:cs="Times New Roman"/>
          <w:color w:val="000000"/>
          <w:shd w:val="clear" w:color="auto" w:fill="FFFFFF"/>
        </w:rPr>
        <w:lastRenderedPageBreak/>
        <w:t>congregation.”</w:t>
      </w:r>
      <w:r>
        <w:rPr>
          <w:rStyle w:val="FootnoteReference"/>
          <w:rFonts w:cs="Times New Roman"/>
          <w:color w:val="000000"/>
          <w:shd w:val="clear" w:color="auto" w:fill="FFFFFF"/>
        </w:rPr>
        <w:footnoteReference w:id="76"/>
      </w:r>
      <w:r>
        <w:rPr>
          <w:rFonts w:cs="Times New Roman"/>
          <w:color w:val="000000"/>
          <w:shd w:val="clear" w:color="auto" w:fill="FFFFFF"/>
        </w:rPr>
        <w:t xml:space="preserve"> Similarly, even the notion of “jurisdiction” needed for priestly acts (like penance)</w:t>
      </w:r>
      <w:r>
        <w:rPr>
          <w:rStyle w:val="FootnoteReference"/>
          <w:rFonts w:cs="Times New Roman"/>
          <w:color w:val="000000"/>
        </w:rPr>
        <w:footnoteReference w:id="77"/>
      </w:r>
      <w:r>
        <w:rPr>
          <w:rFonts w:cs="Times New Roman"/>
          <w:color w:val="000000"/>
        </w:rPr>
        <w:t xml:space="preserve"> is traced back not to merely a legal delineation but, as </w:t>
      </w:r>
      <w:r>
        <w:rPr>
          <w:rFonts w:cs="Times New Roman"/>
          <w:i/>
          <w:iCs/>
          <w:color w:val="000000"/>
        </w:rPr>
        <w:t>Lumen Gentium</w:t>
      </w:r>
      <w:r>
        <w:rPr>
          <w:rFonts w:cs="Times New Roman"/>
          <w:color w:val="000000"/>
        </w:rPr>
        <w:t>, no.</w:t>
      </w:r>
      <w:r>
        <w:rPr>
          <w:rFonts w:cs="Times New Roman"/>
          <w:i/>
          <w:iCs/>
          <w:color w:val="000000"/>
        </w:rPr>
        <w:t xml:space="preserve"> </w:t>
      </w:r>
      <w:r>
        <w:rPr>
          <w:rFonts w:cs="Times New Roman"/>
          <w:color w:val="000000"/>
        </w:rPr>
        <w:t>21 affirms, directly from the order of bishops considered as a sacramental order. While there is nowhere</w:t>
      </w:r>
      <w:r>
        <w:rPr>
          <w:rFonts w:cs="Times New Roman"/>
          <w:color w:val="000000"/>
          <w:shd w:val="clear" w:color="auto" w:fill="FFFFFF"/>
        </w:rPr>
        <w:t xml:space="preserve"> an explicit theory of offering the Eucharistic sacrifice as “concelebrants” of a bishop’s local Eucharist, the theological presuppositions could easily support that theory.</w:t>
      </w:r>
    </w:p>
    <w:p w14:paraId="6E73CD56" w14:textId="77777777" w:rsidR="00775CF4" w:rsidRDefault="00775CF4" w:rsidP="00775CF4">
      <w:pPr>
        <w:spacing w:line="480" w:lineRule="auto"/>
        <w:ind w:firstLine="720"/>
        <w:rPr>
          <w:rFonts w:cs="Times New Roman"/>
          <w:color w:val="000000"/>
          <w:shd w:val="clear" w:color="auto" w:fill="FFFFFF"/>
        </w:rPr>
      </w:pPr>
    </w:p>
    <w:p w14:paraId="6B995600" w14:textId="77777777" w:rsidR="00775CF4" w:rsidRPr="00217D2C" w:rsidRDefault="00775CF4" w:rsidP="00775CF4">
      <w:pPr>
        <w:spacing w:line="480" w:lineRule="auto"/>
        <w:rPr>
          <w:rFonts w:cs="Times New Roman"/>
          <w:i/>
          <w:iCs/>
          <w:color w:val="000000"/>
          <w:shd w:val="clear" w:color="auto" w:fill="FFFFFF"/>
        </w:rPr>
      </w:pPr>
      <w:r w:rsidRPr="00217D2C">
        <w:rPr>
          <w:rFonts w:cs="Times New Roman"/>
          <w:i/>
          <w:iCs/>
          <w:color w:val="000000"/>
          <w:shd w:val="clear" w:color="auto" w:fill="FFFFFF"/>
        </w:rPr>
        <w:t>b. Drawing Analogical Parallels</w:t>
      </w:r>
    </w:p>
    <w:p w14:paraId="74851E48" w14:textId="77777777" w:rsidR="00775CF4" w:rsidRDefault="00775CF4" w:rsidP="00775CF4">
      <w:pPr>
        <w:spacing w:line="480" w:lineRule="auto"/>
        <w:ind w:firstLine="720"/>
        <w:rPr>
          <w:rFonts w:cs="Times New Roman"/>
          <w:color w:val="000000"/>
        </w:rPr>
      </w:pPr>
      <w:r>
        <w:rPr>
          <w:rFonts w:cs="Times New Roman"/>
          <w:color w:val="000000"/>
          <w:shd w:val="clear" w:color="auto" w:fill="FFFFFF"/>
        </w:rPr>
        <w:t xml:space="preserve">While a distinct mention of a difference in the offering of sacrifice between presbyteral and episcopal orders is nowhere explicit, the most promising way to find this implicit in Catholic doctrinal tradition is by way of an </w:t>
      </w:r>
      <w:r>
        <w:rPr>
          <w:rFonts w:cs="Times New Roman"/>
          <w:i/>
          <w:iCs/>
          <w:color w:val="000000"/>
          <w:shd w:val="clear" w:color="auto" w:fill="FFFFFF"/>
        </w:rPr>
        <w:t>analogi</w:t>
      </w:r>
      <w:r>
        <w:rPr>
          <w:rFonts w:cs="Times New Roman"/>
          <w:i/>
          <w:iCs/>
          <w:color w:val="000000"/>
        </w:rPr>
        <w:t>a fidei</w:t>
      </w:r>
      <w:r>
        <w:rPr>
          <w:rFonts w:cs="Times New Roman"/>
          <w:color w:val="000000"/>
        </w:rPr>
        <w:t xml:space="preserve">. Edward Schillebeeckx offers a number of historical studies to show that </w:t>
      </w:r>
      <w:r w:rsidRPr="00813C6F">
        <w:rPr>
          <w:rFonts w:cs="Times New Roman"/>
          <w:color w:val="000000"/>
        </w:rPr>
        <w:t xml:space="preserve">in the early Church, the whole local church was seen as concelebrating the Eucharist together, despite making an </w:t>
      </w:r>
      <w:r>
        <w:rPr>
          <w:rFonts w:cs="Times New Roman"/>
          <w:color w:val="000000"/>
        </w:rPr>
        <w:t>(</w:t>
      </w:r>
      <w:r w:rsidRPr="00813C6F">
        <w:rPr>
          <w:rFonts w:cs="Times New Roman"/>
          <w:color w:val="000000"/>
        </w:rPr>
        <w:t>invalid</w:t>
      </w:r>
      <w:r>
        <w:rPr>
          <w:rFonts w:cs="Times New Roman"/>
          <w:color w:val="000000"/>
        </w:rPr>
        <w:t>)</w:t>
      </w:r>
      <w:r w:rsidRPr="00813C6F">
        <w:rPr>
          <w:rFonts w:cs="Times New Roman"/>
          <w:color w:val="000000"/>
        </w:rPr>
        <w:t xml:space="preserve"> inference </w:t>
      </w:r>
      <w:r>
        <w:rPr>
          <w:rFonts w:cs="Times New Roman"/>
          <w:color w:val="000000"/>
        </w:rPr>
        <w:t xml:space="preserve">from this </w:t>
      </w:r>
      <w:r w:rsidRPr="00813C6F">
        <w:rPr>
          <w:rFonts w:cs="Times New Roman"/>
          <w:color w:val="000000"/>
        </w:rPr>
        <w:t>to universal presidency</w:t>
      </w:r>
      <w:r>
        <w:rPr>
          <w:rFonts w:cs="Times New Roman"/>
          <w:color w:val="000000"/>
        </w:rPr>
        <w:t>.</w:t>
      </w:r>
      <w:r>
        <w:rPr>
          <w:rStyle w:val="FootnoteReference"/>
          <w:rFonts w:cs="Times New Roman"/>
          <w:color w:val="000000"/>
        </w:rPr>
        <w:footnoteReference w:id="78"/>
      </w:r>
      <w:r>
        <w:rPr>
          <w:rFonts w:cs="Times New Roman"/>
          <w:color w:val="000000"/>
        </w:rPr>
        <w:t xml:space="preserve"> Much of the theology of the Liturgical Movement tried to demonstrate that, while the kind of participation is distinct from the ministerial priesthood, the lay faithful really “offer” the Mass and its sacrifice. It is in the context of this that the fullest account of a united “sacrificial offering” </w:t>
      </w:r>
      <w:r>
        <w:rPr>
          <w:rFonts w:cs="Times New Roman"/>
          <w:i/>
          <w:iCs/>
          <w:color w:val="000000"/>
        </w:rPr>
        <w:t>through</w:t>
      </w:r>
      <w:r>
        <w:rPr>
          <w:rFonts w:cs="Times New Roman"/>
          <w:color w:val="000000"/>
        </w:rPr>
        <w:t xml:space="preserve"> the ministry of another is explicated. </w:t>
      </w:r>
      <w:r>
        <w:rPr>
          <w:rFonts w:cs="Times New Roman"/>
          <w:i/>
          <w:iCs/>
          <w:color w:val="000000"/>
        </w:rPr>
        <w:t>Mediator Dei</w:t>
      </w:r>
      <w:r>
        <w:rPr>
          <w:rFonts w:cs="Times New Roman"/>
          <w:color w:val="000000"/>
        </w:rPr>
        <w:t xml:space="preserve">, the encyclical of Pius XII issued at the height of the classical Liturgical Movement, explicitly deals with the question of the sacrifice offered by the laity and explains that it is an offering </w:t>
      </w:r>
      <w:r>
        <w:rPr>
          <w:rFonts w:cs="Times New Roman"/>
          <w:i/>
          <w:iCs/>
          <w:color w:val="000000"/>
        </w:rPr>
        <w:t>through</w:t>
      </w:r>
      <w:r>
        <w:rPr>
          <w:rFonts w:cs="Times New Roman"/>
          <w:color w:val="000000"/>
        </w:rPr>
        <w:t xml:space="preserve"> </w:t>
      </w:r>
      <w:r>
        <w:rPr>
          <w:rFonts w:cs="Times New Roman"/>
          <w:color w:val="000000"/>
        </w:rPr>
        <w:lastRenderedPageBreak/>
        <w:t>the ministry of the priest, but no less a real oblation on the part of the people.</w:t>
      </w:r>
      <w:r>
        <w:rPr>
          <w:rStyle w:val="FootnoteReference"/>
          <w:rFonts w:cs="Times New Roman"/>
          <w:color w:val="000000"/>
        </w:rPr>
        <w:footnoteReference w:id="79"/>
      </w:r>
      <w:r>
        <w:rPr>
          <w:rFonts w:cs="Times New Roman"/>
          <w:color w:val="000000"/>
        </w:rPr>
        <w:t xml:space="preserve"> Specifically, he exhorts that the faithful “</w:t>
      </w:r>
      <w:r w:rsidRPr="00662B2F">
        <w:rPr>
          <w:rFonts w:cs="Times New Roman"/>
          <w:color w:val="000000"/>
        </w:rPr>
        <w:t xml:space="preserve">together with </w:t>
      </w:r>
      <w:r>
        <w:rPr>
          <w:rFonts w:cs="Times New Roman"/>
          <w:color w:val="000000"/>
        </w:rPr>
        <w:t>[Christ]</w:t>
      </w:r>
      <w:r w:rsidRPr="00662B2F">
        <w:rPr>
          <w:rFonts w:cs="Times New Roman"/>
          <w:color w:val="000000"/>
        </w:rPr>
        <w:t xml:space="preserve"> and through Him let them make their oblation, and in union with Him let them offer up themselves</w:t>
      </w:r>
      <w:r>
        <w:rPr>
          <w:rFonts w:cs="Times New Roman"/>
          <w:color w:val="000000"/>
        </w:rPr>
        <w:t xml:space="preserve"> (</w:t>
      </w:r>
      <w:r w:rsidRPr="000A4294">
        <w:rPr>
          <w:rFonts w:cs="Times New Roman"/>
          <w:i/>
          <w:color w:val="000000"/>
        </w:rPr>
        <w:t xml:space="preserve">atque una cum ipso et per ipsum offerant, </w:t>
      </w:r>
      <w:r w:rsidRPr="00151742">
        <w:rPr>
          <w:rFonts w:cs="Times New Roman"/>
          <w:i/>
          <w:color w:val="000000"/>
        </w:rPr>
        <w:t>un</w:t>
      </w:r>
      <w:r>
        <w:rPr>
          <w:rFonts w:cs="Times New Roman"/>
          <w:i/>
          <w:color w:val="000000"/>
        </w:rPr>
        <w:t>aque</w:t>
      </w:r>
      <w:r w:rsidRPr="000A4294">
        <w:rPr>
          <w:rFonts w:cs="Times New Roman"/>
          <w:i/>
          <w:color w:val="000000"/>
        </w:rPr>
        <w:t xml:space="preserve"> cum eo se devoveant</w:t>
      </w:r>
      <w:r w:rsidRPr="00C45596">
        <w:rPr>
          <w:rFonts w:cs="Times New Roman"/>
          <w:iCs/>
          <w:color w:val="000000"/>
        </w:rPr>
        <w:t>)</w:t>
      </w:r>
      <w:r>
        <w:rPr>
          <w:rFonts w:cs="Times New Roman"/>
          <w:color w:val="000000"/>
        </w:rPr>
        <w:t>.”</w:t>
      </w:r>
      <w:r>
        <w:rPr>
          <w:rStyle w:val="FootnoteReference"/>
          <w:rFonts w:cs="Times New Roman"/>
          <w:color w:val="000000"/>
        </w:rPr>
        <w:footnoteReference w:id="80"/>
      </w:r>
      <w:r>
        <w:rPr>
          <w:rFonts w:cs="Times New Roman"/>
          <w:color w:val="000000"/>
        </w:rPr>
        <w:t xml:space="preserve"> Pius XII does not think that the role of the lay faithful in offering of the sacrifice, then, undermines their distinctive apostolic role or confuses it with that of the ordained priesthood. As he notes, the lay faithful offer the Eucharist “</w:t>
      </w:r>
      <w:r w:rsidRPr="00662B2F">
        <w:rPr>
          <w:rFonts w:cs="Times New Roman"/>
          <w:color w:val="000000"/>
        </w:rPr>
        <w:t>by the hands of the priest</w:t>
      </w:r>
      <w:r>
        <w:rPr>
          <w:rFonts w:cs="Times New Roman"/>
          <w:color w:val="000000"/>
        </w:rPr>
        <w:t>” and not because “</w:t>
      </w:r>
      <w:r w:rsidRPr="00662B2F">
        <w:rPr>
          <w:rFonts w:cs="Times New Roman"/>
          <w:color w:val="000000"/>
        </w:rPr>
        <w:t>they perform a visible liturgical rite</w:t>
      </w:r>
      <w:r>
        <w:rPr>
          <w:rFonts w:cs="Times New Roman"/>
          <w:color w:val="000000"/>
        </w:rPr>
        <w:t>.”</w:t>
      </w:r>
      <w:r>
        <w:rPr>
          <w:rStyle w:val="FootnoteReference"/>
          <w:rFonts w:cs="Times New Roman"/>
          <w:color w:val="000000"/>
        </w:rPr>
        <w:footnoteReference w:id="81"/>
      </w:r>
      <w:r>
        <w:rPr>
          <w:rFonts w:cs="Times New Roman"/>
          <w:color w:val="000000"/>
        </w:rPr>
        <w:t xml:space="preserve"> Rather,</w:t>
      </w:r>
      <w:r w:rsidRPr="00662B2F">
        <w:rPr>
          <w:rFonts w:cs="Times New Roman"/>
          <w:color w:val="000000"/>
        </w:rPr>
        <w:t xml:space="preserve"> </w:t>
      </w:r>
      <w:r>
        <w:rPr>
          <w:rFonts w:cs="Times New Roman"/>
          <w:color w:val="000000"/>
        </w:rPr>
        <w:t xml:space="preserve">this real participation in offering the Eucharistic liturgy grounds the involvement of the laity in their proper function, bringing about the exterior Eucharistic unity of the Church (i.e., the </w:t>
      </w:r>
      <w:r>
        <w:rPr>
          <w:rFonts w:cs="Times New Roman"/>
          <w:i/>
          <w:iCs/>
          <w:color w:val="000000"/>
        </w:rPr>
        <w:t>apostolate</w:t>
      </w:r>
      <w:r>
        <w:rPr>
          <w:rFonts w:cs="Times New Roman"/>
          <w:color w:val="000000"/>
        </w:rPr>
        <w:t xml:space="preserve"> of the laity).</w:t>
      </w:r>
      <w:r>
        <w:rPr>
          <w:rStyle w:val="FootnoteReference"/>
          <w:rFonts w:cs="Times New Roman"/>
          <w:color w:val="000000"/>
        </w:rPr>
        <w:footnoteReference w:id="82"/>
      </w:r>
      <w:r>
        <w:rPr>
          <w:rFonts w:cs="Times New Roman"/>
          <w:color w:val="000000"/>
        </w:rPr>
        <w:t xml:space="preserve"> Thus, the concept of offering “by union with” or “by means of” is not an obscure or otherwise theologically unknown concept. Nor does this involvement undermine the unity of the Eucharistic oblation. Despite all the different potential persons involved in distinct roles of offering the Eucharistic sacrifice—viz., bishops, priests, deacons, and the laity—there is only one sacrifice: </w:t>
      </w:r>
    </w:p>
    <w:p w14:paraId="31E799BB" w14:textId="77777777" w:rsidR="00775CF4" w:rsidRDefault="00775CF4" w:rsidP="00775CF4">
      <w:pPr>
        <w:rPr>
          <w:rFonts w:cs="Times New Roman"/>
          <w:color w:val="000000"/>
        </w:rPr>
      </w:pPr>
    </w:p>
    <w:p w14:paraId="1D01723A" w14:textId="77777777" w:rsidR="00775CF4" w:rsidRDefault="00775CF4" w:rsidP="00775CF4">
      <w:pPr>
        <w:ind w:left="567" w:right="567"/>
        <w:rPr>
          <w:rFonts w:cs="Times New Roman"/>
          <w:color w:val="000000"/>
        </w:rPr>
      </w:pPr>
      <w:r>
        <w:rPr>
          <w:rFonts w:cs="Times New Roman"/>
          <w:color w:val="000000"/>
        </w:rPr>
        <w:t xml:space="preserve">… </w:t>
      </w:r>
      <w:r w:rsidRPr="000A4294">
        <w:rPr>
          <w:rFonts w:cs="Times New Roman"/>
          <w:color w:val="000000"/>
        </w:rPr>
        <w:t>the people unite their hearts in praise, impetration, expiation and thanksgiving with prayers or intention of the priest, even of the High Priest himself, so that in the one and same offering of the victim and according to a visible sacerdotal rite, they may be presented to God the Father.</w:t>
      </w:r>
      <w:r>
        <w:rPr>
          <w:rStyle w:val="FootnoteReference"/>
          <w:rFonts w:cs="Times New Roman"/>
          <w:color w:val="000000"/>
        </w:rPr>
        <w:footnoteReference w:id="83"/>
      </w:r>
    </w:p>
    <w:p w14:paraId="5B87E5FF" w14:textId="77777777" w:rsidR="00775CF4" w:rsidRDefault="00775CF4" w:rsidP="00775CF4">
      <w:pPr>
        <w:spacing w:line="480" w:lineRule="auto"/>
        <w:rPr>
          <w:rFonts w:cs="Times New Roman"/>
          <w:color w:val="000000"/>
        </w:rPr>
      </w:pPr>
    </w:p>
    <w:p w14:paraId="078F5A0E" w14:textId="77777777" w:rsidR="00775CF4" w:rsidRDefault="00775CF4" w:rsidP="00775CF4">
      <w:pPr>
        <w:spacing w:line="480" w:lineRule="auto"/>
        <w:rPr>
          <w:rFonts w:cs="Times New Roman"/>
          <w:color w:val="000000"/>
        </w:rPr>
      </w:pPr>
      <w:r>
        <w:rPr>
          <w:rFonts w:cs="Times New Roman"/>
          <w:color w:val="000000"/>
        </w:rPr>
        <w:t xml:space="preserve">While the limits of this article do not allow for a thorough examination of liturgical and </w:t>
      </w:r>
      <w:r>
        <w:rPr>
          <w:rFonts w:cs="Times New Roman"/>
          <w:color w:val="000000"/>
        </w:rPr>
        <w:lastRenderedPageBreak/>
        <w:t>canonical evidence, there are some distinct testimonies to this theology whereby each Christian offers in their own distinct capacity. For example, the diaconate can be said to have a distinct “offering” role in the Eucharist. In the Divine Liturgy of St. John Chrysostom (celebrated by both Catholics and Orthodox), deacons are referred to in many English translations as “concelebrants” (e.g., in a dialogue after the Great Entrance).</w:t>
      </w:r>
      <w:r>
        <w:rPr>
          <w:rStyle w:val="FootnoteReference"/>
          <w:rFonts w:cs="Times New Roman"/>
          <w:color w:val="000000"/>
        </w:rPr>
        <w:footnoteReference w:id="84"/>
      </w:r>
      <w:r>
        <w:rPr>
          <w:rFonts w:cs="Times New Roman"/>
          <w:color w:val="000000"/>
        </w:rPr>
        <w:t xml:space="preserve"> Naturally, this usage is not technical (“fellow minister” might perhaps be more accurate as a loose translation), but the intuition is present in that liturgical tradition between different kinds or grades of “concelebrant” broadly speaking, preserving the unique role of the priesthood. It is precisely this distinction in orders that is expressed hierarchically in each of the different ways a given grade of orders participates in the liturgy. This is true both of an Eastern hierarchical Divine Liturgy when a bishop is present, just as in the older rite of pontifical Mass in the West, where each order participates in a distinct capacity and role as assisting in the offering of the Eucharistic sacrifice (such distinction is blurred slightly in the newer rite by reason of fewer rubrics and fewer required assistants to the bishop, but is still visible</w:t>
      </w:r>
      <w:r>
        <w:rPr>
          <w:rStyle w:val="FootnoteReference"/>
          <w:rFonts w:cs="Times New Roman"/>
          <w:color w:val="000000"/>
        </w:rPr>
        <w:footnoteReference w:id="85"/>
      </w:r>
      <w:r>
        <w:rPr>
          <w:rFonts w:cs="Times New Roman"/>
          <w:color w:val="000000"/>
        </w:rPr>
        <w:t xml:space="preserve">). In the Extraordinary Form of the Roman Rite, the deacon assists in the offering of the chalice, reciting as well the </w:t>
      </w:r>
      <w:r w:rsidRPr="008571BE">
        <w:rPr>
          <w:rFonts w:cs="Times New Roman"/>
          <w:color w:val="000000"/>
        </w:rPr>
        <w:t xml:space="preserve">prayer </w:t>
      </w:r>
      <w:r>
        <w:rPr>
          <w:rFonts w:cs="Times New Roman"/>
          <w:color w:val="000000"/>
        </w:rPr>
        <w:t>“</w:t>
      </w:r>
      <w:r w:rsidRPr="008571BE">
        <w:rPr>
          <w:rFonts w:cs="Times New Roman"/>
          <w:color w:val="000000"/>
        </w:rPr>
        <w:t>Offerimus tibi, Domine, calicem salutaris</w:t>
      </w:r>
      <w:r>
        <w:rPr>
          <w:rFonts w:cs="Times New Roman"/>
          <w:color w:val="000000"/>
        </w:rPr>
        <w:t xml:space="preserve"> …</w:t>
      </w:r>
      <w:r w:rsidRPr="008571BE">
        <w:rPr>
          <w:rFonts w:cs="Times New Roman"/>
          <w:color w:val="000000"/>
        </w:rPr>
        <w:t>” As</w:t>
      </w:r>
      <w:r>
        <w:rPr>
          <w:rFonts w:cs="Times New Roman"/>
          <w:color w:val="000000"/>
        </w:rPr>
        <w:t xml:space="preserve"> far back as </w:t>
      </w:r>
      <w:r>
        <w:rPr>
          <w:rFonts w:cs="Times New Roman"/>
          <w:i/>
          <w:iCs/>
          <w:color w:val="000000"/>
        </w:rPr>
        <w:t xml:space="preserve">Ordo Romanus </w:t>
      </w:r>
      <w:r>
        <w:rPr>
          <w:rFonts w:cs="Times New Roman"/>
          <w:color w:val="000000"/>
        </w:rPr>
        <w:t>I, we find the archdeacon assisting in a similar way in the offertory and having a similar provenance over the chalice.</w:t>
      </w:r>
      <w:r>
        <w:rPr>
          <w:rStyle w:val="FootnoteReference"/>
          <w:rFonts w:cs="Times New Roman"/>
          <w:color w:val="000000"/>
        </w:rPr>
        <w:footnoteReference w:id="86"/>
      </w:r>
      <w:r>
        <w:rPr>
          <w:rFonts w:cs="Times New Roman"/>
          <w:color w:val="000000"/>
        </w:rPr>
        <w:t xml:space="preserve"> That the deacon has a special relationship to the Eucharistic vessels is witnessed as far back as the synod </w:t>
      </w:r>
      <w:r>
        <w:rPr>
          <w:rFonts w:cs="Times New Roman"/>
          <w:color w:val="000000"/>
        </w:rPr>
        <w:lastRenderedPageBreak/>
        <w:t xml:space="preserve">of Laodicea (between 343 and 381): “Subdeacons shall not have a place in the </w:t>
      </w:r>
      <w:r>
        <w:rPr>
          <w:rFonts w:cs="Times New Roman"/>
          <w:i/>
          <w:iCs/>
          <w:color w:val="000000"/>
        </w:rPr>
        <w:t>diaconicum</w:t>
      </w:r>
      <w:r>
        <w:rPr>
          <w:rFonts w:cs="Times New Roman"/>
          <w:color w:val="000000"/>
        </w:rPr>
        <w:t>, nor are they to touch the sacred vessels.”</w:t>
      </w:r>
      <w:r>
        <w:rPr>
          <w:rStyle w:val="FootnoteReference"/>
          <w:rFonts w:cs="Times New Roman"/>
          <w:color w:val="000000"/>
        </w:rPr>
        <w:footnoteReference w:id="87"/>
      </w:r>
      <w:r>
        <w:rPr>
          <w:rFonts w:cs="Times New Roman"/>
          <w:color w:val="000000"/>
        </w:rPr>
        <w:t xml:space="preserve"> In fairly clear terms, the deacon participates in Eucharistic sacrifice according to his capacity as a natural consequence of being one of the higher </w:t>
      </w:r>
      <w:r>
        <w:rPr>
          <w:rFonts w:cs="Times New Roman"/>
          <w:i/>
          <w:iCs/>
          <w:color w:val="000000"/>
        </w:rPr>
        <w:t>ordines</w:t>
      </w:r>
      <w:r>
        <w:rPr>
          <w:rFonts w:cs="Times New Roman"/>
          <w:color w:val="000000"/>
        </w:rPr>
        <w:t>.</w:t>
      </w:r>
    </w:p>
    <w:p w14:paraId="217E8C93" w14:textId="77777777" w:rsidR="00775CF4" w:rsidRDefault="00775CF4" w:rsidP="00775CF4">
      <w:pPr>
        <w:spacing w:line="480" w:lineRule="auto"/>
        <w:ind w:firstLine="720"/>
        <w:rPr>
          <w:rFonts w:cs="Times New Roman"/>
          <w:color w:val="000000"/>
        </w:rPr>
      </w:pPr>
      <w:r>
        <w:rPr>
          <w:rFonts w:cs="Times New Roman"/>
          <w:color w:val="000000"/>
        </w:rPr>
        <w:t xml:space="preserve">By this </w:t>
      </w:r>
      <w:r>
        <w:rPr>
          <w:rFonts w:cs="Times New Roman"/>
          <w:i/>
          <w:iCs/>
          <w:color w:val="000000"/>
        </w:rPr>
        <w:t>analogia fidei</w:t>
      </w:r>
      <w:r>
        <w:rPr>
          <w:rFonts w:cs="Times New Roman"/>
          <w:color w:val="000000"/>
        </w:rPr>
        <w:t xml:space="preserve"> both in regard to the diaconate and lay faithful, one is led to consider that, if the presbyterate and episcopacy are distinct </w:t>
      </w:r>
      <w:r>
        <w:rPr>
          <w:rFonts w:cs="Times New Roman"/>
          <w:i/>
          <w:iCs/>
          <w:color w:val="000000"/>
        </w:rPr>
        <w:t>ordines</w:t>
      </w:r>
      <w:r>
        <w:rPr>
          <w:rFonts w:cs="Times New Roman"/>
          <w:color w:val="000000"/>
        </w:rPr>
        <w:t xml:space="preserve">, they must have different “offering” roles at the Eucharist. Correspondingly, as witnessed by the early Church, the presbyter concelebrates at hierarchical functions alongside his bishop and the intuition remains that the Eucharist celebrated elsewhere remains the bishop’s liturgy (e.g., the </w:t>
      </w:r>
      <w:r>
        <w:rPr>
          <w:rFonts w:cs="Times New Roman"/>
          <w:i/>
          <w:iCs/>
          <w:color w:val="000000"/>
        </w:rPr>
        <w:t xml:space="preserve">fermentum </w:t>
      </w:r>
      <w:r>
        <w:rPr>
          <w:rFonts w:cs="Times New Roman"/>
          <w:color w:val="000000"/>
        </w:rPr>
        <w:t>in Rome).</w:t>
      </w:r>
      <w:r w:rsidRPr="00217D2C">
        <w:rPr>
          <w:rStyle w:val="FootnoteReference"/>
          <w:rFonts w:cs="Times New Roman"/>
          <w:color w:val="000000"/>
        </w:rPr>
        <w:footnoteReference w:id="88"/>
      </w:r>
      <w:r>
        <w:rPr>
          <w:rFonts w:cs="Times New Roman"/>
          <w:color w:val="000000"/>
        </w:rPr>
        <w:t xml:space="preserve"> The Byzantine practice of having an episcopal throne in each sanctuary illustrates that truth iconically. It is not a far step from the current historical and magisterial evidence to grounding the distinction between the episcopacy and presbyterate in their Eucharistic roles.</w:t>
      </w:r>
    </w:p>
    <w:p w14:paraId="0EE3B3CE" w14:textId="77777777" w:rsidR="00775CF4" w:rsidRDefault="00775CF4" w:rsidP="00775CF4">
      <w:pPr>
        <w:spacing w:line="480" w:lineRule="auto"/>
        <w:ind w:firstLine="720"/>
        <w:rPr>
          <w:rFonts w:cs="Times New Roman"/>
          <w:color w:val="000000"/>
        </w:rPr>
      </w:pPr>
    </w:p>
    <w:p w14:paraId="5075957D" w14:textId="77777777" w:rsidR="00775CF4" w:rsidRPr="00217D2C" w:rsidRDefault="00775CF4" w:rsidP="00775CF4">
      <w:pPr>
        <w:spacing w:line="480" w:lineRule="auto"/>
        <w:rPr>
          <w:rFonts w:cs="Times New Roman"/>
          <w:b/>
          <w:bCs/>
          <w:color w:val="000000"/>
        </w:rPr>
      </w:pPr>
      <w:r>
        <w:rPr>
          <w:rFonts w:cs="Times New Roman"/>
          <w:b/>
          <w:bCs/>
          <w:color w:val="000000"/>
        </w:rPr>
        <w:t xml:space="preserve">4. </w:t>
      </w:r>
      <w:r w:rsidRPr="00217D2C">
        <w:rPr>
          <w:rFonts w:cs="Times New Roman"/>
          <w:b/>
          <w:bCs/>
          <w:color w:val="000000"/>
        </w:rPr>
        <w:t>RESPONSES TO DIFFICULTIES WITH THE PROPOSAL</w:t>
      </w:r>
    </w:p>
    <w:p w14:paraId="49F4CA54" w14:textId="77777777" w:rsidR="00775CF4" w:rsidRPr="00213E31" w:rsidRDefault="00775CF4" w:rsidP="00775CF4">
      <w:pPr>
        <w:spacing w:line="480" w:lineRule="auto"/>
        <w:ind w:firstLine="720"/>
        <w:rPr>
          <w:rFonts w:cs="Times New Roman"/>
          <w:color w:val="000000"/>
        </w:rPr>
      </w:pPr>
      <w:r>
        <w:rPr>
          <w:rFonts w:cs="Times New Roman"/>
          <w:color w:val="000000"/>
        </w:rPr>
        <w:t xml:space="preserve">To conclude the argument for such a distinction, I want to discuss (albeit very concisely) some consequences of this position. The first is that it seems one finds difficulty reconciling this theory with the traditional Catholic view within sacramental theology that sacrifice is offered in the Mass at the moment of the recitation of the institution narrative—the consecration. We certainly cannot claim that either a priest or bishop consecrates the Eucharist “more” than the other. Nevertheless, one of the best upshots of my proposal is that it prompts a genuine </w:t>
      </w:r>
      <w:r>
        <w:rPr>
          <w:rFonts w:cs="Times New Roman"/>
          <w:color w:val="000000"/>
        </w:rPr>
        <w:lastRenderedPageBreak/>
        <w:t>theological development in distinguishing logical moments within the Mass itself between consecration and oblation. This is to say we can distinguish two different sacramental actions: the consecration, corresponding to the words of institution, and the oblation, corresponding to the prayers of offering said after the consecration.</w:t>
      </w:r>
      <w:r>
        <w:rPr>
          <w:rStyle w:val="FootnoteReference"/>
          <w:rFonts w:cs="Times New Roman"/>
          <w:color w:val="000000"/>
        </w:rPr>
        <w:footnoteReference w:id="89"/>
      </w:r>
      <w:r>
        <w:rPr>
          <w:rFonts w:cs="Times New Roman"/>
          <w:color w:val="000000"/>
        </w:rPr>
        <w:t xml:space="preserve"> On my proposal, no difference exists in what a priest or bishop do when consecrating the sacred species, but they </w:t>
      </w:r>
      <w:r w:rsidRPr="00E476DB">
        <w:rPr>
          <w:rFonts w:cs="Times New Roman"/>
          <w:i/>
          <w:iCs/>
          <w:color w:val="000000"/>
        </w:rPr>
        <w:t>are</w:t>
      </w:r>
      <w:r>
        <w:rPr>
          <w:rFonts w:cs="Times New Roman"/>
          <w:color w:val="000000"/>
        </w:rPr>
        <w:t xml:space="preserve"> performing different acts when it comes to offering the sacrifice. It is not as if priests and bishops are offering distinct kinds of Masses, but the offering accomplished by each order is a distinct </w:t>
      </w:r>
      <w:r w:rsidRPr="00213E31">
        <w:rPr>
          <w:rFonts w:cs="Times New Roman"/>
          <w:i/>
          <w:iCs/>
          <w:color w:val="000000"/>
        </w:rPr>
        <w:t xml:space="preserve">mode </w:t>
      </w:r>
      <w:r>
        <w:rPr>
          <w:rFonts w:cs="Times New Roman"/>
          <w:color w:val="000000"/>
        </w:rPr>
        <w:t xml:space="preserve">of offering the one Eucharistic sacrifice. The idea that there are distinct modalities of offering that sacrifice finds an analogy in distinctions between an ordinary and a delegated vicar in the realm of jurisdiction. The bishop offers the sacrifice of Christ properly in virtue of his order, in his ordinary capacity as the head of a local church, whereas a priest always offers the sacrifice, not in virtue of his own order, but as a participant in the Eucharistic offering of his bishop. This is to say that the priest is always offering </w:t>
      </w:r>
      <w:r>
        <w:rPr>
          <w:rFonts w:cs="Times New Roman"/>
          <w:i/>
          <w:iCs/>
          <w:color w:val="000000"/>
        </w:rPr>
        <w:t xml:space="preserve">qua </w:t>
      </w:r>
      <w:r>
        <w:rPr>
          <w:rFonts w:cs="Times New Roman"/>
          <w:color w:val="000000"/>
        </w:rPr>
        <w:t>a concelebrant of the bishop’s liturgy, although a bishop offers the Eucharistic sacrifice in his own stead by divine institution, corresponding to the way that bishops succeed to the apostles by divine institution.</w:t>
      </w:r>
      <w:r>
        <w:rPr>
          <w:rStyle w:val="FootnoteReference"/>
          <w:rFonts w:cs="Times New Roman"/>
          <w:color w:val="000000"/>
        </w:rPr>
        <w:footnoteReference w:id="90"/>
      </w:r>
      <w:r>
        <w:rPr>
          <w:rFonts w:cs="Times New Roman"/>
          <w:color w:val="000000"/>
        </w:rPr>
        <w:t xml:space="preserve"> </w:t>
      </w:r>
    </w:p>
    <w:p w14:paraId="4F02E443" w14:textId="77777777" w:rsidR="00775CF4" w:rsidRDefault="00775CF4" w:rsidP="00775CF4">
      <w:pPr>
        <w:spacing w:line="480" w:lineRule="auto"/>
        <w:ind w:firstLine="720"/>
        <w:rPr>
          <w:rFonts w:cs="Times New Roman"/>
          <w:color w:val="000000"/>
        </w:rPr>
      </w:pPr>
      <w:r>
        <w:rPr>
          <w:rFonts w:cs="Times New Roman"/>
          <w:color w:val="000000"/>
        </w:rPr>
        <w:t>Second, we might ask what happens when a presbyter celebrates in a situation like schism. Catholic theology clearly affirms that, given an intention to do what the Ch</w:t>
      </w:r>
      <w:r w:rsidRPr="00DB6E01">
        <w:rPr>
          <w:rFonts w:cs="Times New Roman"/>
          <w:color w:val="000000"/>
        </w:rPr>
        <w:t xml:space="preserve">urch does, the </w:t>
      </w:r>
      <w:r w:rsidRPr="00DB6E01">
        <w:rPr>
          <w:rFonts w:cs="Times New Roman"/>
          <w:color w:val="000000"/>
        </w:rPr>
        <w:lastRenderedPageBreak/>
        <w:t>sacrament is consecrated and so the Eucharistic act makes present the Body and Blood of Christ.</w:t>
      </w:r>
      <w:r w:rsidRPr="00BC2F97">
        <w:rPr>
          <w:rStyle w:val="FootnoteReference"/>
          <w:rFonts w:cs="Times New Roman"/>
          <w:color w:val="000000"/>
        </w:rPr>
        <w:footnoteReference w:id="91"/>
      </w:r>
      <w:r w:rsidRPr="00DB6E01">
        <w:rPr>
          <w:rFonts w:cs="Times New Roman"/>
          <w:color w:val="000000"/>
        </w:rPr>
        <w:t xml:space="preserve"> But does</w:t>
      </w:r>
      <w:r>
        <w:rPr>
          <w:rFonts w:cs="Times New Roman"/>
          <w:color w:val="000000"/>
        </w:rPr>
        <w:t xml:space="preserve"> it affirm that the priest “validly” offers the Eucharistic sacrifice? Suffice to say that, while the data is complicated, one can find resources to affirm that the priest does not offer the Eucharistic sacrifice although he might validly confect the elements.</w:t>
      </w:r>
      <w:r>
        <w:rPr>
          <w:rStyle w:val="FootnoteReference"/>
          <w:rFonts w:cs="Times New Roman"/>
          <w:color w:val="000000"/>
        </w:rPr>
        <w:footnoteReference w:id="92"/>
      </w:r>
      <w:r>
        <w:rPr>
          <w:rFonts w:cs="Times New Roman"/>
          <w:color w:val="000000"/>
        </w:rPr>
        <w:t xml:space="preserve"> I think this actually has a great deal of support in Tradition and helps make sense of the view of the Fathers who deny the efficacy of sacraments outside of ecclesial communion. Aquinas offers a comment on this situation and seems to side with the view that these priests do </w:t>
      </w:r>
      <w:r>
        <w:rPr>
          <w:rFonts w:cs="Times New Roman"/>
          <w:i/>
          <w:iCs/>
          <w:color w:val="000000"/>
        </w:rPr>
        <w:t xml:space="preserve">not </w:t>
      </w:r>
      <w:r>
        <w:rPr>
          <w:rFonts w:cs="Times New Roman"/>
          <w:color w:val="000000"/>
        </w:rPr>
        <w:t>offer a true sacrifice. While it requires more comment that I can offer here, Thomas claims that these priests consecrate, but that they do not receive the “fruit of the sacrifice”—namely, the “spiritual sacrifice.”</w:t>
      </w:r>
      <w:r>
        <w:rPr>
          <w:rStyle w:val="FootnoteReference"/>
          <w:rFonts w:cs="Times New Roman"/>
          <w:color w:val="000000"/>
        </w:rPr>
        <w:footnoteReference w:id="93"/>
      </w:r>
      <w:r>
        <w:rPr>
          <w:rFonts w:cs="Times New Roman"/>
          <w:color w:val="000000"/>
        </w:rPr>
        <w:t xml:space="preserve"> He then explains in a response to an objection that they offer true sacrifice with the truth of the sacrament, but not with the truth of the fruit (of the sacrifice).</w:t>
      </w:r>
      <w:r>
        <w:rPr>
          <w:rStyle w:val="FootnoteReference"/>
          <w:rFonts w:cs="Times New Roman"/>
          <w:color w:val="000000"/>
        </w:rPr>
        <w:footnoteReference w:id="94"/>
      </w:r>
      <w:r>
        <w:rPr>
          <w:rFonts w:cs="Times New Roman"/>
          <w:color w:val="000000"/>
        </w:rPr>
        <w:t xml:space="preserve"> The fruit of the sacrifice, for Aquinas, is ultimately unity with the Church which, for someone separated </w:t>
      </w:r>
      <w:r>
        <w:rPr>
          <w:rFonts w:cs="Times New Roman"/>
          <w:i/>
          <w:iCs/>
          <w:color w:val="000000"/>
        </w:rPr>
        <w:t xml:space="preserve">de facto </w:t>
      </w:r>
      <w:r>
        <w:rPr>
          <w:rFonts w:cs="Times New Roman"/>
          <w:color w:val="000000"/>
        </w:rPr>
        <w:t>from it, cannot in any way be accomplished.</w:t>
      </w:r>
      <w:r>
        <w:rPr>
          <w:rStyle w:val="FootnoteReference"/>
          <w:rFonts w:cs="Times New Roman"/>
          <w:color w:val="000000"/>
        </w:rPr>
        <w:footnoteReference w:id="95"/>
      </w:r>
      <w:r>
        <w:rPr>
          <w:rFonts w:cs="Times New Roman"/>
          <w:color w:val="000000"/>
        </w:rPr>
        <w:t xml:space="preserve"> Thus the distinction between confecting and offering effectively already has at least a basis in Catholic theology.</w:t>
      </w:r>
    </w:p>
    <w:p w14:paraId="3CFBBFD2" w14:textId="77777777" w:rsidR="00775CF4" w:rsidRPr="008C2CBC" w:rsidRDefault="00775CF4" w:rsidP="00775CF4">
      <w:pPr>
        <w:spacing w:line="480" w:lineRule="auto"/>
        <w:ind w:firstLine="720"/>
      </w:pPr>
      <w:r>
        <w:rPr>
          <w:rFonts w:cs="Times New Roman"/>
          <w:color w:val="000000"/>
        </w:rPr>
        <w:t xml:space="preserve">Finally, we might ask whether, on a proposal where every presbyter is a “concelebrant” at a bishop’s liturgy and offers the sacrifice mediately through him, the ordination of a presbyter, or at least his offering of the Eucharist, were to be invalid if that priest were not incardinated into a </w:t>
      </w:r>
      <w:r>
        <w:rPr>
          <w:rFonts w:cs="Times New Roman"/>
          <w:color w:val="000000"/>
        </w:rPr>
        <w:lastRenderedPageBreak/>
        <w:t>diocese? On this picture, however, there is no reason ordination would fail to impart a sacramental character in the case of a priest who is not ordained for a local church.</w:t>
      </w:r>
      <w:r>
        <w:rPr>
          <w:rStyle w:val="FootnoteReference"/>
          <w:rFonts w:cs="Times New Roman"/>
          <w:color w:val="000000"/>
        </w:rPr>
        <w:footnoteReference w:id="96"/>
      </w:r>
      <w:r>
        <w:rPr>
          <w:rFonts w:cs="Times New Roman"/>
          <w:color w:val="000000"/>
        </w:rPr>
        <w:t xml:space="preserve"> Nevertheless, it remains a condition of the proposal that this character would not be </w:t>
      </w:r>
      <w:r>
        <w:rPr>
          <w:rFonts w:cs="Times New Roman"/>
          <w:i/>
          <w:iCs/>
          <w:color w:val="000000"/>
        </w:rPr>
        <w:t xml:space="preserve">effective </w:t>
      </w:r>
      <w:r>
        <w:rPr>
          <w:rFonts w:cs="Times New Roman"/>
          <w:color w:val="000000"/>
        </w:rPr>
        <w:t xml:space="preserve">in allowing that priest to offer the Eucharistic sacrifice without some further element of communion with a local bishop. Analogous cases appear in the sacrament of penance. It does not follow that if the priestly character gives one the capacity to forgive sins that one can do so </w:t>
      </w:r>
      <w:r>
        <w:rPr>
          <w:rFonts w:cs="Times New Roman"/>
          <w:i/>
          <w:iCs/>
          <w:color w:val="000000"/>
        </w:rPr>
        <w:t xml:space="preserve">effectively </w:t>
      </w:r>
      <w:r>
        <w:rPr>
          <w:rFonts w:cs="Times New Roman"/>
          <w:color w:val="000000"/>
        </w:rPr>
        <w:t>without communion with a local church (i.e., without jurisdiction, via incardination and a grant of faculties).</w:t>
      </w:r>
      <w:r>
        <w:rPr>
          <w:rStyle w:val="FootnoteReference"/>
          <w:rFonts w:cs="Times New Roman"/>
          <w:color w:val="000000"/>
        </w:rPr>
        <w:footnoteReference w:id="97"/>
      </w:r>
      <w:r>
        <w:rPr>
          <w:rFonts w:cs="Times New Roman"/>
          <w:color w:val="000000"/>
        </w:rPr>
        <w:t xml:space="preserve"> Similarly, one could affirm that, without this communion, the presbyter cannot </w:t>
      </w:r>
      <w:r>
        <w:rPr>
          <w:rFonts w:cs="Times New Roman"/>
          <w:i/>
          <w:iCs/>
          <w:color w:val="000000"/>
        </w:rPr>
        <w:t>effectively</w:t>
      </w:r>
      <w:r>
        <w:rPr>
          <w:rFonts w:cs="Times New Roman"/>
          <w:color w:val="000000"/>
        </w:rPr>
        <w:t xml:space="preserve"> offer the sacrifice in such a way that this sacrifice “forms” the local church. Instead, he retains the power to merely confect the sacramental species but without offering true and spiritual sacrifice for the people (it remains fruitless). Religious priests who are not incardinated in a particular diocese nevertheless belong to their institutes of consecrated life which, by canon law, are necessarily subordinated to a local diocesan bishop (with that bishop as their highest superior) or to the Roman Pontiff.</w:t>
      </w:r>
      <w:r>
        <w:rPr>
          <w:rStyle w:val="FootnoteReference"/>
          <w:rFonts w:cs="Times New Roman"/>
          <w:color w:val="000000"/>
        </w:rPr>
        <w:footnoteReference w:id="98"/>
      </w:r>
      <w:r>
        <w:rPr>
          <w:rFonts w:cs="Times New Roman"/>
          <w:color w:val="000000"/>
        </w:rPr>
        <w:t xml:space="preserve"> When celebrating the liturgy without faculties in a particular local diocese, one could understand that these religious priests are participating in the sacrificial offering of the bishop who is their proper superior and with whom they retain communion under law.</w:t>
      </w:r>
      <w:r>
        <w:rPr>
          <w:rStyle w:val="FootnoteReference"/>
          <w:rFonts w:cs="Times New Roman"/>
          <w:color w:val="000000"/>
        </w:rPr>
        <w:footnoteReference w:id="99"/>
      </w:r>
      <w:r>
        <w:rPr>
          <w:rFonts w:cs="Times New Roman"/>
          <w:color w:val="000000"/>
        </w:rPr>
        <w:t xml:space="preserve"> On this proposal, consequently, only those priests who are transient or unattached (a status prohibited in canon law) would fail to fruitfully offer the Eucharistic sacrifice, given their lack of </w:t>
      </w:r>
      <w:r>
        <w:rPr>
          <w:rFonts w:cs="Times New Roman"/>
          <w:color w:val="000000"/>
        </w:rPr>
        <w:lastRenderedPageBreak/>
        <w:t>communion with a bishop, even if their priestly character allows them to confect the sacred species.</w:t>
      </w:r>
      <w:r>
        <w:rPr>
          <w:rStyle w:val="FootnoteReference"/>
          <w:rFonts w:cs="Times New Roman"/>
          <w:color w:val="000000"/>
        </w:rPr>
        <w:footnoteReference w:id="100"/>
      </w:r>
      <w:r>
        <w:rPr>
          <w:rFonts w:cs="Times New Roman"/>
          <w:color w:val="000000"/>
        </w:rPr>
        <w:t xml:space="preserve"> </w:t>
      </w:r>
    </w:p>
    <w:p w14:paraId="20FAC132" w14:textId="77777777" w:rsidR="00775CF4" w:rsidRDefault="00775CF4" w:rsidP="00775CF4">
      <w:pPr>
        <w:spacing w:line="480" w:lineRule="auto"/>
        <w:ind w:firstLine="720"/>
      </w:pPr>
      <w:r>
        <w:t xml:space="preserve">In the end, such a theology of the presbyterate helps maintain the traditional understanding of the presbyterate as oriented toward Eucharistic ministry, and as an office of ministry in a local church, without a myopic cultic understanding of that role. This can help ground a spirituality of the presbyterate in a jointly and inseparably Eucharistic-pastoral ministry. In today’s theological environment, recalling the Eucharistic nature of the priesthood and reorienting our spirituality and discussion in this direction is of paramount importance. Much of recent scholarship has committed itself to what I believe have been lopsided accounts of “ministry” in the Church that begin from a universalized notion of it or some sociological concept related thereto, with a vague biblical basis in Jesus’ own “ministry,” and attempt to infer a roughly congregationalist account of ministers as they should exist. The obstacle being, of course, that Catholic theology and spirituality has always understood its own institution of holy orders in a radically different way. However, criticisms of an overly cultic ideal of the Catholic priesthood have, at times, been well-grounded. A Eucharistic notion of the Church and a consequently Eucharistic notion of the priesthood, understood correctly and in their historical context, can help us make sense of the priesthood as both “different in kind” from the baptismal priesthood, as well as being a ministry of service to the broader People of God. </w:t>
      </w:r>
    </w:p>
    <w:p w14:paraId="4ED24FD7" w14:textId="77777777" w:rsidR="00775CF4" w:rsidRDefault="00775CF4" w:rsidP="00775CF4">
      <w:pPr>
        <w:spacing w:line="480" w:lineRule="auto"/>
      </w:pPr>
      <w:bookmarkStart w:id="1" w:name="srcwork"/>
      <w:bookmarkStart w:id="2" w:name="srcvolume"/>
      <w:bookmarkStart w:id="3" w:name="srced"/>
      <w:bookmarkStart w:id="4" w:name="srcpublisher"/>
      <w:bookmarkStart w:id="5" w:name="srcyear"/>
      <w:bookmarkStart w:id="6" w:name="kk"/>
      <w:bookmarkStart w:id="7" w:name="srcurl"/>
      <w:bookmarkEnd w:id="1"/>
      <w:bookmarkEnd w:id="2"/>
      <w:bookmarkEnd w:id="3"/>
      <w:bookmarkEnd w:id="4"/>
      <w:bookmarkEnd w:id="5"/>
      <w:bookmarkEnd w:id="6"/>
      <w:bookmarkEnd w:id="7"/>
      <w:r>
        <w:t>______________________________________________________________________________</w:t>
      </w:r>
    </w:p>
    <w:p w14:paraId="754DB92E" w14:textId="77777777" w:rsidR="00775CF4" w:rsidRPr="00B77089" w:rsidRDefault="00775CF4" w:rsidP="00775CF4">
      <w:pPr>
        <w:spacing w:line="480" w:lineRule="auto"/>
        <w:rPr>
          <w:i/>
          <w:iCs/>
        </w:rPr>
      </w:pPr>
      <w:r w:rsidRPr="00B77089">
        <w:rPr>
          <w:i/>
          <w:iCs/>
        </w:rPr>
        <w:t>Fr. James Dominic Rooney, O</w:t>
      </w:r>
      <w:r>
        <w:rPr>
          <w:i/>
          <w:iCs/>
        </w:rPr>
        <w:t>.</w:t>
      </w:r>
      <w:r w:rsidRPr="00B77089">
        <w:rPr>
          <w:i/>
          <w:iCs/>
        </w:rPr>
        <w:t>P</w:t>
      </w:r>
      <w:r>
        <w:rPr>
          <w:i/>
          <w:iCs/>
        </w:rPr>
        <w:t>.</w:t>
      </w:r>
      <w:r w:rsidRPr="00B77089">
        <w:rPr>
          <w:i/>
          <w:iCs/>
        </w:rPr>
        <w:t>,</w:t>
      </w:r>
      <w:r>
        <w:rPr>
          <w:i/>
          <w:iCs/>
        </w:rPr>
        <w:t xml:space="preserve"> Ph.D.</w:t>
      </w:r>
      <w:r w:rsidRPr="00B77089">
        <w:rPr>
          <w:i/>
          <w:iCs/>
        </w:rPr>
        <w:t xml:space="preserve"> is a member of the faculty of philosophy at the Pontifical University of St. Thomas Aquinas (Angelicum) in Rome, Italy.</w:t>
      </w:r>
    </w:p>
    <w:p w14:paraId="08CE9DB8" w14:textId="3A3E2BEE" w:rsidR="00B77089" w:rsidRPr="00775CF4" w:rsidRDefault="00B77089" w:rsidP="00775CF4"/>
    <w:sectPr w:rsidR="00B77089" w:rsidRPr="00775CF4" w:rsidSect="009D0D97">
      <w:footerReference w:type="default" r:id="rId8"/>
      <w:pgSz w:w="12240" w:h="15840"/>
      <w:pgMar w:top="1440" w:right="1440" w:bottom="1440" w:left="1440" w:header="11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979FA" w14:textId="77777777" w:rsidR="006050D9" w:rsidRDefault="006050D9">
      <w:r>
        <w:separator/>
      </w:r>
    </w:p>
  </w:endnote>
  <w:endnote w:type="continuationSeparator" w:id="0">
    <w:p w14:paraId="35F8D39C" w14:textId="77777777" w:rsidR="006050D9" w:rsidRDefault="0060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408BE" w14:textId="77777777" w:rsidR="006311C5" w:rsidRDefault="006311C5" w:rsidP="003D45B3">
    <w:pPr>
      <w:pStyle w:val="Footer"/>
      <w:jc w:val="center"/>
    </w:pPr>
    <w:r>
      <w:fldChar w:fldCharType="begin"/>
    </w:r>
    <w:r>
      <w:instrText xml:space="preserve"> PAGE   \* MERGEFORMAT </w:instrText>
    </w:r>
    <w:r>
      <w:fldChar w:fldCharType="separate"/>
    </w:r>
    <w:r>
      <w:rPr>
        <w:noProof/>
      </w:rPr>
      <w:t>16</w:t>
    </w:r>
    <w:r>
      <w:rPr>
        <w:noProof/>
      </w:rPr>
      <w:fldChar w:fldCharType="end"/>
    </w:r>
  </w:p>
  <w:p w14:paraId="32F04547" w14:textId="77777777" w:rsidR="006311C5" w:rsidRDefault="00631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CF10E" w14:textId="77777777" w:rsidR="006050D9" w:rsidRDefault="006050D9">
      <w:r>
        <w:separator/>
      </w:r>
    </w:p>
  </w:footnote>
  <w:footnote w:type="continuationSeparator" w:id="0">
    <w:p w14:paraId="7E6C3EB7" w14:textId="77777777" w:rsidR="006050D9" w:rsidRDefault="006050D9">
      <w:r>
        <w:continuationSeparator/>
      </w:r>
    </w:p>
  </w:footnote>
  <w:footnote w:id="1">
    <w:p w14:paraId="41C5FDE4"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i/>
          <w:iCs/>
          <w:sz w:val="24"/>
          <w:szCs w:val="24"/>
        </w:rPr>
        <w:t xml:space="preserve"> </w:t>
      </w:r>
      <w:r w:rsidRPr="00F060A3">
        <w:rPr>
          <w:rFonts w:cs="Times New Roman"/>
          <w:sz w:val="24"/>
          <w:szCs w:val="24"/>
        </w:rPr>
        <w:t xml:space="preserve">See </w:t>
      </w:r>
      <w:r w:rsidRPr="00F060A3">
        <w:rPr>
          <w:rFonts w:cs="Times New Roman"/>
          <w:sz w:val="24"/>
          <w:szCs w:val="24"/>
          <w:lang w:val="en-GB"/>
        </w:rPr>
        <w:t xml:space="preserve">Second Vatican Council, Dogmatic Constitution on the Church </w:t>
      </w:r>
      <w:r w:rsidRPr="00F060A3">
        <w:rPr>
          <w:rFonts w:cs="Times New Roman"/>
          <w:i/>
          <w:iCs/>
          <w:sz w:val="24"/>
          <w:szCs w:val="24"/>
          <w:lang w:val="en-GB"/>
        </w:rPr>
        <w:t xml:space="preserve">Lumen Gentium </w:t>
      </w:r>
      <w:r w:rsidRPr="00F060A3">
        <w:rPr>
          <w:rFonts w:cs="Times New Roman"/>
          <w:sz w:val="24"/>
          <w:szCs w:val="24"/>
          <w:lang w:val="en-GB"/>
        </w:rPr>
        <w:t xml:space="preserve">(November 21, 1964) </w:t>
      </w:r>
      <w:r w:rsidRPr="00F060A3">
        <w:rPr>
          <w:rFonts w:cs="Times New Roman"/>
          <w:iCs/>
          <w:sz w:val="24"/>
          <w:szCs w:val="24"/>
        </w:rPr>
        <w:t>no.</w:t>
      </w:r>
      <w:r w:rsidRPr="00F060A3">
        <w:rPr>
          <w:rFonts w:cs="Times New Roman"/>
          <w:i/>
          <w:iCs/>
          <w:sz w:val="24"/>
          <w:szCs w:val="24"/>
        </w:rPr>
        <w:t xml:space="preserve"> </w:t>
      </w:r>
      <w:r w:rsidRPr="00F060A3">
        <w:rPr>
          <w:rFonts w:cs="Times New Roman"/>
          <w:sz w:val="24"/>
          <w:szCs w:val="24"/>
        </w:rPr>
        <w:t xml:space="preserve">21. </w:t>
      </w:r>
    </w:p>
  </w:footnote>
  <w:footnote w:id="2">
    <w:p w14:paraId="63A9E81F" w14:textId="77777777" w:rsidR="00775CF4" w:rsidRPr="00F060A3" w:rsidRDefault="00775CF4" w:rsidP="00775CF4">
      <w:pPr>
        <w:pStyle w:val="FootnoteText"/>
        <w:jc w:val="both"/>
        <w:rPr>
          <w:rFonts w:cs="Times New Roman"/>
          <w:i/>
          <w:sz w:val="24"/>
          <w:szCs w:val="24"/>
        </w:rPr>
      </w:pPr>
      <w:r w:rsidRPr="00F060A3">
        <w:rPr>
          <w:rStyle w:val="FootnoteCharacters"/>
          <w:rFonts w:cs="Times New Roman"/>
          <w:sz w:val="24"/>
          <w:szCs w:val="24"/>
        </w:rPr>
        <w:footnoteRef/>
      </w:r>
      <w:r w:rsidRPr="00F060A3">
        <w:rPr>
          <w:rFonts w:cs="Times New Roman"/>
          <w:sz w:val="24"/>
          <w:szCs w:val="24"/>
        </w:rPr>
        <w:t xml:space="preserve"> There is a veritable proliferation of works attempting to pursue a “Eucharistic ecclesiology,” even from an ecumenical perspective. For an introduction to the approach, see Paul McPartlan, </w:t>
      </w:r>
      <w:r w:rsidRPr="00F060A3">
        <w:rPr>
          <w:rFonts w:cs="Times New Roman"/>
          <w:i/>
          <w:sz w:val="24"/>
          <w:szCs w:val="24"/>
        </w:rPr>
        <w:t>Sacrament of Salvation: An Introduction to Eucharistic Ecclesiology</w:t>
      </w:r>
      <w:r w:rsidRPr="00F060A3">
        <w:rPr>
          <w:rFonts w:cs="Times New Roman"/>
          <w:sz w:val="24"/>
          <w:szCs w:val="24"/>
        </w:rPr>
        <w:t xml:space="preserve"> (Edinburgh: T&amp;T Clark, 1995). For a specific examination of Vatican II’s contribution, see id., “Ressourcement, Vatican II, and Eucharistic Ecclesiology,” in </w:t>
      </w:r>
      <w:r w:rsidRPr="00F060A3">
        <w:rPr>
          <w:rFonts w:cs="Times New Roman"/>
          <w:i/>
          <w:sz w:val="24"/>
          <w:szCs w:val="24"/>
        </w:rPr>
        <w:t xml:space="preserve">Ressourcement: </w:t>
      </w:r>
      <w:r w:rsidRPr="00F060A3">
        <w:rPr>
          <w:rFonts w:cs="Times New Roman"/>
          <w:i/>
          <w:sz w:val="24"/>
          <w:szCs w:val="24"/>
          <w:lang w:val="en-GB"/>
        </w:rPr>
        <w:t>A Movement for Renewal in Twentieth-Century Catholic Theology</w:t>
      </w:r>
      <w:r w:rsidRPr="00F060A3">
        <w:rPr>
          <w:rFonts w:cs="Times New Roman"/>
          <w:iCs/>
          <w:sz w:val="24"/>
          <w:szCs w:val="24"/>
        </w:rPr>
        <w:t xml:space="preserve">, </w:t>
      </w:r>
      <w:r w:rsidRPr="00F060A3">
        <w:rPr>
          <w:rFonts w:cs="Times New Roman"/>
          <w:sz w:val="24"/>
          <w:szCs w:val="24"/>
        </w:rPr>
        <w:t>ed. Gabriel Flynn and Paul D. Murray (Oxford: Oxford University Press, 2012) 392–404.</w:t>
      </w:r>
    </w:p>
  </w:footnote>
  <w:footnote w:id="3">
    <w:p w14:paraId="083AD45E"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Style w:val="FootnoteCharacters"/>
          <w:rFonts w:eastAsia="Times New Roman" w:cs="Times New Roman"/>
          <w:sz w:val="24"/>
          <w:szCs w:val="24"/>
        </w:rPr>
        <w:t xml:space="preserve"> See Joseph Ratzinger, </w:t>
      </w:r>
      <w:r w:rsidRPr="00F060A3">
        <w:rPr>
          <w:rStyle w:val="FootnoteCharacters"/>
          <w:rFonts w:eastAsia="Times New Roman" w:cs="Times New Roman"/>
          <w:i/>
          <w:iCs/>
          <w:sz w:val="24"/>
          <w:szCs w:val="24"/>
        </w:rPr>
        <w:t xml:space="preserve">Called to Communion: Understanding the Church Today, </w:t>
      </w:r>
      <w:r w:rsidRPr="00F060A3">
        <w:rPr>
          <w:rStyle w:val="FootnoteCharacters"/>
          <w:rFonts w:eastAsia="Times New Roman" w:cs="Times New Roman"/>
          <w:sz w:val="24"/>
          <w:szCs w:val="24"/>
        </w:rPr>
        <w:t>trans. Adrian Walker (San Francisco: Ignatius Press, 1996) 105–110.</w:t>
      </w:r>
    </w:p>
  </w:footnote>
  <w:footnote w:id="4">
    <w:p w14:paraId="53F1CB3A"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Style w:val="FootnoteCharacters"/>
          <w:rFonts w:eastAsia="Times New Roman" w:cs="Times New Roman"/>
          <w:sz w:val="24"/>
          <w:szCs w:val="24"/>
        </w:rPr>
        <w:t xml:space="preserve"> See Lawrence Welch, “For the Church and Within the Church,” in </w:t>
      </w:r>
      <w:r w:rsidRPr="00F060A3">
        <w:rPr>
          <w:rStyle w:val="FootnoteCharacters"/>
          <w:rFonts w:eastAsia="Times New Roman" w:cs="Times New Roman"/>
          <w:i/>
          <w:iCs/>
          <w:sz w:val="24"/>
          <w:szCs w:val="24"/>
        </w:rPr>
        <w:t xml:space="preserve">The Thomist </w:t>
      </w:r>
      <w:r w:rsidRPr="00F060A3">
        <w:rPr>
          <w:rStyle w:val="FootnoteCharacters"/>
          <w:rFonts w:eastAsia="Times New Roman" w:cs="Times New Roman"/>
          <w:sz w:val="24"/>
          <w:szCs w:val="24"/>
        </w:rPr>
        <w:t>65 (2001) 613–637, at 625.</w:t>
      </w:r>
    </w:p>
  </w:footnote>
  <w:footnote w:id="5">
    <w:p w14:paraId="7E0E48EF"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Style w:val="FootnoteCharacters"/>
          <w:rFonts w:eastAsia="Times New Roman" w:cs="Times New Roman"/>
          <w:sz w:val="24"/>
          <w:szCs w:val="24"/>
        </w:rPr>
        <w:t xml:space="preserve"> See Susan K. Wood, “The Sacramentality of Episcopal Consecration,”</w:t>
      </w:r>
      <w:r w:rsidRPr="00F060A3">
        <w:rPr>
          <w:rStyle w:val="FootnoteCharacters"/>
          <w:rFonts w:eastAsia="Times New Roman" w:cs="Times New Roman"/>
          <w:i/>
          <w:iCs/>
          <w:sz w:val="24"/>
          <w:szCs w:val="24"/>
        </w:rPr>
        <w:t xml:space="preserve"> </w:t>
      </w:r>
      <w:r w:rsidRPr="00F060A3">
        <w:rPr>
          <w:rStyle w:val="FootnoteCharacters"/>
          <w:rFonts w:eastAsia="Times New Roman" w:cs="Times New Roman"/>
          <w:sz w:val="24"/>
          <w:szCs w:val="24"/>
        </w:rPr>
        <w:t xml:space="preserve">in </w:t>
      </w:r>
      <w:r w:rsidRPr="00F060A3">
        <w:rPr>
          <w:rStyle w:val="FootnoteCharacters"/>
          <w:rFonts w:eastAsia="Times New Roman" w:cs="Times New Roman"/>
          <w:i/>
          <w:iCs/>
          <w:sz w:val="24"/>
          <w:szCs w:val="24"/>
        </w:rPr>
        <w:t xml:space="preserve">Theological Studies </w:t>
      </w:r>
      <w:r w:rsidRPr="00F060A3">
        <w:rPr>
          <w:rStyle w:val="FootnoteCharacters"/>
          <w:rFonts w:eastAsia="Times New Roman" w:cs="Times New Roman"/>
          <w:sz w:val="24"/>
          <w:szCs w:val="24"/>
        </w:rPr>
        <w:t>51 (1990) 479–496, at</w:t>
      </w:r>
      <w:r w:rsidRPr="00F060A3">
        <w:rPr>
          <w:rStyle w:val="FootnoteCharacters"/>
          <w:rFonts w:eastAsia="Times New Roman" w:cs="Times New Roman"/>
          <w:i/>
          <w:iCs/>
          <w:sz w:val="24"/>
          <w:szCs w:val="24"/>
        </w:rPr>
        <w:t xml:space="preserve"> </w:t>
      </w:r>
      <w:r w:rsidRPr="00F060A3">
        <w:rPr>
          <w:rStyle w:val="FootnoteCharacters"/>
          <w:rFonts w:eastAsia="Times New Roman" w:cs="Times New Roman"/>
          <w:sz w:val="24"/>
          <w:szCs w:val="24"/>
        </w:rPr>
        <w:t xml:space="preserve">480–481; David Coffey, “The Common and the Ordained Priesthood,” in </w:t>
      </w:r>
      <w:r w:rsidRPr="00F060A3">
        <w:rPr>
          <w:rStyle w:val="FootnoteCharacters"/>
          <w:rFonts w:eastAsia="Times New Roman" w:cs="Times New Roman"/>
          <w:i/>
          <w:iCs/>
          <w:sz w:val="24"/>
          <w:szCs w:val="24"/>
        </w:rPr>
        <w:t xml:space="preserve">Theological Studies </w:t>
      </w:r>
      <w:r w:rsidRPr="00F060A3">
        <w:rPr>
          <w:rStyle w:val="FootnoteCharacters"/>
          <w:rFonts w:eastAsia="Times New Roman" w:cs="Times New Roman"/>
          <w:sz w:val="24"/>
          <w:szCs w:val="24"/>
        </w:rPr>
        <w:t>58</w:t>
      </w:r>
      <w:r w:rsidRPr="00F060A3">
        <w:rPr>
          <w:rStyle w:val="FootnoteCharacters"/>
          <w:rFonts w:eastAsia="Times New Roman" w:cs="Times New Roman"/>
          <w:i/>
          <w:iCs/>
          <w:sz w:val="24"/>
          <w:szCs w:val="24"/>
        </w:rPr>
        <w:t xml:space="preserve"> </w:t>
      </w:r>
      <w:r w:rsidRPr="00F060A3">
        <w:rPr>
          <w:rStyle w:val="FootnoteCharacters"/>
          <w:rFonts w:eastAsia="Times New Roman" w:cs="Times New Roman"/>
          <w:sz w:val="24"/>
          <w:szCs w:val="24"/>
        </w:rPr>
        <w:t>(1997) 209–236.</w:t>
      </w:r>
    </w:p>
  </w:footnote>
  <w:footnote w:id="6">
    <w:p w14:paraId="0510E300"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It would take us too far afield, for the purposes of this essay, to engage in a deeper historical-contextual analysis of each author, so I will abstract from some of those considerations in order to focus more clearly on their theological conclusions. The aim here is thus primarily systematic: to outline a new possibility in conceiving the relations between the episcopacy and the presbyterate that safeguards traditional theological claims alongside contemporary ecclesiological positions, and to illustrate the implications such a theory would have on other areas of theological speculation. </w:t>
      </w:r>
    </w:p>
  </w:footnote>
  <w:footnote w:id="7">
    <w:p w14:paraId="73E1394F"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Nicholas Afanasiev, </w:t>
      </w:r>
      <w:r w:rsidRPr="00F060A3">
        <w:rPr>
          <w:rFonts w:cs="Times New Roman"/>
          <w:i/>
          <w:sz w:val="24"/>
          <w:szCs w:val="24"/>
        </w:rPr>
        <w:t>Trapeza Gospodnia</w:t>
      </w:r>
      <w:r w:rsidRPr="00F060A3">
        <w:rPr>
          <w:rFonts w:cs="Times New Roman"/>
          <w:sz w:val="24"/>
          <w:szCs w:val="24"/>
        </w:rPr>
        <w:t xml:space="preserve"> [“Lord’s Supper”] (Paris: YMCA Press, 1952); </w:t>
      </w:r>
      <w:r w:rsidRPr="00F060A3">
        <w:rPr>
          <w:rFonts w:cs="Times New Roman"/>
          <w:i/>
          <w:sz w:val="24"/>
          <w:szCs w:val="24"/>
        </w:rPr>
        <w:t>The Church of the Holy Spirit</w:t>
      </w:r>
      <w:r w:rsidRPr="00F060A3">
        <w:rPr>
          <w:rFonts w:cs="Times New Roman"/>
          <w:iCs/>
          <w:sz w:val="24"/>
          <w:szCs w:val="24"/>
        </w:rPr>
        <w:t>, trans. Vitaly Permiakov</w:t>
      </w:r>
      <w:r w:rsidRPr="00F060A3">
        <w:rPr>
          <w:rFonts w:cs="Times New Roman"/>
          <w:sz w:val="24"/>
          <w:szCs w:val="24"/>
        </w:rPr>
        <w:t xml:space="preserve"> (Notre Dame, IN: University of Notre Dame Press, 2007).</w:t>
      </w:r>
    </w:p>
  </w:footnote>
  <w:footnote w:id="8">
    <w:p w14:paraId="22608263"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color w:val="000000"/>
          <w:sz w:val="24"/>
          <w:szCs w:val="24"/>
        </w:rPr>
        <w:t xml:space="preserve"> Henri de Lubac, </w:t>
      </w:r>
      <w:r w:rsidRPr="00F060A3">
        <w:rPr>
          <w:rFonts w:cs="Times New Roman"/>
          <w:i/>
          <w:color w:val="000000"/>
          <w:sz w:val="24"/>
          <w:szCs w:val="24"/>
        </w:rPr>
        <w:t>The Splendor of the Church</w:t>
      </w:r>
      <w:r w:rsidRPr="00F060A3">
        <w:rPr>
          <w:rFonts w:cs="Times New Roman"/>
          <w:iCs/>
          <w:color w:val="000000"/>
          <w:sz w:val="24"/>
          <w:szCs w:val="24"/>
        </w:rPr>
        <w:t>, trans. Michael Mason</w:t>
      </w:r>
      <w:r w:rsidRPr="00F060A3">
        <w:rPr>
          <w:rFonts w:cs="Times New Roman"/>
          <w:color w:val="000000"/>
          <w:sz w:val="24"/>
          <w:szCs w:val="24"/>
        </w:rPr>
        <w:t> (San Francisco: Ignatius Press, 1986) 134.</w:t>
      </w:r>
    </w:p>
  </w:footnote>
  <w:footnote w:id="9">
    <w:p w14:paraId="6B76DF03" w14:textId="77777777" w:rsidR="00775CF4" w:rsidRPr="00F060A3" w:rsidRDefault="00775CF4" w:rsidP="00775CF4">
      <w:pPr>
        <w:pStyle w:val="FootnoteText"/>
        <w:numPr>
          <w:ilvl w:val="1"/>
          <w:numId w:val="1"/>
        </w:numPr>
        <w:ind w:left="0" w:firstLine="0"/>
        <w:jc w:val="both"/>
        <w:rPr>
          <w:rFonts w:cs="Times New Roman"/>
          <w:i/>
          <w:iCs/>
          <w:sz w:val="24"/>
          <w:szCs w:val="24"/>
          <w:lang w:val="en-GB"/>
        </w:rPr>
      </w:pPr>
      <w:r w:rsidRPr="00F060A3">
        <w:rPr>
          <w:rStyle w:val="FootnoteCharacters"/>
          <w:rFonts w:cs="Times New Roman"/>
          <w:sz w:val="24"/>
          <w:szCs w:val="24"/>
        </w:rPr>
        <w:footnoteRef/>
      </w:r>
      <w:r w:rsidRPr="00F060A3">
        <w:rPr>
          <w:rFonts w:cs="Times New Roman"/>
          <w:sz w:val="24"/>
          <w:szCs w:val="24"/>
        </w:rPr>
        <w:t xml:space="preserve"> See Aidan Nichols,</w:t>
      </w:r>
      <w:r w:rsidRPr="00F060A3">
        <w:rPr>
          <w:rFonts w:cs="Times New Roman"/>
          <w:i/>
          <w:iCs/>
          <w:sz w:val="24"/>
          <w:szCs w:val="24"/>
        </w:rPr>
        <w:t xml:space="preserve"> Light from the East: </w:t>
      </w:r>
      <w:r w:rsidRPr="00F060A3">
        <w:rPr>
          <w:rFonts w:cs="Times New Roman"/>
          <w:i/>
          <w:iCs/>
          <w:sz w:val="24"/>
          <w:szCs w:val="24"/>
          <w:lang w:val="en-GB"/>
        </w:rPr>
        <w:t>Authors and Themes in Orthodox Theology</w:t>
      </w:r>
      <w:r w:rsidRPr="00F060A3">
        <w:rPr>
          <w:rFonts w:cs="Times New Roman"/>
          <w:sz w:val="24"/>
          <w:szCs w:val="24"/>
        </w:rPr>
        <w:t xml:space="preserve"> (London: Sheed &amp; Ward, 1999) 125–126.</w:t>
      </w:r>
    </w:p>
  </w:footnote>
  <w:footnote w:id="10">
    <w:p w14:paraId="4A566821"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Radu Bordeianu, “Orthodox-Catholic Dialogue: Retrieving Eucharistic Ecclesiology,” in </w:t>
      </w:r>
      <w:r w:rsidRPr="00F060A3">
        <w:rPr>
          <w:rFonts w:cs="Times New Roman"/>
          <w:i/>
          <w:iCs/>
          <w:sz w:val="24"/>
          <w:szCs w:val="24"/>
        </w:rPr>
        <w:t xml:space="preserve">Journal of Ecumenical Studies </w:t>
      </w:r>
      <w:r w:rsidRPr="00F060A3">
        <w:rPr>
          <w:rFonts w:cs="Times New Roman"/>
          <w:sz w:val="24"/>
          <w:szCs w:val="24"/>
        </w:rPr>
        <w:t>44 (2009) 239–265.</w:t>
      </w:r>
    </w:p>
  </w:footnote>
  <w:footnote w:id="11">
    <w:p w14:paraId="6FE5A582"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John Zizioulas, </w:t>
      </w:r>
      <w:r w:rsidRPr="00F060A3">
        <w:rPr>
          <w:rFonts w:cs="Times New Roman"/>
          <w:i/>
          <w:iCs/>
          <w:sz w:val="24"/>
          <w:szCs w:val="24"/>
        </w:rPr>
        <w:t>Eucharist, Bishop, Church: The Unity of the Church in the Divine Eucharist and the Bishop During the First Three Centuries</w:t>
      </w:r>
      <w:r w:rsidRPr="00F060A3">
        <w:rPr>
          <w:rFonts w:cs="Times New Roman"/>
          <w:sz w:val="24"/>
          <w:szCs w:val="24"/>
        </w:rPr>
        <w:t>, trans. Elizabeth Theokritoff (Brookline, MA: Holy Cross Orthodox Press, 2001).</w:t>
      </w:r>
    </w:p>
  </w:footnote>
  <w:footnote w:id="12">
    <w:p w14:paraId="580B5F2A"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The common Eastern practice is to baptize, chrismate, and communicate infants with the Eucharist in one liturgical event, and in this structure the Eucharist serves as the completion of the initiation of the infant. Nevertheless, the broader significance is that incorporation of believers at every Eucharist remains a completion of what their baptism had begun. In other words, celebration of the Eucharist perfects our Christian life.</w:t>
      </w:r>
    </w:p>
  </w:footnote>
  <w:footnote w:id="13">
    <w:p w14:paraId="474EC0AC"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Zizioulas, </w:t>
      </w:r>
      <w:r w:rsidRPr="00F060A3">
        <w:rPr>
          <w:rFonts w:cs="Times New Roman"/>
          <w:i/>
          <w:iCs/>
          <w:sz w:val="24"/>
          <w:szCs w:val="24"/>
        </w:rPr>
        <w:t>Eucharist, Bishop, Church</w:t>
      </w:r>
      <w:r w:rsidRPr="00F060A3">
        <w:rPr>
          <w:rFonts w:cs="Times New Roman"/>
          <w:sz w:val="24"/>
          <w:szCs w:val="24"/>
        </w:rPr>
        <w:t>, 16–17.</w:t>
      </w:r>
    </w:p>
  </w:footnote>
  <w:footnote w:id="14">
    <w:p w14:paraId="33426E56"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ibid., 18–19. </w:t>
      </w:r>
    </w:p>
  </w:footnote>
  <w:footnote w:id="15">
    <w:p w14:paraId="168FA9A5"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ibid., 61–62. </w:t>
      </w:r>
    </w:p>
  </w:footnote>
  <w:footnote w:id="16">
    <w:p w14:paraId="206BCE99"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ibid., 65–67.</w:t>
      </w:r>
    </w:p>
  </w:footnote>
  <w:footnote w:id="17">
    <w:p w14:paraId="62E18B23"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ibid., 107–128.</w:t>
      </w:r>
    </w:p>
  </w:footnote>
  <w:footnote w:id="18">
    <w:p w14:paraId="01A3A977"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Richard DeClue, “Eucharistic Ecclesiologies of Locality and Universality in John Zizioulas and Joseph Ratzinger” in </w:t>
      </w:r>
      <w:r w:rsidRPr="00F060A3">
        <w:rPr>
          <w:rFonts w:cs="Times New Roman"/>
          <w:i/>
          <w:iCs/>
          <w:sz w:val="24"/>
          <w:szCs w:val="24"/>
        </w:rPr>
        <w:t xml:space="preserve">Nova et Vetera </w:t>
      </w:r>
      <w:r w:rsidRPr="00F060A3">
        <w:rPr>
          <w:rFonts w:cs="Times New Roman"/>
          <w:sz w:val="24"/>
          <w:szCs w:val="24"/>
        </w:rPr>
        <w:t xml:space="preserve">12 (2014) 77-103, at 80–82, 88. </w:t>
      </w:r>
    </w:p>
  </w:footnote>
  <w:footnote w:id="19">
    <w:p w14:paraId="7EA8F558"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Zizioulas, </w:t>
      </w:r>
      <w:r w:rsidRPr="00F060A3">
        <w:rPr>
          <w:rFonts w:cs="Times New Roman"/>
          <w:i/>
          <w:iCs/>
          <w:sz w:val="24"/>
          <w:szCs w:val="24"/>
        </w:rPr>
        <w:t>Eucharist, Bishop, Church</w:t>
      </w:r>
      <w:r w:rsidRPr="00F060A3">
        <w:rPr>
          <w:rFonts w:cs="Times New Roman"/>
          <w:sz w:val="24"/>
          <w:szCs w:val="24"/>
        </w:rPr>
        <w:t>, 198–217.</w:t>
      </w:r>
    </w:p>
  </w:footnote>
  <w:footnote w:id="20">
    <w:p w14:paraId="32D93D3D"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John Zizioulas, </w:t>
      </w:r>
      <w:r w:rsidRPr="00F060A3">
        <w:rPr>
          <w:rFonts w:cs="Times New Roman"/>
          <w:i/>
          <w:iCs/>
          <w:sz w:val="24"/>
          <w:szCs w:val="24"/>
        </w:rPr>
        <w:t xml:space="preserve">Lectures in Christian Dogmatics, </w:t>
      </w:r>
      <w:r w:rsidRPr="00F060A3">
        <w:rPr>
          <w:rFonts w:cs="Times New Roman"/>
          <w:sz w:val="24"/>
          <w:szCs w:val="24"/>
        </w:rPr>
        <w:t>trans. Douglas H. Knight (London: T&amp;T Clark, 2008), 147.</w:t>
      </w:r>
    </w:p>
  </w:footnote>
  <w:footnote w:id="21">
    <w:p w14:paraId="530F0D5F"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This is to say that the presbyter did not act as a co-consecrator of the Eucharist, but was vested and seated in choir during the celebration. See Zizioulas, </w:t>
      </w:r>
      <w:r w:rsidRPr="00F060A3">
        <w:rPr>
          <w:rFonts w:cs="Times New Roman"/>
          <w:i/>
          <w:iCs/>
          <w:sz w:val="24"/>
          <w:szCs w:val="24"/>
        </w:rPr>
        <w:t>Eucharist, Bishop, Church</w:t>
      </w:r>
      <w:r w:rsidRPr="00F060A3">
        <w:rPr>
          <w:rFonts w:cs="Times New Roman"/>
          <w:sz w:val="24"/>
          <w:szCs w:val="24"/>
        </w:rPr>
        <w:t>, 203–204.</w:t>
      </w:r>
    </w:p>
  </w:footnote>
  <w:footnote w:id="22">
    <w:p w14:paraId="0380E8E8"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ibid., 209–211. </w:t>
      </w:r>
    </w:p>
  </w:footnote>
  <w:footnote w:id="23">
    <w:p w14:paraId="0373B545"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Zizioulas, </w:t>
      </w:r>
      <w:r w:rsidRPr="00F060A3">
        <w:rPr>
          <w:rFonts w:cs="Times New Roman"/>
          <w:i/>
          <w:iCs/>
          <w:sz w:val="24"/>
          <w:szCs w:val="24"/>
        </w:rPr>
        <w:t>Lectures in Christian Dogmatics</w:t>
      </w:r>
      <w:r w:rsidRPr="00F060A3">
        <w:rPr>
          <w:rFonts w:cs="Times New Roman"/>
          <w:sz w:val="24"/>
          <w:szCs w:val="24"/>
        </w:rPr>
        <w:t>, 146–147.</w:t>
      </w:r>
    </w:p>
  </w:footnote>
  <w:footnote w:id="24">
    <w:p w14:paraId="08FDD942" w14:textId="77777777" w:rsidR="00775CF4" w:rsidRPr="00F060A3" w:rsidRDefault="00775CF4" w:rsidP="00775CF4">
      <w:pPr>
        <w:pStyle w:val="FootnoteText"/>
        <w:jc w:val="both"/>
        <w:rPr>
          <w:rFonts w:cs="Times New Roman"/>
          <w:sz w:val="24"/>
          <w:szCs w:val="24"/>
          <w:lang w:val="en-GB"/>
        </w:rPr>
      </w:pPr>
      <w:r w:rsidRPr="00F060A3">
        <w:rPr>
          <w:rStyle w:val="FootnoteCharacters"/>
          <w:rFonts w:cs="Times New Roman"/>
          <w:sz w:val="24"/>
          <w:szCs w:val="24"/>
        </w:rPr>
        <w:footnoteRef/>
      </w:r>
      <w:r w:rsidRPr="00F060A3">
        <w:rPr>
          <w:rFonts w:cs="Times New Roman"/>
          <w:sz w:val="24"/>
          <w:szCs w:val="24"/>
          <w:lang w:val="en-GB"/>
        </w:rPr>
        <w:t xml:space="preserve"> See Zizioulas, </w:t>
      </w:r>
      <w:r w:rsidRPr="00F060A3">
        <w:rPr>
          <w:rFonts w:cs="Times New Roman"/>
          <w:i/>
          <w:iCs/>
          <w:sz w:val="24"/>
          <w:szCs w:val="24"/>
          <w:lang w:val="en-GB"/>
        </w:rPr>
        <w:t>Eucharist, Bishop, Church</w:t>
      </w:r>
      <w:r w:rsidRPr="00F060A3">
        <w:rPr>
          <w:rFonts w:cs="Times New Roman"/>
          <w:sz w:val="24"/>
          <w:szCs w:val="24"/>
          <w:lang w:val="en-GB"/>
        </w:rPr>
        <w:t xml:space="preserve">, 204. </w:t>
      </w:r>
    </w:p>
  </w:footnote>
  <w:footnote w:id="25">
    <w:p w14:paraId="0D846D81"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lang w:val="de-DE"/>
        </w:rPr>
        <w:t xml:space="preserve"> See Ulrich Horst, </w:t>
      </w:r>
      <w:r w:rsidRPr="00F060A3">
        <w:rPr>
          <w:rFonts w:cs="Times New Roman"/>
          <w:i/>
          <w:iCs/>
          <w:sz w:val="24"/>
          <w:szCs w:val="24"/>
          <w:lang w:val="de-DE"/>
        </w:rPr>
        <w:t xml:space="preserve">Bischöfe und Ordensleute: Cura principalis animarum und via perfectionis in der Ekklesiologie des hl. </w:t>
      </w:r>
      <w:r w:rsidRPr="00F060A3">
        <w:rPr>
          <w:rFonts w:cs="Times New Roman"/>
          <w:i/>
          <w:iCs/>
          <w:sz w:val="24"/>
          <w:szCs w:val="24"/>
        </w:rPr>
        <w:t xml:space="preserve">Thomas von Aquin </w:t>
      </w:r>
      <w:r w:rsidRPr="00F060A3">
        <w:rPr>
          <w:rFonts w:cs="Times New Roman"/>
          <w:sz w:val="24"/>
          <w:szCs w:val="24"/>
        </w:rPr>
        <w:t xml:space="preserve">(Berlin: Akademie Verlag, 1999) 76–77; Thomas Aquinas, </w:t>
      </w:r>
      <w:r w:rsidRPr="00F060A3">
        <w:rPr>
          <w:rFonts w:cs="Times New Roman"/>
          <w:i/>
          <w:iCs/>
          <w:sz w:val="24"/>
          <w:szCs w:val="24"/>
        </w:rPr>
        <w:t xml:space="preserve">Commentaries on St. Paul’s Epistles to Timothy, Titus, and Philemon, </w:t>
      </w:r>
      <w:r w:rsidRPr="00F060A3">
        <w:rPr>
          <w:rFonts w:cs="Times New Roman"/>
          <w:sz w:val="24"/>
          <w:szCs w:val="24"/>
        </w:rPr>
        <w:t>trans. Chrysostom Baer (South Bend, IN: St. Augustine’ Press, 2007) 34–35, 159–160.</w:t>
      </w:r>
    </w:p>
  </w:footnote>
  <w:footnote w:id="26">
    <w:p w14:paraId="2C69AE01"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Bruce Marshall, “The Whole Mystery of our Salvation,” in </w:t>
      </w:r>
      <w:r w:rsidRPr="00F060A3">
        <w:rPr>
          <w:rFonts w:cs="Times New Roman"/>
          <w:i/>
          <w:iCs/>
          <w:sz w:val="24"/>
          <w:szCs w:val="24"/>
        </w:rPr>
        <w:t xml:space="preserve">Rediscovering Aquinas and the Sacraments: Studies in Sacramental Theology, </w:t>
      </w:r>
      <w:r w:rsidRPr="00F060A3">
        <w:rPr>
          <w:rFonts w:cs="Times New Roman"/>
          <w:sz w:val="24"/>
          <w:szCs w:val="24"/>
        </w:rPr>
        <w:t>ed. Levering and Dauphinais</w:t>
      </w:r>
      <w:r w:rsidRPr="00F060A3">
        <w:rPr>
          <w:rFonts w:cs="Times New Roman"/>
          <w:i/>
          <w:iCs/>
          <w:sz w:val="24"/>
          <w:szCs w:val="24"/>
        </w:rPr>
        <w:t xml:space="preserve"> </w:t>
      </w:r>
      <w:r w:rsidRPr="00F060A3">
        <w:rPr>
          <w:rFonts w:cs="Times New Roman"/>
          <w:sz w:val="24"/>
          <w:szCs w:val="24"/>
        </w:rPr>
        <w:t>(Chicago: Hillenbrand Books, 2009) 39–64, at</w:t>
      </w:r>
      <w:r w:rsidRPr="00F060A3">
        <w:rPr>
          <w:rFonts w:cs="Times New Roman"/>
          <w:i/>
          <w:iCs/>
          <w:sz w:val="24"/>
          <w:szCs w:val="24"/>
        </w:rPr>
        <w:t xml:space="preserve"> </w:t>
      </w:r>
      <w:r w:rsidRPr="00F060A3">
        <w:rPr>
          <w:rFonts w:cs="Times New Roman"/>
          <w:sz w:val="24"/>
          <w:szCs w:val="24"/>
        </w:rPr>
        <w:t xml:space="preserve">39–41. </w:t>
      </w:r>
    </w:p>
  </w:footnote>
  <w:footnote w:id="27">
    <w:p w14:paraId="6D45226B"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Ibid., 55. </w:t>
      </w:r>
    </w:p>
  </w:footnote>
  <w:footnote w:id="28">
    <w:p w14:paraId="10465CB5" w14:textId="77777777" w:rsidR="00775CF4" w:rsidRPr="00B00224" w:rsidRDefault="00775CF4" w:rsidP="00775CF4">
      <w:pPr>
        <w:pStyle w:val="FootnoteText"/>
        <w:jc w:val="both"/>
        <w:rPr>
          <w:rFonts w:eastAsia="Times New Roman" w:cs="Times New Roman"/>
          <w:sz w:val="24"/>
          <w:szCs w:val="24"/>
        </w:rPr>
      </w:pPr>
      <w:r w:rsidRPr="00F060A3">
        <w:rPr>
          <w:rStyle w:val="FootnoteCharacters"/>
          <w:rFonts w:cs="Times New Roman"/>
          <w:sz w:val="24"/>
          <w:szCs w:val="24"/>
        </w:rPr>
        <w:footnoteRef/>
      </w:r>
      <w:r w:rsidRPr="00F060A3">
        <w:rPr>
          <w:rStyle w:val="FootnoteCharacters"/>
          <w:rFonts w:eastAsia="Times New Roman" w:cs="Times New Roman"/>
          <w:sz w:val="24"/>
          <w:szCs w:val="24"/>
        </w:rPr>
        <w:t xml:space="preserve"> </w:t>
      </w:r>
      <w:r w:rsidRPr="00B00224">
        <w:rPr>
          <w:rStyle w:val="FootnoteCharacters"/>
          <w:rFonts w:eastAsia="Times New Roman" w:cs="Times New Roman"/>
          <w:sz w:val="24"/>
          <w:szCs w:val="24"/>
        </w:rPr>
        <w:t xml:space="preserve">Thomas Aquinas, </w:t>
      </w:r>
      <w:r w:rsidRPr="00B00224">
        <w:rPr>
          <w:rStyle w:val="FootnoteCharacters"/>
          <w:rFonts w:eastAsia="Times New Roman" w:cs="Times New Roman"/>
          <w:i/>
          <w:iCs/>
          <w:sz w:val="24"/>
          <w:szCs w:val="24"/>
        </w:rPr>
        <w:t xml:space="preserve">Summa Theologiae </w:t>
      </w:r>
      <w:r w:rsidRPr="00B00224">
        <w:rPr>
          <w:rStyle w:val="FootnoteCharacters"/>
          <w:rFonts w:eastAsia="Times New Roman" w:cs="Times New Roman"/>
          <w:sz w:val="24"/>
          <w:szCs w:val="24"/>
        </w:rPr>
        <w:t xml:space="preserve">[ST], III, q. 63, a. 6, resp.; q. 65, a. 3. </w:t>
      </w:r>
      <w:r w:rsidRPr="00B00224">
        <w:rPr>
          <w:rFonts w:cs="Times New Roman"/>
          <w:kern w:val="0"/>
          <w:sz w:val="24"/>
          <w:szCs w:val="24"/>
          <w:lang w:val="en-GB" w:eastAsia="en-GB" w:bidi="he-IL"/>
        </w:rPr>
        <w:t xml:space="preserve">The works of Aquinas are cited according to the editions made available on the Corpus Thomisticum internet site of the University of Navarre: </w:t>
      </w:r>
      <w:hyperlink r:id="rId1" w:history="1">
        <w:r w:rsidRPr="00982331">
          <w:rPr>
            <w:rStyle w:val="Hyperlink"/>
            <w:rFonts w:cs="Times New Roman"/>
            <w:kern w:val="0"/>
            <w:sz w:val="24"/>
            <w:szCs w:val="24"/>
            <w:lang w:val="en-GB" w:eastAsia="en-GB" w:bidi="he-IL"/>
          </w:rPr>
          <w:t>www.corpusthomisticum.org</w:t>
        </w:r>
      </w:hyperlink>
      <w:r w:rsidRPr="00F060A3">
        <w:rPr>
          <w:rStyle w:val="FootnoteCharacters"/>
          <w:rFonts w:eastAsia="Times New Roman" w:cs="Times New Roman"/>
          <w:sz w:val="24"/>
          <w:szCs w:val="24"/>
        </w:rPr>
        <w:t xml:space="preserve">. </w:t>
      </w:r>
    </w:p>
  </w:footnote>
  <w:footnote w:id="29">
    <w:p w14:paraId="765F4CB7"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ST, III, q. 79, a. 1, resp.</w:t>
      </w:r>
    </w:p>
  </w:footnote>
  <w:footnote w:id="30">
    <w:p w14:paraId="410EF4D4"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w:t>
      </w:r>
      <w:r w:rsidRPr="00F060A3">
        <w:rPr>
          <w:rFonts w:cs="Times New Roman"/>
          <w:i/>
          <w:iCs/>
          <w:sz w:val="24"/>
          <w:szCs w:val="24"/>
        </w:rPr>
        <w:t>Lumen Gentium</w:t>
      </w:r>
      <w:r w:rsidRPr="00F060A3">
        <w:rPr>
          <w:rFonts w:cs="Times New Roman"/>
          <w:sz w:val="24"/>
          <w:szCs w:val="24"/>
        </w:rPr>
        <w:t xml:space="preserve">, no. 11. A similar claim was anticipated by Second Vatican Council, Constitution on the Sacred Liturgy </w:t>
      </w:r>
      <w:r w:rsidRPr="00F060A3">
        <w:rPr>
          <w:rFonts w:cs="Times New Roman"/>
          <w:i/>
          <w:iCs/>
          <w:sz w:val="24"/>
          <w:szCs w:val="24"/>
        </w:rPr>
        <w:t xml:space="preserve">Sacrosanctum Concilium </w:t>
      </w:r>
      <w:r w:rsidRPr="00F060A3">
        <w:rPr>
          <w:rFonts w:cs="Times New Roman"/>
          <w:sz w:val="24"/>
          <w:szCs w:val="24"/>
        </w:rPr>
        <w:t>(December 4, 1963) no.</w:t>
      </w:r>
      <w:r w:rsidRPr="00F060A3">
        <w:rPr>
          <w:rFonts w:cs="Times New Roman"/>
          <w:i/>
          <w:iCs/>
          <w:sz w:val="24"/>
          <w:szCs w:val="24"/>
        </w:rPr>
        <w:t xml:space="preserve"> </w:t>
      </w:r>
      <w:r w:rsidRPr="00F060A3">
        <w:rPr>
          <w:rFonts w:cs="Times New Roman"/>
          <w:sz w:val="24"/>
          <w:szCs w:val="24"/>
        </w:rPr>
        <w:t>10.</w:t>
      </w:r>
    </w:p>
  </w:footnote>
  <w:footnote w:id="31">
    <w:p w14:paraId="75D335AA"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ST, III, q. 65, a. 3, resp. </w:t>
      </w:r>
    </w:p>
  </w:footnote>
  <w:footnote w:id="32">
    <w:p w14:paraId="42BEB3FE"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Thomas Aquinas, </w:t>
      </w:r>
      <w:r w:rsidRPr="00F060A3">
        <w:rPr>
          <w:rFonts w:cs="Times New Roman"/>
          <w:i/>
          <w:iCs/>
          <w:sz w:val="24"/>
          <w:szCs w:val="24"/>
        </w:rPr>
        <w:t>Summa Contra Gentiles</w:t>
      </w:r>
      <w:r w:rsidRPr="00F060A3">
        <w:rPr>
          <w:rFonts w:cs="Times New Roman"/>
          <w:sz w:val="24"/>
          <w:szCs w:val="24"/>
        </w:rPr>
        <w:t>, IV, 74, 6.</w:t>
      </w:r>
    </w:p>
  </w:footnote>
  <w:footnote w:id="33">
    <w:p w14:paraId="290BED38"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ST, Supp., q. 34, a. 1, resp.</w:t>
      </w:r>
    </w:p>
  </w:footnote>
  <w:footnote w:id="34">
    <w:p w14:paraId="49983DEF"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ST, Supp., q. 35, a. 2, resp. and ad. 1. </w:t>
      </w:r>
    </w:p>
  </w:footnote>
  <w:footnote w:id="35">
    <w:p w14:paraId="708CC354"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ST, Supp., q. 37, a. 2, resp. </w:t>
      </w:r>
    </w:p>
  </w:footnote>
  <w:footnote w:id="36">
    <w:p w14:paraId="632E4E9F"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ST, Supp., q. 37, a. 2, ad. 3.</w:t>
      </w:r>
    </w:p>
  </w:footnote>
  <w:footnote w:id="37">
    <w:p w14:paraId="028B1331"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John Joy, “Saint Thomas Aquinas’s Theology of Sacrifice: Toward a Renewed Conception of the Sacred Priesthood,” in </w:t>
      </w:r>
      <w:r w:rsidRPr="00F060A3">
        <w:rPr>
          <w:rFonts w:cs="Times New Roman"/>
          <w:i/>
          <w:sz w:val="24"/>
          <w:szCs w:val="24"/>
        </w:rPr>
        <w:t>Seminary</w:t>
      </w:r>
      <w:r w:rsidRPr="00F060A3">
        <w:rPr>
          <w:rFonts w:cs="Times New Roman"/>
          <w:sz w:val="24"/>
          <w:szCs w:val="24"/>
        </w:rPr>
        <w:t xml:space="preserve"> </w:t>
      </w:r>
      <w:r w:rsidRPr="00F060A3">
        <w:rPr>
          <w:rFonts w:cs="Times New Roman"/>
          <w:i/>
          <w:sz w:val="24"/>
          <w:szCs w:val="24"/>
        </w:rPr>
        <w:t>Journal</w:t>
      </w:r>
      <w:r w:rsidRPr="00F060A3">
        <w:rPr>
          <w:rFonts w:cs="Times New Roman"/>
          <w:sz w:val="24"/>
          <w:szCs w:val="24"/>
        </w:rPr>
        <w:t xml:space="preserve"> 19 (2013) 71–85, at 75, 81. </w:t>
      </w:r>
    </w:p>
  </w:footnote>
  <w:footnote w:id="38">
    <w:p w14:paraId="2C6BE1B8"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Alkiviadis C. Calivas, “The Presbyter and the Essential Activities of the Church,” in </w:t>
      </w:r>
      <w:r w:rsidRPr="00F060A3">
        <w:rPr>
          <w:rFonts w:cs="Times New Roman"/>
          <w:i/>
          <w:iCs/>
          <w:sz w:val="24"/>
          <w:szCs w:val="24"/>
        </w:rPr>
        <w:t xml:space="preserve">The Greek Orthodox Theological Review </w:t>
      </w:r>
      <w:r w:rsidRPr="00F060A3">
        <w:rPr>
          <w:rFonts w:cs="Times New Roman"/>
          <w:sz w:val="24"/>
          <w:szCs w:val="24"/>
        </w:rPr>
        <w:t xml:space="preserve">56 (2011) 27–54, at 28, 48–49. </w:t>
      </w:r>
    </w:p>
  </w:footnote>
  <w:footnote w:id="39">
    <w:p w14:paraId="41BF1C0C"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Aidan Nichols, </w:t>
      </w:r>
      <w:r w:rsidRPr="00F060A3">
        <w:rPr>
          <w:rFonts w:cs="Times New Roman"/>
          <w:i/>
          <w:iCs/>
          <w:sz w:val="24"/>
          <w:szCs w:val="24"/>
        </w:rPr>
        <w:t xml:space="preserve">Holy Order: Apostolic Priesthood from the New Testament to the Second Vatican Council </w:t>
      </w:r>
      <w:r w:rsidRPr="00F060A3">
        <w:rPr>
          <w:rFonts w:cs="Times New Roman"/>
          <w:sz w:val="24"/>
          <w:szCs w:val="24"/>
        </w:rPr>
        <w:t>(Dublin: Veritas, 1999)</w:t>
      </w:r>
      <w:r w:rsidRPr="00F060A3">
        <w:rPr>
          <w:rFonts w:cs="Times New Roman"/>
          <w:i/>
          <w:iCs/>
          <w:sz w:val="24"/>
          <w:szCs w:val="24"/>
        </w:rPr>
        <w:t xml:space="preserve"> </w:t>
      </w:r>
      <w:r w:rsidRPr="00F060A3">
        <w:rPr>
          <w:rFonts w:cs="Times New Roman"/>
          <w:sz w:val="24"/>
          <w:szCs w:val="24"/>
        </w:rPr>
        <w:t xml:space="preserve">85. </w:t>
      </w:r>
    </w:p>
  </w:footnote>
  <w:footnote w:id="40">
    <w:p w14:paraId="5BA3DEC9"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Jean-Pierre Torrell, </w:t>
      </w:r>
      <w:r w:rsidRPr="00F060A3">
        <w:rPr>
          <w:rFonts w:cs="Times New Roman"/>
          <w:i/>
          <w:iCs/>
          <w:sz w:val="24"/>
          <w:szCs w:val="24"/>
        </w:rPr>
        <w:t xml:space="preserve">A Priestly People: Baptismal Priesthood and Priestly Ministry, </w:t>
      </w:r>
      <w:r w:rsidRPr="00F060A3">
        <w:rPr>
          <w:rFonts w:cs="Times New Roman"/>
          <w:sz w:val="24"/>
          <w:szCs w:val="24"/>
        </w:rPr>
        <w:t xml:space="preserve">trans. P. Heinegg (New York: Paulist Press, 2013) 124–126. </w:t>
      </w:r>
    </w:p>
  </w:footnote>
  <w:footnote w:id="41">
    <w:p w14:paraId="38A6AA79"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ST, III, q. 82, a. 2, ad. 3.</w:t>
      </w:r>
    </w:p>
  </w:footnote>
  <w:footnote w:id="42">
    <w:p w14:paraId="6CE6BB8C"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Nichols, </w:t>
      </w:r>
      <w:r w:rsidRPr="00F060A3">
        <w:rPr>
          <w:rFonts w:cs="Times New Roman"/>
          <w:i/>
          <w:iCs/>
          <w:sz w:val="24"/>
          <w:szCs w:val="24"/>
        </w:rPr>
        <w:t>Holy Order</w:t>
      </w:r>
      <w:r w:rsidRPr="00F060A3">
        <w:rPr>
          <w:rFonts w:cs="Times New Roman"/>
          <w:sz w:val="24"/>
          <w:szCs w:val="24"/>
        </w:rPr>
        <w:t>, 84–85.</w:t>
      </w:r>
    </w:p>
  </w:footnote>
  <w:footnote w:id="43">
    <w:p w14:paraId="6AB5D0A9"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ST, Supp., q. 40, a. 5, resp. and ad 3. </w:t>
      </w:r>
    </w:p>
  </w:footnote>
  <w:footnote w:id="44">
    <w:p w14:paraId="5C12C553"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w:t>
      </w:r>
      <w:r>
        <w:rPr>
          <w:rFonts w:cs="Times New Roman"/>
          <w:sz w:val="24"/>
          <w:szCs w:val="24"/>
        </w:rPr>
        <w:t xml:space="preserve">See </w:t>
      </w:r>
      <w:r w:rsidRPr="00F060A3">
        <w:rPr>
          <w:rFonts w:cs="Times New Roman"/>
          <w:sz w:val="24"/>
          <w:szCs w:val="24"/>
        </w:rPr>
        <w:t xml:space="preserve">Louis </w:t>
      </w:r>
      <w:bookmarkStart w:id="0" w:name="_Hlk54966411"/>
      <w:r w:rsidRPr="00F060A3">
        <w:rPr>
          <w:rFonts w:cs="Times New Roman"/>
          <w:sz w:val="24"/>
          <w:szCs w:val="24"/>
        </w:rPr>
        <w:t xml:space="preserve">Billot, </w:t>
      </w:r>
      <w:r w:rsidRPr="00F060A3">
        <w:rPr>
          <w:rFonts w:cs="Times New Roman"/>
          <w:i/>
          <w:iCs/>
          <w:sz w:val="24"/>
          <w:szCs w:val="24"/>
        </w:rPr>
        <w:t>De ecclesiae sacramentis</w:t>
      </w:r>
      <w:bookmarkEnd w:id="0"/>
      <w:r w:rsidRPr="00F060A3">
        <w:rPr>
          <w:rFonts w:cs="Times New Roman"/>
          <w:i/>
          <w:iCs/>
          <w:sz w:val="24"/>
          <w:szCs w:val="24"/>
        </w:rPr>
        <w:t xml:space="preserve">: </w:t>
      </w:r>
      <w:r w:rsidRPr="00F060A3">
        <w:rPr>
          <w:rFonts w:cs="Times New Roman"/>
          <w:i/>
          <w:iCs/>
          <w:sz w:val="24"/>
          <w:szCs w:val="24"/>
          <w:lang w:val="en-GB"/>
        </w:rPr>
        <w:t>Commentarius in tertiam partem S. Thomae, Tomus posterior: Complectens quaestiones de poenitentia extrema unctione, ordine et matrimonio</w:t>
      </w:r>
      <w:r w:rsidRPr="00F060A3">
        <w:rPr>
          <w:rFonts w:cs="Times New Roman"/>
          <w:iCs/>
          <w:sz w:val="24"/>
          <w:szCs w:val="24"/>
          <w:lang w:val="en-GB"/>
        </w:rPr>
        <w:t>, 8</w:t>
      </w:r>
      <w:r w:rsidRPr="00D74B7C">
        <w:rPr>
          <w:rFonts w:cs="Times New Roman"/>
          <w:iCs/>
          <w:sz w:val="24"/>
          <w:szCs w:val="24"/>
          <w:vertAlign w:val="superscript"/>
          <w:lang w:val="en-GB"/>
        </w:rPr>
        <w:t>th</w:t>
      </w:r>
      <w:r>
        <w:rPr>
          <w:rFonts w:cs="Times New Roman"/>
          <w:iCs/>
          <w:sz w:val="24"/>
          <w:szCs w:val="24"/>
          <w:lang w:val="en-GB"/>
        </w:rPr>
        <w:t xml:space="preserve"> </w:t>
      </w:r>
      <w:r w:rsidRPr="00F060A3">
        <w:rPr>
          <w:rFonts w:cs="Times New Roman"/>
          <w:iCs/>
          <w:sz w:val="24"/>
          <w:szCs w:val="24"/>
          <w:lang w:val="en-GB"/>
        </w:rPr>
        <w:t>ed.</w:t>
      </w:r>
      <w:r w:rsidRPr="00F060A3">
        <w:rPr>
          <w:rFonts w:cs="Times New Roman"/>
          <w:i/>
          <w:iCs/>
          <w:sz w:val="24"/>
          <w:szCs w:val="24"/>
          <w:lang w:val="en-GB"/>
        </w:rPr>
        <w:t xml:space="preserve"> </w:t>
      </w:r>
      <w:r w:rsidRPr="00F060A3">
        <w:rPr>
          <w:rFonts w:cs="Times New Roman"/>
          <w:iCs/>
          <w:sz w:val="24"/>
          <w:szCs w:val="24"/>
          <w:lang w:val="en-GB"/>
        </w:rPr>
        <w:t>(Rome: Pontifica Universitas Gregoriana, 1947)</w:t>
      </w:r>
      <w:r>
        <w:rPr>
          <w:rFonts w:cs="Times New Roman"/>
          <w:iCs/>
          <w:sz w:val="24"/>
          <w:szCs w:val="24"/>
          <w:lang w:val="en-GB"/>
        </w:rPr>
        <w:t xml:space="preserve"> </w:t>
      </w:r>
      <w:r w:rsidRPr="00F060A3">
        <w:rPr>
          <w:rFonts w:cs="Times New Roman"/>
          <w:sz w:val="24"/>
          <w:szCs w:val="24"/>
        </w:rPr>
        <w:t>259</w:t>
      </w:r>
      <w:r>
        <w:rPr>
          <w:rFonts w:cs="Times New Roman"/>
          <w:sz w:val="24"/>
          <w:szCs w:val="24"/>
        </w:rPr>
        <w:t>–</w:t>
      </w:r>
      <w:r w:rsidRPr="00F060A3">
        <w:rPr>
          <w:rFonts w:cs="Times New Roman"/>
          <w:sz w:val="24"/>
          <w:szCs w:val="24"/>
        </w:rPr>
        <w:t>261.</w:t>
      </w:r>
    </w:p>
  </w:footnote>
  <w:footnote w:id="45">
    <w:p w14:paraId="5728EA80" w14:textId="77777777" w:rsidR="00775CF4" w:rsidRPr="00F060A3" w:rsidRDefault="00775CF4" w:rsidP="00775CF4">
      <w:pPr>
        <w:pStyle w:val="FootnoteText"/>
        <w:jc w:val="both"/>
        <w:rPr>
          <w:rFonts w:cs="Times New Roman"/>
          <w:kern w:val="2"/>
          <w:sz w:val="24"/>
          <w:szCs w:val="24"/>
        </w:rPr>
      </w:pPr>
      <w:r w:rsidRPr="00F060A3">
        <w:rPr>
          <w:rStyle w:val="FootnoteCharacters"/>
          <w:rFonts w:cs="Times New Roman"/>
          <w:sz w:val="24"/>
          <w:szCs w:val="24"/>
        </w:rPr>
        <w:footnoteRef/>
      </w:r>
      <w:r w:rsidRPr="00F060A3">
        <w:rPr>
          <w:rFonts w:cs="Times New Roman"/>
          <w:sz w:val="24"/>
          <w:szCs w:val="24"/>
        </w:rPr>
        <w:t xml:space="preserve"> </w:t>
      </w:r>
      <w:r>
        <w:rPr>
          <w:rFonts w:cs="Times New Roman"/>
          <w:sz w:val="24"/>
          <w:szCs w:val="24"/>
        </w:rPr>
        <w:t xml:space="preserve">See </w:t>
      </w:r>
      <w:r w:rsidRPr="00F060A3">
        <w:rPr>
          <w:rFonts w:cs="Times New Roman"/>
          <w:sz w:val="24"/>
          <w:szCs w:val="24"/>
        </w:rPr>
        <w:t xml:space="preserve">Susan Wood, “Priestly Identity: Sacrament of the Ecclesial Community,” in </w:t>
      </w:r>
      <w:r w:rsidRPr="00F060A3">
        <w:rPr>
          <w:rFonts w:cs="Times New Roman"/>
          <w:i/>
          <w:iCs/>
          <w:sz w:val="24"/>
          <w:szCs w:val="24"/>
        </w:rPr>
        <w:t xml:space="preserve">Worship </w:t>
      </w:r>
      <w:r w:rsidRPr="00F060A3">
        <w:rPr>
          <w:rFonts w:cs="Times New Roman"/>
          <w:sz w:val="24"/>
          <w:szCs w:val="24"/>
        </w:rPr>
        <w:t>69 (</w:t>
      </w:r>
      <w:r w:rsidRPr="00F060A3">
        <w:rPr>
          <w:rFonts w:cs="Times New Roman"/>
          <w:kern w:val="2"/>
          <w:sz w:val="24"/>
          <w:szCs w:val="24"/>
        </w:rPr>
        <w:t>1995) 109–127.</w:t>
      </w:r>
    </w:p>
  </w:footnote>
  <w:footnote w:id="46">
    <w:p w14:paraId="57B9192C" w14:textId="77777777" w:rsidR="00775CF4" w:rsidRPr="00F060A3" w:rsidRDefault="00775CF4" w:rsidP="00775CF4">
      <w:pPr>
        <w:pStyle w:val="FootnoteText"/>
        <w:jc w:val="both"/>
        <w:rPr>
          <w:rFonts w:cs="Times New Roman"/>
          <w:kern w:val="2"/>
          <w:sz w:val="24"/>
          <w:szCs w:val="24"/>
        </w:rPr>
      </w:pPr>
      <w:r w:rsidRPr="00F060A3">
        <w:rPr>
          <w:rStyle w:val="FootnoteReference"/>
          <w:rFonts w:cs="Times New Roman"/>
          <w:kern w:val="2"/>
          <w:sz w:val="24"/>
          <w:szCs w:val="24"/>
          <w:vertAlign w:val="baseline"/>
        </w:rPr>
        <w:footnoteRef/>
      </w:r>
      <w:r w:rsidRPr="00F060A3">
        <w:rPr>
          <w:rFonts w:cs="Times New Roman"/>
          <w:kern w:val="2"/>
          <w:sz w:val="24"/>
          <w:szCs w:val="24"/>
        </w:rPr>
        <w:t xml:space="preserve"> </w:t>
      </w:r>
      <w:r>
        <w:rPr>
          <w:rFonts w:cs="Times New Roman"/>
          <w:kern w:val="2"/>
          <w:sz w:val="24"/>
          <w:szCs w:val="24"/>
        </w:rPr>
        <w:t xml:space="preserve">See </w:t>
      </w:r>
      <w:r w:rsidRPr="00F060A3">
        <w:rPr>
          <w:rFonts w:cs="Times New Roman"/>
          <w:kern w:val="2"/>
          <w:sz w:val="24"/>
          <w:szCs w:val="24"/>
        </w:rPr>
        <w:t xml:space="preserve">Pius XII, Encyclical Letter on the Sacred Liturgy </w:t>
      </w:r>
      <w:r w:rsidRPr="00F060A3">
        <w:rPr>
          <w:rFonts w:cs="Times New Roman"/>
          <w:i/>
          <w:iCs/>
          <w:kern w:val="2"/>
          <w:sz w:val="24"/>
          <w:szCs w:val="24"/>
        </w:rPr>
        <w:t xml:space="preserve">Mediator Dei </w:t>
      </w:r>
      <w:r w:rsidRPr="00F060A3">
        <w:rPr>
          <w:rFonts w:cs="Times New Roman"/>
          <w:kern w:val="2"/>
          <w:sz w:val="24"/>
          <w:szCs w:val="24"/>
        </w:rPr>
        <w:t>(November 20, 1947)</w:t>
      </w:r>
      <w:r>
        <w:rPr>
          <w:rFonts w:cs="Times New Roman"/>
          <w:kern w:val="2"/>
          <w:sz w:val="24"/>
          <w:szCs w:val="24"/>
        </w:rPr>
        <w:t xml:space="preserve"> no. 84</w:t>
      </w:r>
      <w:r w:rsidRPr="00F060A3">
        <w:rPr>
          <w:rFonts w:cs="Times New Roman"/>
          <w:kern w:val="2"/>
          <w:sz w:val="24"/>
          <w:szCs w:val="24"/>
        </w:rPr>
        <w:t>.</w:t>
      </w:r>
    </w:p>
  </w:footnote>
  <w:footnote w:id="47">
    <w:p w14:paraId="7307A3AB" w14:textId="77777777" w:rsidR="00775CF4" w:rsidRPr="000A21B0" w:rsidRDefault="00775CF4" w:rsidP="00775CF4">
      <w:pPr>
        <w:pStyle w:val="FootnoteText"/>
        <w:jc w:val="both"/>
        <w:rPr>
          <w:sz w:val="24"/>
          <w:lang w:val="en-GB"/>
        </w:rPr>
      </w:pPr>
      <w:r w:rsidRPr="00F060A3">
        <w:rPr>
          <w:rStyle w:val="FootnoteCharacters"/>
          <w:rFonts w:cs="Times New Roman"/>
          <w:kern w:val="2"/>
          <w:sz w:val="24"/>
          <w:szCs w:val="24"/>
        </w:rPr>
        <w:footnoteRef/>
      </w:r>
      <w:r w:rsidRPr="00F060A3">
        <w:rPr>
          <w:rFonts w:cs="Times New Roman"/>
          <w:kern w:val="2"/>
          <w:sz w:val="24"/>
          <w:szCs w:val="24"/>
        </w:rPr>
        <w:t xml:space="preserve"> See Ge</w:t>
      </w:r>
      <w:r w:rsidRPr="00F060A3">
        <w:rPr>
          <w:rFonts w:cs="Times New Roman"/>
          <w:sz w:val="24"/>
          <w:szCs w:val="24"/>
        </w:rPr>
        <w:t xml:space="preserve">rhard Ludwig Müller, </w:t>
      </w:r>
      <w:r w:rsidRPr="00F060A3">
        <w:rPr>
          <w:rFonts w:cs="Times New Roman"/>
          <w:i/>
          <w:iCs/>
          <w:sz w:val="24"/>
          <w:szCs w:val="24"/>
        </w:rPr>
        <w:t>Priesthood and Diaconate</w:t>
      </w:r>
      <w:r>
        <w:rPr>
          <w:rFonts w:cs="Times New Roman"/>
          <w:i/>
          <w:iCs/>
          <w:sz w:val="24"/>
          <w:szCs w:val="24"/>
        </w:rPr>
        <w:t xml:space="preserve">: </w:t>
      </w:r>
      <w:r w:rsidRPr="000A21B0">
        <w:rPr>
          <w:rFonts w:cs="Times New Roman"/>
          <w:i/>
          <w:iCs/>
          <w:sz w:val="24"/>
          <w:szCs w:val="24"/>
        </w:rPr>
        <w:t>The Recipient of the Sacrament of Holy Orders from the Perspective of Creation Theology and Christology</w:t>
      </w:r>
      <w:r w:rsidRPr="00F060A3">
        <w:rPr>
          <w:rFonts w:cs="Times New Roman"/>
          <w:i/>
          <w:iCs/>
          <w:sz w:val="24"/>
          <w:szCs w:val="24"/>
        </w:rPr>
        <w:t xml:space="preserve">, </w:t>
      </w:r>
      <w:r w:rsidRPr="00F060A3">
        <w:rPr>
          <w:rFonts w:cs="Times New Roman"/>
          <w:sz w:val="24"/>
          <w:szCs w:val="24"/>
        </w:rPr>
        <w:t xml:space="preserve">trans. </w:t>
      </w:r>
      <w:r w:rsidRPr="000A21B0">
        <w:rPr>
          <w:sz w:val="24"/>
          <w:lang w:val="en-GB"/>
        </w:rPr>
        <w:t>M</w:t>
      </w:r>
      <w:r>
        <w:rPr>
          <w:sz w:val="24"/>
          <w:lang w:val="en-GB"/>
        </w:rPr>
        <w:t>ichael J.</w:t>
      </w:r>
      <w:r w:rsidRPr="000A21B0">
        <w:rPr>
          <w:sz w:val="24"/>
          <w:lang w:val="en-GB"/>
        </w:rPr>
        <w:t xml:space="preserve"> Miller (San Francisco: Ignatius Press, 2002</w:t>
      </w:r>
      <w:r w:rsidRPr="00D74B7C">
        <w:rPr>
          <w:sz w:val="24"/>
          <w:lang w:val="en-GB"/>
        </w:rPr>
        <w:t>)</w:t>
      </w:r>
      <w:r w:rsidRPr="000A21B0">
        <w:rPr>
          <w:sz w:val="24"/>
          <w:lang w:val="en-GB"/>
        </w:rPr>
        <w:t xml:space="preserve"> 180–181.</w:t>
      </w:r>
    </w:p>
  </w:footnote>
  <w:footnote w:id="48">
    <w:p w14:paraId="071ECC8A" w14:textId="77777777" w:rsidR="00775CF4" w:rsidRPr="00D049F2" w:rsidRDefault="00775CF4" w:rsidP="00775CF4">
      <w:pPr>
        <w:pStyle w:val="FootnoteText"/>
        <w:jc w:val="both"/>
        <w:rPr>
          <w:rFonts w:cs="Times New Roman"/>
          <w:sz w:val="24"/>
          <w:szCs w:val="24"/>
          <w:lang w:val="en-GB"/>
        </w:rPr>
      </w:pPr>
      <w:r w:rsidRPr="00F060A3">
        <w:rPr>
          <w:rStyle w:val="FootnoteReference"/>
          <w:rFonts w:cs="Times New Roman"/>
          <w:sz w:val="24"/>
          <w:szCs w:val="24"/>
          <w:vertAlign w:val="baseline"/>
        </w:rPr>
        <w:footnoteRef/>
      </w:r>
      <w:r w:rsidRPr="000A21B0">
        <w:rPr>
          <w:rFonts w:cs="Times New Roman"/>
          <w:sz w:val="24"/>
          <w:szCs w:val="24"/>
          <w:lang w:val="en-GB"/>
        </w:rPr>
        <w:t xml:space="preserve"> Congregation for the Doctrine of the Faith</w:t>
      </w:r>
      <w:r>
        <w:rPr>
          <w:rFonts w:cs="Times New Roman"/>
          <w:sz w:val="24"/>
          <w:szCs w:val="24"/>
          <w:lang w:val="en-GB"/>
        </w:rPr>
        <w:t xml:space="preserve">, Responses to questions proposed </w:t>
      </w:r>
      <w:r w:rsidRPr="000A21B0">
        <w:rPr>
          <w:rFonts w:cs="Times New Roman"/>
          <w:sz w:val="24"/>
          <w:szCs w:val="24"/>
          <w:lang w:val="en-GB"/>
        </w:rPr>
        <w:t>on the validity of Baptism conferred with the formula</w:t>
      </w:r>
      <w:r>
        <w:rPr>
          <w:rFonts w:cs="Times New Roman"/>
          <w:sz w:val="24"/>
          <w:szCs w:val="24"/>
          <w:lang w:val="en-GB"/>
        </w:rPr>
        <w:t xml:space="preserve"> “</w:t>
      </w:r>
      <w:r w:rsidRPr="000A21B0">
        <w:rPr>
          <w:rFonts w:cs="Times New Roman"/>
          <w:sz w:val="24"/>
          <w:szCs w:val="24"/>
          <w:lang w:val="en-GB"/>
        </w:rPr>
        <w:t>We baptize you in the name of the Father and of the Son and of the Holy Spirit</w:t>
      </w:r>
      <w:r>
        <w:rPr>
          <w:rFonts w:cs="Times New Roman"/>
          <w:sz w:val="24"/>
          <w:szCs w:val="24"/>
          <w:lang w:val="en-GB"/>
        </w:rPr>
        <w:t xml:space="preserve">” and Doctrinal note </w:t>
      </w:r>
      <w:r w:rsidRPr="000A21B0">
        <w:rPr>
          <w:rFonts w:cs="Times New Roman"/>
          <w:sz w:val="24"/>
          <w:szCs w:val="24"/>
          <w:lang w:val="en-GB"/>
        </w:rPr>
        <w:t>on the modification of the sacramental formula of Baptism</w:t>
      </w:r>
      <w:r>
        <w:rPr>
          <w:rFonts w:cs="Times New Roman"/>
          <w:sz w:val="24"/>
          <w:szCs w:val="24"/>
          <w:lang w:val="en-GB"/>
        </w:rPr>
        <w:t xml:space="preserve"> (June 24, 2020), available at</w:t>
      </w:r>
      <w:r>
        <w:rPr>
          <w:rFonts w:cs="Times New Roman"/>
          <w:i/>
          <w:iCs/>
          <w:sz w:val="24"/>
          <w:szCs w:val="24"/>
          <w:lang w:val="en-GB"/>
        </w:rPr>
        <w:t xml:space="preserve"> </w:t>
      </w:r>
      <w:hyperlink r:id="rId2" w:history="1">
        <w:r w:rsidRPr="00982331">
          <w:rPr>
            <w:rStyle w:val="Hyperlink"/>
            <w:rFonts w:cs="Times New Roman"/>
            <w:sz w:val="24"/>
            <w:szCs w:val="24"/>
            <w:lang w:val="en-GB"/>
          </w:rPr>
          <w:t>http://press.vatican.va/content/salastampa/it/bollettino/pubblico/2020/08/06/0406/00923.html</w:t>
        </w:r>
      </w:hyperlink>
      <w:r w:rsidRPr="00D049F2">
        <w:rPr>
          <w:rFonts w:cs="Times New Roman"/>
          <w:sz w:val="24"/>
          <w:szCs w:val="24"/>
          <w:lang w:val="en-GB"/>
        </w:rPr>
        <w:t>.</w:t>
      </w:r>
    </w:p>
  </w:footnote>
  <w:footnote w:id="49">
    <w:p w14:paraId="43996F86"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Lawrence Welch, “Priestly Identity Reconsidered: A Reply to Susan Wood,” in </w:t>
      </w:r>
      <w:r w:rsidRPr="00F060A3">
        <w:rPr>
          <w:rFonts w:cs="Times New Roman"/>
          <w:i/>
          <w:iCs/>
          <w:sz w:val="24"/>
          <w:szCs w:val="24"/>
        </w:rPr>
        <w:t xml:space="preserve">Worship </w:t>
      </w:r>
      <w:r w:rsidRPr="00F060A3">
        <w:rPr>
          <w:rFonts w:cs="Times New Roman"/>
          <w:sz w:val="24"/>
          <w:szCs w:val="24"/>
        </w:rPr>
        <w:t xml:space="preserve">70 (1996) 307–319, at 314–315. </w:t>
      </w:r>
    </w:p>
  </w:footnote>
  <w:footnote w:id="50">
    <w:p w14:paraId="705833A8"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Welch, “For the Church and Within the Church,” 630–631.</w:t>
      </w:r>
    </w:p>
  </w:footnote>
  <w:footnote w:id="51">
    <w:p w14:paraId="02C294EB"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DeClue, “Eucharistic Ecclesiologies,” 88.</w:t>
      </w:r>
    </w:p>
  </w:footnote>
  <w:footnote w:id="52">
    <w:p w14:paraId="7DD7A999"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Nichols, </w:t>
      </w:r>
      <w:r w:rsidRPr="00F060A3">
        <w:rPr>
          <w:rFonts w:cs="Times New Roman"/>
          <w:i/>
          <w:iCs/>
          <w:sz w:val="24"/>
          <w:szCs w:val="24"/>
        </w:rPr>
        <w:t xml:space="preserve">Holy Order, </w:t>
      </w:r>
      <w:r w:rsidRPr="00F060A3">
        <w:rPr>
          <w:rFonts w:cs="Times New Roman"/>
          <w:sz w:val="24"/>
          <w:szCs w:val="24"/>
        </w:rPr>
        <w:t xml:space="preserve">132–133. </w:t>
      </w:r>
    </w:p>
  </w:footnote>
  <w:footnote w:id="53">
    <w:p w14:paraId="5592558F"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Ratzinger, </w:t>
      </w:r>
      <w:r w:rsidRPr="00F060A3">
        <w:rPr>
          <w:rFonts w:cs="Times New Roman"/>
          <w:i/>
          <w:iCs/>
          <w:sz w:val="24"/>
          <w:szCs w:val="24"/>
        </w:rPr>
        <w:t>Called to Communion</w:t>
      </w:r>
      <w:r w:rsidRPr="00F060A3">
        <w:rPr>
          <w:rFonts w:cs="Times New Roman"/>
          <w:sz w:val="24"/>
          <w:szCs w:val="24"/>
        </w:rPr>
        <w:t xml:space="preserve">, 79–81. </w:t>
      </w:r>
    </w:p>
  </w:footnote>
  <w:footnote w:id="54">
    <w:p w14:paraId="69E92CFB"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Wood, “Sacramentality of Episcopal Consecration,” 487.</w:t>
      </w:r>
    </w:p>
  </w:footnote>
  <w:footnote w:id="55">
    <w:p w14:paraId="316F97D0" w14:textId="77777777" w:rsidR="00775CF4" w:rsidRPr="00F060A3" w:rsidRDefault="00775CF4" w:rsidP="00775CF4">
      <w:pPr>
        <w:pStyle w:val="FootnoteText"/>
        <w:jc w:val="both"/>
        <w:rPr>
          <w:rFonts w:cs="Times New Roman"/>
          <w:sz w:val="24"/>
          <w:szCs w:val="24"/>
        </w:rPr>
      </w:pPr>
      <w:r w:rsidRPr="00F060A3">
        <w:rPr>
          <w:rStyle w:val="FootnoteReference"/>
          <w:rFonts w:cs="Times New Roman"/>
          <w:sz w:val="24"/>
          <w:szCs w:val="24"/>
          <w:vertAlign w:val="baseline"/>
        </w:rPr>
        <w:footnoteRef/>
      </w:r>
      <w:r w:rsidRPr="00F060A3">
        <w:rPr>
          <w:rFonts w:cs="Times New Roman"/>
          <w:sz w:val="24"/>
          <w:szCs w:val="24"/>
        </w:rPr>
        <w:t xml:space="preserve"> John Paul II, Encyclical Letter on the Eucharist and its Relationship to the Church </w:t>
      </w:r>
      <w:r w:rsidRPr="00F060A3">
        <w:rPr>
          <w:rFonts w:cs="Times New Roman"/>
          <w:i/>
          <w:sz w:val="24"/>
          <w:szCs w:val="24"/>
        </w:rPr>
        <w:t>Ecclesia</w:t>
      </w:r>
      <w:r w:rsidRPr="00F060A3">
        <w:rPr>
          <w:rFonts w:cs="Times New Roman"/>
          <w:sz w:val="24"/>
          <w:szCs w:val="24"/>
        </w:rPr>
        <w:t xml:space="preserve"> </w:t>
      </w:r>
      <w:r w:rsidRPr="00F060A3">
        <w:rPr>
          <w:rFonts w:cs="Times New Roman"/>
          <w:i/>
          <w:sz w:val="24"/>
          <w:szCs w:val="24"/>
        </w:rPr>
        <w:t>de</w:t>
      </w:r>
      <w:r w:rsidRPr="00F060A3">
        <w:rPr>
          <w:rFonts w:cs="Times New Roman"/>
          <w:sz w:val="24"/>
          <w:szCs w:val="24"/>
        </w:rPr>
        <w:t xml:space="preserve"> </w:t>
      </w:r>
      <w:r w:rsidRPr="00F060A3">
        <w:rPr>
          <w:rFonts w:cs="Times New Roman"/>
          <w:i/>
          <w:sz w:val="24"/>
          <w:szCs w:val="24"/>
        </w:rPr>
        <w:t>Eucharistia</w:t>
      </w:r>
      <w:r w:rsidRPr="00F060A3">
        <w:rPr>
          <w:rFonts w:cs="Times New Roman"/>
          <w:sz w:val="24"/>
          <w:szCs w:val="24"/>
        </w:rPr>
        <w:t xml:space="preserve"> (April 17, 2003) no. 31, quoting from Apostolic Letter on the Mystery and Worship of the Eucharist </w:t>
      </w:r>
      <w:r w:rsidRPr="00F060A3">
        <w:rPr>
          <w:rFonts w:cs="Times New Roman"/>
          <w:i/>
          <w:sz w:val="24"/>
          <w:szCs w:val="24"/>
        </w:rPr>
        <w:t>Dominicae</w:t>
      </w:r>
      <w:r w:rsidRPr="00F060A3">
        <w:rPr>
          <w:rFonts w:cs="Times New Roman"/>
          <w:sz w:val="24"/>
          <w:szCs w:val="24"/>
        </w:rPr>
        <w:t xml:space="preserve"> </w:t>
      </w:r>
      <w:r w:rsidRPr="00F060A3">
        <w:rPr>
          <w:rFonts w:cs="Times New Roman"/>
          <w:i/>
          <w:sz w:val="24"/>
          <w:szCs w:val="24"/>
        </w:rPr>
        <w:t>Cenae</w:t>
      </w:r>
      <w:r w:rsidRPr="00F060A3">
        <w:rPr>
          <w:rFonts w:cs="Times New Roman"/>
          <w:sz w:val="24"/>
          <w:szCs w:val="24"/>
        </w:rPr>
        <w:t xml:space="preserve"> (February 24, 1980) no. 2.</w:t>
      </w:r>
    </w:p>
  </w:footnote>
  <w:footnote w:id="56">
    <w:p w14:paraId="211FDF5B"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Nicholas Denysenko, “Primacy, Synodality, and Collegiality in Orthodoxy,” in </w:t>
      </w:r>
      <w:r w:rsidRPr="00F060A3">
        <w:rPr>
          <w:rFonts w:cs="Times New Roman"/>
          <w:i/>
          <w:iCs/>
          <w:sz w:val="24"/>
          <w:szCs w:val="24"/>
        </w:rPr>
        <w:t xml:space="preserve">Journal of Ecumenical Studies </w:t>
      </w:r>
      <w:r w:rsidRPr="00F060A3">
        <w:rPr>
          <w:rFonts w:cs="Times New Roman"/>
          <w:sz w:val="24"/>
          <w:szCs w:val="24"/>
        </w:rPr>
        <w:t xml:space="preserve">48 (2013) 20–44, at 35. </w:t>
      </w:r>
    </w:p>
  </w:footnote>
  <w:footnote w:id="57">
    <w:p w14:paraId="5EC862E6" w14:textId="77777777" w:rsidR="00775CF4" w:rsidRPr="00997DC9"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Ignatius of Antioch, </w:t>
      </w:r>
      <w:r w:rsidRPr="00F060A3">
        <w:rPr>
          <w:rFonts w:cs="Times New Roman"/>
          <w:i/>
          <w:iCs/>
          <w:sz w:val="24"/>
          <w:szCs w:val="24"/>
        </w:rPr>
        <w:t>Epistle to the Smyrnaeans</w:t>
      </w:r>
      <w:r w:rsidRPr="00F060A3">
        <w:rPr>
          <w:rFonts w:cs="Times New Roman"/>
          <w:sz w:val="24"/>
          <w:szCs w:val="24"/>
        </w:rPr>
        <w:t xml:space="preserve">, 8; English translation </w:t>
      </w:r>
      <w:r w:rsidRPr="00997DC9">
        <w:rPr>
          <w:rFonts w:cs="Times New Roman"/>
          <w:sz w:val="24"/>
          <w:szCs w:val="24"/>
        </w:rPr>
        <w:t xml:space="preserve">by </w:t>
      </w:r>
      <w:r w:rsidRPr="00997DC9">
        <w:rPr>
          <w:rFonts w:cs="Times New Roman"/>
          <w:color w:val="000000"/>
          <w:sz w:val="24"/>
          <w:szCs w:val="24"/>
        </w:rPr>
        <w:t xml:space="preserve">Alexander Roberts and James Donaldson, in </w:t>
      </w:r>
      <w:r w:rsidRPr="00997DC9">
        <w:rPr>
          <w:rFonts w:cs="Times New Roman"/>
          <w:i/>
          <w:iCs/>
          <w:sz w:val="24"/>
          <w:szCs w:val="24"/>
        </w:rPr>
        <w:t xml:space="preserve">Ante-Nicene Fathers, Vol. 1: The Apostolic Fathers with Justin Martyr and Irenaeus </w:t>
      </w:r>
      <w:r w:rsidRPr="00997DC9">
        <w:rPr>
          <w:rFonts w:cs="Times New Roman"/>
          <w:color w:val="000000"/>
          <w:sz w:val="24"/>
          <w:szCs w:val="24"/>
        </w:rPr>
        <w:t>(Buffalo, NY: Christian Literature Publishing Co., 1885) 89.</w:t>
      </w:r>
    </w:p>
  </w:footnote>
  <w:footnote w:id="58">
    <w:p w14:paraId="4886FE47" w14:textId="77777777" w:rsidR="00775CF4" w:rsidRPr="00997DC9" w:rsidRDefault="00775CF4" w:rsidP="00775CF4">
      <w:pPr>
        <w:pStyle w:val="FootnoteText"/>
        <w:jc w:val="both"/>
        <w:rPr>
          <w:rFonts w:cs="Times New Roman"/>
          <w:sz w:val="24"/>
          <w:szCs w:val="24"/>
        </w:rPr>
      </w:pPr>
      <w:r w:rsidRPr="00997DC9">
        <w:rPr>
          <w:rStyle w:val="FootnoteReference"/>
          <w:rFonts w:cs="Times New Roman"/>
          <w:sz w:val="24"/>
          <w:szCs w:val="24"/>
          <w:vertAlign w:val="baseline"/>
        </w:rPr>
        <w:footnoteRef/>
      </w:r>
      <w:r w:rsidRPr="00997DC9">
        <w:rPr>
          <w:rFonts w:cs="Times New Roman"/>
          <w:sz w:val="24"/>
          <w:szCs w:val="24"/>
        </w:rPr>
        <w:t xml:space="preserve"> See Irenaeus of Lyon, </w:t>
      </w:r>
      <w:r w:rsidRPr="00997DC9">
        <w:rPr>
          <w:rFonts w:cs="Times New Roman"/>
          <w:i/>
          <w:iCs/>
          <w:sz w:val="24"/>
          <w:szCs w:val="24"/>
        </w:rPr>
        <w:t>Against Heresies</w:t>
      </w:r>
      <w:r w:rsidRPr="00997DC9">
        <w:rPr>
          <w:rFonts w:cs="Times New Roman"/>
          <w:sz w:val="24"/>
          <w:szCs w:val="24"/>
        </w:rPr>
        <w:t>, III, 3 and IV, 26, in ibid.</w:t>
      </w:r>
    </w:p>
  </w:footnote>
  <w:footnote w:id="59">
    <w:p w14:paraId="7DD5B2C5" w14:textId="77777777" w:rsidR="00775CF4" w:rsidRPr="00F060A3" w:rsidRDefault="00775CF4" w:rsidP="00775CF4">
      <w:pPr>
        <w:pStyle w:val="FootnoteText"/>
        <w:jc w:val="both"/>
        <w:rPr>
          <w:rFonts w:cs="Times New Roman"/>
          <w:sz w:val="24"/>
          <w:szCs w:val="24"/>
          <w:lang w:val="fr-FR"/>
        </w:rPr>
      </w:pPr>
      <w:r w:rsidRPr="00997DC9">
        <w:rPr>
          <w:rStyle w:val="FootnoteCharacters"/>
          <w:rFonts w:cs="Times New Roman"/>
          <w:sz w:val="24"/>
          <w:szCs w:val="24"/>
        </w:rPr>
        <w:footnoteRef/>
      </w:r>
      <w:r w:rsidRPr="00997DC9">
        <w:rPr>
          <w:rFonts w:cs="Times New Roman"/>
          <w:sz w:val="24"/>
          <w:szCs w:val="24"/>
          <w:lang w:val="fr-FR"/>
        </w:rPr>
        <w:t xml:space="preserve"> See John D. Laurance, “Le président de l’Eucharistie selon Cyprien de Carthage,” </w:t>
      </w:r>
      <w:r w:rsidRPr="00997DC9">
        <w:rPr>
          <w:rFonts w:cs="Times New Roman"/>
          <w:i/>
          <w:iCs/>
          <w:sz w:val="24"/>
          <w:szCs w:val="24"/>
          <w:lang w:val="fr-FR"/>
        </w:rPr>
        <w:t xml:space="preserve">Maison Dieu, </w:t>
      </w:r>
      <w:r w:rsidRPr="00997DC9">
        <w:rPr>
          <w:rFonts w:cs="Times New Roman"/>
          <w:sz w:val="24"/>
          <w:szCs w:val="24"/>
          <w:lang w:val="fr-FR"/>
        </w:rPr>
        <w:t>no. 154 (1983) 151–165.</w:t>
      </w:r>
    </w:p>
  </w:footnote>
  <w:footnote w:id="60">
    <w:p w14:paraId="0A382CA0" w14:textId="77777777" w:rsidR="00775CF4" w:rsidRPr="008244C2" w:rsidRDefault="00775CF4" w:rsidP="00775CF4">
      <w:pPr>
        <w:pStyle w:val="FootnoteText"/>
        <w:jc w:val="both"/>
        <w:rPr>
          <w:sz w:val="24"/>
          <w:lang w:val="en-GB"/>
        </w:rPr>
      </w:pPr>
      <w:r w:rsidRPr="00F060A3">
        <w:rPr>
          <w:rStyle w:val="FootnoteCharacters"/>
          <w:rFonts w:cs="Times New Roman"/>
          <w:sz w:val="24"/>
          <w:szCs w:val="24"/>
        </w:rPr>
        <w:footnoteRef/>
      </w:r>
      <w:r w:rsidRPr="00F060A3">
        <w:rPr>
          <w:rFonts w:cs="Times New Roman"/>
          <w:sz w:val="24"/>
          <w:szCs w:val="24"/>
        </w:rPr>
        <w:t xml:space="preserve"> Clement of Rome, </w:t>
      </w:r>
      <w:r w:rsidRPr="00F060A3">
        <w:rPr>
          <w:rFonts w:cs="Times New Roman"/>
          <w:i/>
          <w:iCs/>
          <w:sz w:val="24"/>
          <w:szCs w:val="24"/>
        </w:rPr>
        <w:t>Letter to the Corinthians</w:t>
      </w:r>
      <w:r w:rsidRPr="00F060A3">
        <w:rPr>
          <w:rFonts w:cs="Times New Roman"/>
          <w:sz w:val="24"/>
          <w:szCs w:val="24"/>
        </w:rPr>
        <w:t xml:space="preserve">, 40,1, in </w:t>
      </w:r>
      <w:r w:rsidRPr="00F060A3">
        <w:rPr>
          <w:rFonts w:cs="Times New Roman"/>
          <w:i/>
          <w:iCs/>
          <w:sz w:val="24"/>
          <w:szCs w:val="24"/>
          <w:lang w:val="en-GB"/>
        </w:rPr>
        <w:t>Enchiridion symbolorum definitionum et declarationum de rebus fidei et morum</w:t>
      </w:r>
      <w:r w:rsidRPr="00F060A3">
        <w:rPr>
          <w:rFonts w:cs="Times New Roman"/>
          <w:sz w:val="24"/>
          <w:szCs w:val="24"/>
          <w:lang w:val="en-GB"/>
        </w:rPr>
        <w:t xml:space="preserve">, ed. </w:t>
      </w:r>
      <w:r w:rsidRPr="00F060A3">
        <w:rPr>
          <w:rFonts w:cs="Times New Roman"/>
          <w:sz w:val="24"/>
          <w:szCs w:val="24"/>
        </w:rPr>
        <w:t>Heinrich Denzinger and Peter Hünermann, 43</w:t>
      </w:r>
      <w:r w:rsidRPr="008244C2">
        <w:rPr>
          <w:sz w:val="24"/>
          <w:vertAlign w:val="superscript"/>
        </w:rPr>
        <w:t>rd</w:t>
      </w:r>
      <w:r w:rsidRPr="00F060A3">
        <w:rPr>
          <w:rFonts w:cs="Times New Roman"/>
          <w:sz w:val="24"/>
          <w:szCs w:val="24"/>
        </w:rPr>
        <w:t xml:space="preserve"> ed. </w:t>
      </w:r>
      <w:r w:rsidRPr="008244C2">
        <w:rPr>
          <w:sz w:val="24"/>
          <w:lang w:val="en-GB"/>
        </w:rPr>
        <w:t>(San Francisco: Ignatius Press, 2012) [DH] 101.</w:t>
      </w:r>
    </w:p>
  </w:footnote>
  <w:footnote w:id="61">
    <w:p w14:paraId="2814AFBF" w14:textId="77777777" w:rsidR="00775CF4" w:rsidRPr="00BC3C8F" w:rsidRDefault="00775CF4" w:rsidP="00775CF4">
      <w:pPr>
        <w:pStyle w:val="FootnoteText"/>
        <w:jc w:val="both"/>
        <w:rPr>
          <w:rFonts w:cs="Times New Roman"/>
          <w:sz w:val="24"/>
          <w:szCs w:val="24"/>
          <w:lang w:val="it-IT"/>
        </w:rPr>
      </w:pPr>
      <w:r w:rsidRPr="00F060A3">
        <w:rPr>
          <w:rStyle w:val="FootnoteCharacters"/>
          <w:rFonts w:cs="Times New Roman"/>
          <w:sz w:val="24"/>
          <w:szCs w:val="24"/>
        </w:rPr>
        <w:footnoteRef/>
      </w:r>
      <w:r w:rsidRPr="00BC3C8F">
        <w:rPr>
          <w:rFonts w:cs="Times New Roman"/>
          <w:sz w:val="24"/>
          <w:szCs w:val="24"/>
          <w:lang w:val="en-GB"/>
        </w:rPr>
        <w:t xml:space="preserve"> See Pseudo-Dionysius, </w:t>
      </w:r>
      <w:r w:rsidRPr="00BC3C8F">
        <w:rPr>
          <w:rFonts w:cs="Times New Roman"/>
          <w:i/>
          <w:iCs/>
          <w:sz w:val="24"/>
          <w:szCs w:val="24"/>
          <w:lang w:val="en-GB"/>
        </w:rPr>
        <w:t>The Ecclesiastical Hierarchy</w:t>
      </w:r>
      <w:r w:rsidRPr="00BC3C8F">
        <w:rPr>
          <w:rFonts w:cs="Times New Roman"/>
          <w:sz w:val="24"/>
          <w:szCs w:val="24"/>
          <w:lang w:val="en-GB"/>
        </w:rPr>
        <w:t xml:space="preserve">, </w:t>
      </w:r>
      <w:r>
        <w:rPr>
          <w:rFonts w:cs="Times New Roman"/>
          <w:sz w:val="24"/>
          <w:szCs w:val="24"/>
          <w:lang w:val="en-GB"/>
        </w:rPr>
        <w:t xml:space="preserve">chapters </w:t>
      </w:r>
      <w:r w:rsidRPr="00BC3C8F">
        <w:rPr>
          <w:rFonts w:cs="Times New Roman"/>
          <w:sz w:val="24"/>
          <w:szCs w:val="24"/>
          <w:lang w:val="en-GB"/>
        </w:rPr>
        <w:t>V and VI,</w:t>
      </w:r>
      <w:r>
        <w:rPr>
          <w:rFonts w:cs="Times New Roman"/>
          <w:i/>
          <w:iCs/>
          <w:sz w:val="24"/>
          <w:szCs w:val="24"/>
          <w:lang w:val="en-GB"/>
        </w:rPr>
        <w:t xml:space="preserve"> </w:t>
      </w:r>
      <w:r w:rsidRPr="00BC3C8F">
        <w:rPr>
          <w:rFonts w:cs="Times New Roman"/>
          <w:sz w:val="24"/>
          <w:szCs w:val="24"/>
          <w:lang w:val="en-GB"/>
        </w:rPr>
        <w:t xml:space="preserve">in </w:t>
      </w:r>
      <w:r w:rsidRPr="00BC3C8F">
        <w:rPr>
          <w:rFonts w:cs="Times New Roman"/>
          <w:i/>
          <w:iCs/>
          <w:sz w:val="24"/>
          <w:szCs w:val="24"/>
          <w:lang w:val="en-GB"/>
        </w:rPr>
        <w:t xml:space="preserve">Corpus Dionysiacum, </w:t>
      </w:r>
      <w:r w:rsidRPr="00BC3C8F">
        <w:rPr>
          <w:rFonts w:cs="Times New Roman"/>
          <w:sz w:val="24"/>
          <w:szCs w:val="24"/>
          <w:lang w:val="en-GB"/>
        </w:rPr>
        <w:t xml:space="preserve">trans. </w:t>
      </w:r>
      <w:r w:rsidRPr="00F060A3">
        <w:rPr>
          <w:rFonts w:cs="Times New Roman"/>
          <w:sz w:val="24"/>
          <w:szCs w:val="24"/>
          <w:lang w:val="it-IT"/>
        </w:rPr>
        <w:t>Enrico Turolla (Milan: La Vita Felice, 2014)</w:t>
      </w:r>
      <w:r>
        <w:rPr>
          <w:rFonts w:cs="Times New Roman"/>
          <w:i/>
          <w:iCs/>
          <w:sz w:val="24"/>
          <w:szCs w:val="24"/>
          <w:lang w:val="it-IT"/>
        </w:rPr>
        <w:t xml:space="preserve"> </w:t>
      </w:r>
      <w:r w:rsidRPr="00F060A3">
        <w:rPr>
          <w:rFonts w:cs="Times New Roman"/>
          <w:sz w:val="24"/>
          <w:szCs w:val="24"/>
          <w:lang w:val="it-IT"/>
        </w:rPr>
        <w:t>201</w:t>
      </w:r>
      <w:r>
        <w:rPr>
          <w:rFonts w:cs="Times New Roman"/>
          <w:sz w:val="24"/>
          <w:szCs w:val="24"/>
          <w:lang w:val="it-IT"/>
        </w:rPr>
        <w:t>–</w:t>
      </w:r>
      <w:r w:rsidRPr="00F060A3">
        <w:rPr>
          <w:rFonts w:cs="Times New Roman"/>
          <w:sz w:val="24"/>
          <w:szCs w:val="24"/>
          <w:lang w:val="it-IT"/>
        </w:rPr>
        <w:t>234, esp. 205</w:t>
      </w:r>
      <w:r>
        <w:rPr>
          <w:rFonts w:cs="Times New Roman"/>
          <w:sz w:val="24"/>
          <w:szCs w:val="24"/>
          <w:lang w:val="it-IT"/>
        </w:rPr>
        <w:t>–</w:t>
      </w:r>
      <w:r w:rsidRPr="00F060A3">
        <w:rPr>
          <w:rFonts w:cs="Times New Roman"/>
          <w:sz w:val="24"/>
          <w:szCs w:val="24"/>
          <w:lang w:val="it-IT"/>
        </w:rPr>
        <w:t>207.</w:t>
      </w:r>
    </w:p>
  </w:footnote>
  <w:footnote w:id="62">
    <w:p w14:paraId="3CA70003" w14:textId="77777777" w:rsidR="00775CF4" w:rsidRPr="00FA7EA4" w:rsidRDefault="00775CF4" w:rsidP="00775CF4">
      <w:pPr>
        <w:pStyle w:val="FootnoteText"/>
        <w:jc w:val="both"/>
        <w:rPr>
          <w:rFonts w:cs="Times New Roman"/>
          <w:sz w:val="24"/>
          <w:szCs w:val="24"/>
          <w:lang w:val="it-IT"/>
        </w:rPr>
      </w:pPr>
      <w:r w:rsidRPr="00F060A3">
        <w:rPr>
          <w:rStyle w:val="FootnoteCharacters"/>
          <w:rFonts w:cs="Times New Roman"/>
          <w:sz w:val="24"/>
          <w:szCs w:val="24"/>
        </w:rPr>
        <w:footnoteRef/>
      </w:r>
      <w:r w:rsidRPr="00FA7EA4">
        <w:rPr>
          <w:rFonts w:cs="Times New Roman"/>
          <w:sz w:val="24"/>
          <w:szCs w:val="24"/>
          <w:lang w:val="it-IT"/>
        </w:rPr>
        <w:t xml:space="preserve"> See ibid., chapter III, 170–172. </w:t>
      </w:r>
    </w:p>
  </w:footnote>
  <w:footnote w:id="63">
    <w:p w14:paraId="6DB853D2"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Augustine, </w:t>
      </w:r>
      <w:r w:rsidRPr="00F060A3">
        <w:rPr>
          <w:rFonts w:cs="Times New Roman"/>
          <w:i/>
          <w:iCs/>
          <w:sz w:val="24"/>
          <w:szCs w:val="24"/>
        </w:rPr>
        <w:t>De Haeresibus</w:t>
      </w:r>
      <w:r w:rsidRPr="00F060A3">
        <w:rPr>
          <w:rFonts w:cs="Times New Roman"/>
          <w:sz w:val="24"/>
          <w:szCs w:val="24"/>
        </w:rPr>
        <w:t xml:space="preserve">, 53: Liguori G. Müller, </w:t>
      </w:r>
      <w:r w:rsidRPr="00F060A3">
        <w:rPr>
          <w:rFonts w:cs="Times New Roman"/>
          <w:i/>
          <w:iCs/>
          <w:sz w:val="24"/>
          <w:szCs w:val="24"/>
        </w:rPr>
        <w:t>The De Haeresibus of Saint Augustine</w:t>
      </w:r>
      <w:r w:rsidRPr="00F060A3">
        <w:rPr>
          <w:rFonts w:cs="Times New Roman"/>
          <w:sz w:val="24"/>
          <w:szCs w:val="24"/>
        </w:rPr>
        <w:t>, A Translation with an Introduction and Commentary, Catholic University of America Patristic Studies 90 (Washington, D.C.: CUA Press, 1956) 101.</w:t>
      </w:r>
    </w:p>
  </w:footnote>
  <w:footnote w:id="64">
    <w:p w14:paraId="53748C3C" w14:textId="77777777" w:rsidR="00775CF4" w:rsidRPr="00D309CD" w:rsidRDefault="00775CF4" w:rsidP="00775CF4">
      <w:pPr>
        <w:pStyle w:val="FootnoteText"/>
        <w:jc w:val="both"/>
        <w:rPr>
          <w:sz w:val="24"/>
        </w:rPr>
      </w:pPr>
      <w:r w:rsidRPr="00D309CD">
        <w:rPr>
          <w:rStyle w:val="FootnoteCharacters"/>
          <w:sz w:val="24"/>
        </w:rPr>
        <w:footnoteRef/>
      </w:r>
      <w:r w:rsidRPr="00D309CD">
        <w:rPr>
          <w:sz w:val="24"/>
        </w:rPr>
        <w:t xml:space="preserve"> </w:t>
      </w:r>
      <w:r>
        <w:rPr>
          <w:i/>
          <w:iCs/>
          <w:sz w:val="24"/>
        </w:rPr>
        <w:t>Apostolic Tradition</w:t>
      </w:r>
      <w:r>
        <w:rPr>
          <w:sz w:val="24"/>
        </w:rPr>
        <w:t xml:space="preserve">, 3, in </w:t>
      </w:r>
      <w:r w:rsidRPr="00F060A3">
        <w:rPr>
          <w:rFonts w:cs="Times New Roman"/>
          <w:sz w:val="24"/>
          <w:szCs w:val="24"/>
        </w:rPr>
        <w:t xml:space="preserve">Paul Bradshaw, Maxwell E. Johnson and L. Edward Philips, </w:t>
      </w:r>
      <w:r w:rsidRPr="00F060A3">
        <w:rPr>
          <w:rFonts w:cs="Times New Roman"/>
          <w:i/>
          <w:iCs/>
          <w:sz w:val="24"/>
          <w:szCs w:val="24"/>
        </w:rPr>
        <w:t>The</w:t>
      </w:r>
      <w:r w:rsidRPr="00D309CD">
        <w:rPr>
          <w:i/>
          <w:sz w:val="24"/>
        </w:rPr>
        <w:t xml:space="preserve"> Apostolic Tradition</w:t>
      </w:r>
      <w:r w:rsidRPr="00F060A3">
        <w:rPr>
          <w:rFonts w:cs="Times New Roman"/>
          <w:i/>
          <w:iCs/>
          <w:sz w:val="24"/>
          <w:szCs w:val="24"/>
        </w:rPr>
        <w:t>: A Commentary,</w:t>
      </w:r>
      <w:r w:rsidRPr="00F060A3">
        <w:rPr>
          <w:rFonts w:cs="Times New Roman"/>
          <w:sz w:val="24"/>
          <w:szCs w:val="24"/>
        </w:rPr>
        <w:t xml:space="preserve"> Hermeneia (Minneapolis: Fortress</w:t>
      </w:r>
      <w:r>
        <w:rPr>
          <w:rFonts w:cs="Times New Roman"/>
          <w:sz w:val="24"/>
          <w:szCs w:val="24"/>
        </w:rPr>
        <w:t xml:space="preserve"> Press</w:t>
      </w:r>
      <w:r w:rsidRPr="00F060A3">
        <w:rPr>
          <w:rFonts w:cs="Times New Roman"/>
          <w:sz w:val="24"/>
          <w:szCs w:val="24"/>
        </w:rPr>
        <w:t>, 2002) 30</w:t>
      </w:r>
      <w:r>
        <w:rPr>
          <w:rFonts w:cs="Times New Roman"/>
          <w:sz w:val="24"/>
          <w:szCs w:val="24"/>
        </w:rPr>
        <w:t>–</w:t>
      </w:r>
      <w:r w:rsidRPr="00F060A3">
        <w:rPr>
          <w:rFonts w:cs="Times New Roman"/>
          <w:sz w:val="24"/>
          <w:szCs w:val="24"/>
        </w:rPr>
        <w:t>31</w:t>
      </w:r>
      <w:r w:rsidRPr="00D309CD">
        <w:rPr>
          <w:sz w:val="24"/>
        </w:rPr>
        <w:t>.</w:t>
      </w:r>
    </w:p>
  </w:footnote>
  <w:footnote w:id="65">
    <w:p w14:paraId="3934B7D5" w14:textId="77777777" w:rsidR="00775CF4" w:rsidRPr="00D309CD" w:rsidRDefault="00775CF4" w:rsidP="00775CF4">
      <w:pPr>
        <w:pStyle w:val="FootnoteText"/>
        <w:jc w:val="both"/>
        <w:rPr>
          <w:sz w:val="24"/>
        </w:rPr>
      </w:pPr>
      <w:r w:rsidRPr="00D309CD">
        <w:rPr>
          <w:rStyle w:val="FootnoteCharacters"/>
          <w:sz w:val="24"/>
        </w:rPr>
        <w:footnoteRef/>
      </w:r>
      <w:r w:rsidRPr="00D309CD">
        <w:rPr>
          <w:sz w:val="24"/>
        </w:rPr>
        <w:t xml:space="preserve"> Ibid.</w:t>
      </w:r>
      <w:r>
        <w:rPr>
          <w:sz w:val="24"/>
        </w:rPr>
        <w:t>, 7</w:t>
      </w:r>
      <w:r w:rsidRPr="00D309CD">
        <w:rPr>
          <w:sz w:val="24"/>
        </w:rPr>
        <w:t xml:space="preserve">, </w:t>
      </w:r>
      <w:r w:rsidRPr="00F060A3">
        <w:rPr>
          <w:rFonts w:cs="Times New Roman"/>
          <w:sz w:val="24"/>
          <w:szCs w:val="24"/>
        </w:rPr>
        <w:t>56</w:t>
      </w:r>
      <w:r>
        <w:rPr>
          <w:rFonts w:cs="Times New Roman"/>
          <w:sz w:val="24"/>
          <w:szCs w:val="24"/>
        </w:rPr>
        <w:t>–</w:t>
      </w:r>
      <w:r w:rsidRPr="00F060A3">
        <w:rPr>
          <w:rFonts w:cs="Times New Roman"/>
          <w:sz w:val="24"/>
          <w:szCs w:val="24"/>
        </w:rPr>
        <w:t>57</w:t>
      </w:r>
      <w:r w:rsidRPr="00D309CD">
        <w:rPr>
          <w:sz w:val="24"/>
        </w:rPr>
        <w:t>.</w:t>
      </w:r>
    </w:p>
  </w:footnote>
  <w:footnote w:id="66">
    <w:p w14:paraId="367D3EA5" w14:textId="77777777" w:rsidR="00775CF4" w:rsidRPr="00F060A3" w:rsidRDefault="00775CF4" w:rsidP="00775CF4">
      <w:pPr>
        <w:pStyle w:val="FootnoteText"/>
        <w:jc w:val="both"/>
        <w:rPr>
          <w:rFonts w:cs="Times New Roman"/>
          <w:sz w:val="24"/>
          <w:szCs w:val="24"/>
        </w:rPr>
      </w:pPr>
      <w:r w:rsidRPr="00D309CD">
        <w:rPr>
          <w:rStyle w:val="FootnoteCharacters"/>
          <w:sz w:val="24"/>
        </w:rPr>
        <w:footnoteRef/>
      </w:r>
      <w:r w:rsidRPr="00D309CD">
        <w:rPr>
          <w:sz w:val="24"/>
        </w:rPr>
        <w:t xml:space="preserve"> Ibid., </w:t>
      </w:r>
      <w:r>
        <w:rPr>
          <w:sz w:val="24"/>
        </w:rPr>
        <w:t xml:space="preserve">8, </w:t>
      </w:r>
      <w:r w:rsidRPr="00F060A3">
        <w:rPr>
          <w:rFonts w:cs="Times New Roman"/>
          <w:sz w:val="24"/>
          <w:szCs w:val="24"/>
        </w:rPr>
        <w:t>60</w:t>
      </w:r>
      <w:r>
        <w:rPr>
          <w:rFonts w:cs="Times New Roman"/>
          <w:sz w:val="24"/>
          <w:szCs w:val="24"/>
        </w:rPr>
        <w:t>–</w:t>
      </w:r>
      <w:r w:rsidRPr="00F060A3">
        <w:rPr>
          <w:rFonts w:cs="Times New Roman"/>
          <w:sz w:val="24"/>
          <w:szCs w:val="24"/>
        </w:rPr>
        <w:t>62, esp. sec</w:t>
      </w:r>
      <w:r>
        <w:rPr>
          <w:rFonts w:cs="Times New Roman"/>
          <w:sz w:val="24"/>
          <w:szCs w:val="24"/>
        </w:rPr>
        <w:t>tion</w:t>
      </w:r>
      <w:r w:rsidRPr="00F060A3">
        <w:rPr>
          <w:rFonts w:cs="Times New Roman"/>
          <w:sz w:val="24"/>
          <w:szCs w:val="24"/>
        </w:rPr>
        <w:t xml:space="preserve"> 7 in the Latin edition.</w:t>
      </w:r>
    </w:p>
  </w:footnote>
  <w:footnote w:id="67">
    <w:p w14:paraId="7DD918BA"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i/>
          <w:iCs/>
          <w:sz w:val="24"/>
          <w:szCs w:val="24"/>
        </w:rPr>
        <w:t xml:space="preserve"> </w:t>
      </w:r>
      <w:r w:rsidRPr="00F060A3">
        <w:rPr>
          <w:rFonts w:cs="Times New Roman"/>
          <w:sz w:val="24"/>
          <w:szCs w:val="24"/>
        </w:rPr>
        <w:t xml:space="preserve">Second Vatican Council, </w:t>
      </w:r>
      <w:r w:rsidRPr="00F060A3">
        <w:rPr>
          <w:rFonts w:cs="Times New Roman"/>
          <w:sz w:val="24"/>
          <w:szCs w:val="24"/>
          <w:lang w:val="en-GB"/>
        </w:rPr>
        <w:t>Decree on the Ministry and Life of Priests</w:t>
      </w:r>
      <w:r w:rsidRPr="00F060A3">
        <w:rPr>
          <w:rFonts w:cs="Times New Roman"/>
          <w:i/>
          <w:iCs/>
          <w:sz w:val="24"/>
          <w:szCs w:val="24"/>
          <w:lang w:val="en-GB"/>
        </w:rPr>
        <w:t xml:space="preserve"> Presbyterorum Ordinis</w:t>
      </w:r>
      <w:r w:rsidRPr="00F060A3">
        <w:rPr>
          <w:rFonts w:cs="Times New Roman"/>
          <w:sz w:val="24"/>
          <w:szCs w:val="24"/>
          <w:lang w:val="en-GB"/>
        </w:rPr>
        <w:t xml:space="preserve"> (December 7, 1965)</w:t>
      </w:r>
      <w:r w:rsidRPr="00F060A3">
        <w:rPr>
          <w:rFonts w:cs="Times New Roman"/>
          <w:sz w:val="24"/>
          <w:szCs w:val="24"/>
        </w:rPr>
        <w:t xml:space="preserve"> no. 2. </w:t>
      </w:r>
    </w:p>
  </w:footnote>
  <w:footnote w:id="68">
    <w:p w14:paraId="0C96A124" w14:textId="77777777" w:rsidR="00775CF4" w:rsidRPr="00F060A3" w:rsidRDefault="00775CF4" w:rsidP="00775CF4">
      <w:pPr>
        <w:pStyle w:val="FootnoteText"/>
        <w:jc w:val="both"/>
        <w:rPr>
          <w:rFonts w:cs="Times New Roman"/>
          <w:sz w:val="24"/>
          <w:szCs w:val="24"/>
        </w:rPr>
      </w:pPr>
      <w:r w:rsidRPr="00F060A3">
        <w:rPr>
          <w:rStyle w:val="FootnoteReference"/>
          <w:rFonts w:cs="Times New Roman"/>
          <w:sz w:val="24"/>
          <w:szCs w:val="24"/>
          <w:vertAlign w:val="baseline"/>
        </w:rPr>
        <w:footnoteRef/>
      </w:r>
      <w:r w:rsidRPr="00F060A3">
        <w:rPr>
          <w:rFonts w:cs="Times New Roman"/>
          <w:sz w:val="24"/>
          <w:szCs w:val="24"/>
        </w:rPr>
        <w:t xml:space="preserve"> Council of Trent, Session 23, </w:t>
      </w:r>
      <w:r w:rsidRPr="00F060A3">
        <w:rPr>
          <w:rFonts w:cs="Times New Roman"/>
          <w:i/>
          <w:sz w:val="24"/>
          <w:szCs w:val="24"/>
        </w:rPr>
        <w:t xml:space="preserve">Doctrine and Canons on the Sacrament of Orders </w:t>
      </w:r>
      <w:r w:rsidRPr="00F060A3">
        <w:rPr>
          <w:rFonts w:cs="Times New Roman"/>
          <w:iCs/>
          <w:sz w:val="24"/>
          <w:szCs w:val="24"/>
        </w:rPr>
        <w:t>(July 15, 1563), c. 4 and cans. 6–7</w:t>
      </w:r>
      <w:r w:rsidRPr="00F060A3">
        <w:rPr>
          <w:rFonts w:cs="Times New Roman"/>
          <w:sz w:val="24"/>
          <w:szCs w:val="24"/>
        </w:rPr>
        <w:t>: DH 1767–1770 and 1776–1777.</w:t>
      </w:r>
    </w:p>
  </w:footnote>
  <w:footnote w:id="69">
    <w:p w14:paraId="09B0A870" w14:textId="77777777" w:rsidR="00775CF4" w:rsidRPr="00F060A3" w:rsidRDefault="00775CF4" w:rsidP="00775CF4">
      <w:pPr>
        <w:pStyle w:val="FootnoteText"/>
        <w:jc w:val="both"/>
        <w:rPr>
          <w:rFonts w:cs="Times New Roman"/>
          <w:sz w:val="24"/>
          <w:szCs w:val="24"/>
          <w:highlight w:val="yellow"/>
        </w:rPr>
      </w:pPr>
      <w:r w:rsidRPr="00F060A3">
        <w:rPr>
          <w:rStyle w:val="FootnoteReference"/>
          <w:rFonts w:cs="Times New Roman"/>
          <w:sz w:val="24"/>
          <w:szCs w:val="24"/>
          <w:vertAlign w:val="baseline"/>
        </w:rPr>
        <w:footnoteRef/>
      </w:r>
      <w:r w:rsidRPr="00F060A3">
        <w:rPr>
          <w:rFonts w:cs="Times New Roman"/>
          <w:sz w:val="24"/>
          <w:szCs w:val="24"/>
        </w:rPr>
        <w:t xml:space="preserve"> </w:t>
      </w:r>
      <w:r w:rsidRPr="00F060A3">
        <w:rPr>
          <w:rFonts w:cs="Times New Roman"/>
          <w:i/>
          <w:iCs/>
          <w:sz w:val="24"/>
          <w:szCs w:val="24"/>
        </w:rPr>
        <w:t>Catechism of the Council of Trent for Parish Priests,</w:t>
      </w:r>
      <w:r>
        <w:rPr>
          <w:rFonts w:cs="Times New Roman"/>
          <w:i/>
          <w:iCs/>
          <w:sz w:val="24"/>
          <w:szCs w:val="24"/>
        </w:rPr>
        <w:t xml:space="preserve"> </w:t>
      </w:r>
      <w:r>
        <w:rPr>
          <w:rFonts w:cs="Times New Roman"/>
          <w:sz w:val="24"/>
          <w:szCs w:val="24"/>
        </w:rPr>
        <w:t>t</w:t>
      </w:r>
      <w:r w:rsidRPr="00F060A3">
        <w:rPr>
          <w:rFonts w:cs="Times New Roman"/>
          <w:sz w:val="24"/>
          <w:szCs w:val="24"/>
        </w:rPr>
        <w:t xml:space="preserve">rans. John </w:t>
      </w:r>
      <w:r>
        <w:rPr>
          <w:rFonts w:cs="Times New Roman"/>
          <w:sz w:val="24"/>
          <w:szCs w:val="24"/>
        </w:rPr>
        <w:t xml:space="preserve">A. </w:t>
      </w:r>
      <w:r w:rsidRPr="00F060A3">
        <w:rPr>
          <w:rFonts w:cs="Times New Roman"/>
          <w:sz w:val="24"/>
          <w:szCs w:val="24"/>
        </w:rPr>
        <w:t xml:space="preserve">McHugh and Charles </w:t>
      </w:r>
      <w:r>
        <w:rPr>
          <w:rFonts w:cs="Times New Roman"/>
          <w:sz w:val="24"/>
          <w:szCs w:val="24"/>
        </w:rPr>
        <w:t xml:space="preserve">J. </w:t>
      </w:r>
      <w:r w:rsidRPr="00F060A3">
        <w:rPr>
          <w:rFonts w:cs="Times New Roman"/>
          <w:sz w:val="24"/>
          <w:szCs w:val="24"/>
        </w:rPr>
        <w:t xml:space="preserve">Callan (New York: Joseph </w:t>
      </w:r>
      <w:r>
        <w:rPr>
          <w:rFonts w:cs="Times New Roman"/>
          <w:sz w:val="24"/>
          <w:szCs w:val="24"/>
        </w:rPr>
        <w:t xml:space="preserve">F. </w:t>
      </w:r>
      <w:r w:rsidRPr="00F060A3">
        <w:rPr>
          <w:rFonts w:cs="Times New Roman"/>
          <w:sz w:val="24"/>
          <w:szCs w:val="24"/>
        </w:rPr>
        <w:t>Wagner, 1923) 332</w:t>
      </w:r>
      <w:r>
        <w:rPr>
          <w:rFonts w:cs="Times New Roman"/>
          <w:sz w:val="24"/>
          <w:szCs w:val="24"/>
        </w:rPr>
        <w:t>–</w:t>
      </w:r>
      <w:r w:rsidRPr="00F060A3">
        <w:rPr>
          <w:rFonts w:cs="Times New Roman"/>
          <w:sz w:val="24"/>
          <w:szCs w:val="24"/>
        </w:rPr>
        <w:t>333.</w:t>
      </w:r>
    </w:p>
  </w:footnote>
  <w:footnote w:id="70">
    <w:p w14:paraId="593A99AB" w14:textId="77777777" w:rsidR="00775CF4" w:rsidRPr="00D23546" w:rsidRDefault="00775CF4" w:rsidP="00775CF4">
      <w:pPr>
        <w:pStyle w:val="FootnoteText"/>
        <w:jc w:val="both"/>
        <w:rPr>
          <w:rFonts w:cs="Times New Roman"/>
          <w:sz w:val="24"/>
          <w:szCs w:val="24"/>
        </w:rPr>
      </w:pPr>
      <w:r w:rsidRPr="00F060A3">
        <w:rPr>
          <w:rStyle w:val="FootnoteReference"/>
          <w:rFonts w:cs="Times New Roman"/>
          <w:sz w:val="24"/>
          <w:szCs w:val="24"/>
          <w:vertAlign w:val="baseline"/>
        </w:rPr>
        <w:footnoteRef/>
      </w:r>
      <w:r w:rsidRPr="00D23546">
        <w:rPr>
          <w:rFonts w:cs="Times New Roman"/>
          <w:sz w:val="24"/>
          <w:szCs w:val="24"/>
        </w:rPr>
        <w:t xml:space="preserve"> See Robert Bellarmine, </w:t>
      </w:r>
      <w:r w:rsidRPr="00D23546">
        <w:rPr>
          <w:rFonts w:cs="Times New Roman"/>
          <w:i/>
          <w:iCs/>
          <w:sz w:val="24"/>
          <w:szCs w:val="24"/>
        </w:rPr>
        <w:t xml:space="preserve">Disputationes de controversiis christianae fidei, </w:t>
      </w:r>
      <w:r w:rsidRPr="00D23546">
        <w:rPr>
          <w:rFonts w:cs="Times New Roman"/>
          <w:sz w:val="24"/>
          <w:szCs w:val="24"/>
        </w:rPr>
        <w:t>Editio secunda (Ingolstadt: David Sartorius, 1591); electronic edition: Saale Halle: Universitäts- und Landesbibliothek Sachsen-Anhalt, 2011) liber I, caput V, col</w:t>
      </w:r>
      <w:r>
        <w:rPr>
          <w:rFonts w:cs="Times New Roman"/>
          <w:sz w:val="24"/>
          <w:szCs w:val="24"/>
        </w:rPr>
        <w:t>l</w:t>
      </w:r>
      <w:r w:rsidRPr="00D23546">
        <w:rPr>
          <w:rFonts w:cs="Times New Roman"/>
          <w:sz w:val="24"/>
          <w:szCs w:val="24"/>
        </w:rPr>
        <w:t>. 1524</w:t>
      </w:r>
      <w:r>
        <w:rPr>
          <w:rFonts w:cs="Times New Roman"/>
          <w:sz w:val="24"/>
          <w:szCs w:val="24"/>
        </w:rPr>
        <w:t>–</w:t>
      </w:r>
      <w:r w:rsidRPr="00D23546">
        <w:rPr>
          <w:rFonts w:cs="Times New Roman"/>
          <w:sz w:val="24"/>
          <w:szCs w:val="24"/>
        </w:rPr>
        <w:t>1528.</w:t>
      </w:r>
    </w:p>
  </w:footnote>
  <w:footnote w:id="71">
    <w:p w14:paraId="38260BD0"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Pius XII, Apostolic Constitution on the Sacrament of Order </w:t>
      </w:r>
      <w:r w:rsidRPr="00F060A3">
        <w:rPr>
          <w:rFonts w:cs="Times New Roman"/>
          <w:i/>
          <w:iCs/>
          <w:sz w:val="24"/>
          <w:szCs w:val="24"/>
        </w:rPr>
        <w:t xml:space="preserve">Sacramentum Ordinis </w:t>
      </w:r>
      <w:r w:rsidRPr="00F060A3">
        <w:rPr>
          <w:rFonts w:cs="Times New Roman"/>
          <w:sz w:val="24"/>
          <w:szCs w:val="24"/>
        </w:rPr>
        <w:t xml:space="preserve">(November 30, 1947) nos. 4–5. </w:t>
      </w:r>
    </w:p>
  </w:footnote>
  <w:footnote w:id="72">
    <w:p w14:paraId="26A00A79" w14:textId="77777777" w:rsidR="00775CF4" w:rsidRPr="00130B6F" w:rsidRDefault="00775CF4" w:rsidP="00775CF4">
      <w:pPr>
        <w:pStyle w:val="FootnoteText"/>
        <w:jc w:val="both"/>
        <w:rPr>
          <w:sz w:val="24"/>
        </w:rPr>
      </w:pPr>
      <w:r w:rsidRPr="00F060A3">
        <w:rPr>
          <w:rStyle w:val="FootnoteCharacters"/>
          <w:rFonts w:cs="Times New Roman"/>
          <w:sz w:val="24"/>
          <w:szCs w:val="24"/>
        </w:rPr>
        <w:footnoteRef/>
      </w:r>
      <w:r w:rsidRPr="00130B6F">
        <w:rPr>
          <w:sz w:val="24"/>
        </w:rPr>
        <w:t xml:space="preserve"> See Billot</w:t>
      </w:r>
      <w:r w:rsidRPr="00F060A3">
        <w:rPr>
          <w:rFonts w:cs="Times New Roman"/>
          <w:sz w:val="24"/>
          <w:szCs w:val="24"/>
        </w:rPr>
        <w:t xml:space="preserve">, </w:t>
      </w:r>
      <w:r w:rsidRPr="00F060A3">
        <w:rPr>
          <w:rFonts w:cs="Times New Roman"/>
          <w:i/>
          <w:iCs/>
          <w:sz w:val="24"/>
          <w:szCs w:val="24"/>
        </w:rPr>
        <w:t>De ecclesiae sacramentis</w:t>
      </w:r>
      <w:r>
        <w:rPr>
          <w:rFonts w:cs="Times New Roman"/>
          <w:sz w:val="24"/>
          <w:szCs w:val="24"/>
        </w:rPr>
        <w:t xml:space="preserve">, vol. II, </w:t>
      </w:r>
      <w:r w:rsidRPr="00F060A3">
        <w:rPr>
          <w:rFonts w:cs="Times New Roman"/>
          <w:sz w:val="24"/>
          <w:szCs w:val="24"/>
        </w:rPr>
        <w:t>259</w:t>
      </w:r>
      <w:r>
        <w:rPr>
          <w:rFonts w:cs="Times New Roman"/>
          <w:sz w:val="24"/>
          <w:szCs w:val="24"/>
        </w:rPr>
        <w:t>–</w:t>
      </w:r>
      <w:r w:rsidRPr="00F060A3">
        <w:rPr>
          <w:rFonts w:cs="Times New Roman"/>
          <w:sz w:val="24"/>
          <w:szCs w:val="24"/>
        </w:rPr>
        <w:t>261</w:t>
      </w:r>
      <w:r w:rsidRPr="00130B6F">
        <w:rPr>
          <w:sz w:val="24"/>
        </w:rPr>
        <w:t xml:space="preserve">. </w:t>
      </w:r>
    </w:p>
  </w:footnote>
  <w:footnote w:id="73">
    <w:p w14:paraId="64BE8A9D"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i/>
          <w:iCs/>
          <w:sz w:val="24"/>
          <w:szCs w:val="24"/>
        </w:rPr>
        <w:t xml:space="preserve"> Presbyterorum Ordinis</w:t>
      </w:r>
      <w:r w:rsidRPr="00F060A3">
        <w:rPr>
          <w:rFonts w:cs="Times New Roman"/>
          <w:sz w:val="24"/>
          <w:szCs w:val="24"/>
        </w:rPr>
        <w:t xml:space="preserve">, nos. 1–2. </w:t>
      </w:r>
    </w:p>
  </w:footnote>
  <w:footnote w:id="74">
    <w:p w14:paraId="7CD88DE3"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ibid., nos. 7–8. </w:t>
      </w:r>
    </w:p>
  </w:footnote>
  <w:footnote w:id="75">
    <w:p w14:paraId="1AC82A0A"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i/>
          <w:iCs/>
          <w:sz w:val="24"/>
          <w:szCs w:val="24"/>
        </w:rPr>
        <w:t xml:space="preserve"> </w:t>
      </w:r>
      <w:r w:rsidRPr="00F060A3">
        <w:rPr>
          <w:rFonts w:cs="Times New Roman"/>
          <w:sz w:val="24"/>
          <w:szCs w:val="24"/>
        </w:rPr>
        <w:t xml:space="preserve">Decree Concerning the Pastoral Office of Bishops in the Church </w:t>
      </w:r>
      <w:r w:rsidRPr="00F060A3">
        <w:rPr>
          <w:rFonts w:cs="Times New Roman"/>
          <w:i/>
          <w:iCs/>
          <w:sz w:val="24"/>
          <w:szCs w:val="24"/>
        </w:rPr>
        <w:t>Christus</w:t>
      </w:r>
      <w:r w:rsidRPr="00F060A3">
        <w:rPr>
          <w:rFonts w:cs="Times New Roman"/>
          <w:sz w:val="24"/>
          <w:szCs w:val="24"/>
        </w:rPr>
        <w:t xml:space="preserve"> </w:t>
      </w:r>
      <w:r w:rsidRPr="00F060A3">
        <w:rPr>
          <w:rFonts w:cs="Times New Roman"/>
          <w:i/>
          <w:iCs/>
          <w:sz w:val="24"/>
          <w:szCs w:val="24"/>
        </w:rPr>
        <w:t>Dominus</w:t>
      </w:r>
      <w:r w:rsidRPr="00F060A3">
        <w:rPr>
          <w:rFonts w:cs="Times New Roman"/>
          <w:sz w:val="24"/>
          <w:szCs w:val="24"/>
        </w:rPr>
        <w:t xml:space="preserve"> (October 28, 1965) no. 11. </w:t>
      </w:r>
    </w:p>
  </w:footnote>
  <w:footnote w:id="76">
    <w:p w14:paraId="0C017CC1"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w:t>
      </w:r>
      <w:r w:rsidRPr="00F060A3">
        <w:rPr>
          <w:rFonts w:cs="Times New Roman"/>
          <w:i/>
          <w:iCs/>
          <w:sz w:val="24"/>
          <w:szCs w:val="24"/>
        </w:rPr>
        <w:t>Presbyterorum Ordinis</w:t>
      </w:r>
      <w:r w:rsidRPr="00F060A3">
        <w:rPr>
          <w:rFonts w:cs="Times New Roman"/>
          <w:sz w:val="24"/>
          <w:szCs w:val="24"/>
        </w:rPr>
        <w:t xml:space="preserve">, no. 5, citing, in turn, </w:t>
      </w:r>
      <w:r w:rsidRPr="00F060A3">
        <w:rPr>
          <w:rFonts w:cs="Times New Roman"/>
          <w:i/>
          <w:iCs/>
          <w:sz w:val="24"/>
          <w:szCs w:val="24"/>
        </w:rPr>
        <w:t>Lumen Gentium</w:t>
      </w:r>
      <w:r w:rsidRPr="00F060A3">
        <w:rPr>
          <w:rFonts w:cs="Times New Roman"/>
          <w:sz w:val="24"/>
          <w:szCs w:val="24"/>
        </w:rPr>
        <w:t xml:space="preserve">, no. 28. </w:t>
      </w:r>
    </w:p>
  </w:footnote>
  <w:footnote w:id="77">
    <w:p w14:paraId="301BB7A7"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ibid., no. 15. </w:t>
      </w:r>
    </w:p>
  </w:footnote>
  <w:footnote w:id="78">
    <w:p w14:paraId="32615CB5"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Edward Schillebeeckx, </w:t>
      </w:r>
      <w:r w:rsidRPr="00F060A3">
        <w:rPr>
          <w:rFonts w:cs="Times New Roman"/>
          <w:i/>
          <w:iCs/>
          <w:sz w:val="24"/>
          <w:szCs w:val="24"/>
        </w:rPr>
        <w:t xml:space="preserve">Ministry: Leadership in the Community of Jesus Christ, </w:t>
      </w:r>
      <w:r w:rsidRPr="00F060A3">
        <w:rPr>
          <w:rFonts w:cs="Times New Roman"/>
          <w:sz w:val="24"/>
          <w:szCs w:val="24"/>
        </w:rPr>
        <w:t>trans. J. Bowden (New York: Crossroad, 1981)</w:t>
      </w:r>
      <w:r w:rsidRPr="00F060A3">
        <w:rPr>
          <w:rFonts w:cs="Times New Roman"/>
          <w:i/>
          <w:iCs/>
          <w:sz w:val="24"/>
          <w:szCs w:val="24"/>
        </w:rPr>
        <w:t xml:space="preserve"> </w:t>
      </w:r>
      <w:r w:rsidRPr="00F060A3">
        <w:rPr>
          <w:rFonts w:cs="Times New Roman"/>
          <w:sz w:val="24"/>
          <w:szCs w:val="24"/>
        </w:rPr>
        <w:t xml:space="preserve">48–50. While his inference to a universal presidency at the Eucharist is a fallacious one, the concept of “concelebration” among all Christians is, however, valid, although it needs be clarified by a distinction in </w:t>
      </w:r>
      <w:r w:rsidRPr="00F060A3">
        <w:rPr>
          <w:rFonts w:cs="Times New Roman"/>
          <w:i/>
          <w:iCs/>
          <w:sz w:val="24"/>
          <w:szCs w:val="24"/>
        </w:rPr>
        <w:t>ordines</w:t>
      </w:r>
      <w:r w:rsidRPr="00F060A3">
        <w:rPr>
          <w:rFonts w:cs="Times New Roman"/>
          <w:sz w:val="24"/>
          <w:szCs w:val="24"/>
        </w:rPr>
        <w:t xml:space="preserve"> and their roles at the Eucharist which was equally part of that early ecclesial consciousness. </w:t>
      </w:r>
    </w:p>
  </w:footnote>
  <w:footnote w:id="79">
    <w:p w14:paraId="5C2E59D4" w14:textId="77777777" w:rsidR="00775CF4" w:rsidRPr="00611405" w:rsidRDefault="00775CF4" w:rsidP="00775CF4">
      <w:pPr>
        <w:pStyle w:val="FootnoteText"/>
        <w:jc w:val="both"/>
        <w:rPr>
          <w:sz w:val="24"/>
        </w:rPr>
      </w:pPr>
      <w:r w:rsidRPr="00F060A3">
        <w:rPr>
          <w:rStyle w:val="FootnoteCharacters"/>
          <w:rFonts w:cs="Times New Roman"/>
          <w:sz w:val="24"/>
          <w:szCs w:val="24"/>
        </w:rPr>
        <w:footnoteRef/>
      </w:r>
      <w:r w:rsidRPr="00611405">
        <w:rPr>
          <w:i/>
          <w:sz w:val="24"/>
        </w:rPr>
        <w:t xml:space="preserve"> </w:t>
      </w:r>
      <w:r w:rsidRPr="00611405">
        <w:rPr>
          <w:sz w:val="24"/>
        </w:rPr>
        <w:t xml:space="preserve">See </w:t>
      </w:r>
      <w:r w:rsidRPr="00611405">
        <w:rPr>
          <w:i/>
          <w:sz w:val="24"/>
        </w:rPr>
        <w:t xml:space="preserve">Mediator Dei, </w:t>
      </w:r>
      <w:r w:rsidRPr="00611405">
        <w:rPr>
          <w:sz w:val="24"/>
        </w:rPr>
        <w:t>nos. 92–93.</w:t>
      </w:r>
    </w:p>
  </w:footnote>
  <w:footnote w:id="80">
    <w:p w14:paraId="7938FE31" w14:textId="77777777" w:rsidR="00775CF4" w:rsidRPr="00F060A3" w:rsidRDefault="00775CF4" w:rsidP="00775CF4">
      <w:pPr>
        <w:pStyle w:val="FootnoteText"/>
        <w:jc w:val="both"/>
        <w:rPr>
          <w:rFonts w:cs="Times New Roman"/>
          <w:sz w:val="24"/>
          <w:szCs w:val="24"/>
          <w:lang w:val="en-GB"/>
        </w:rPr>
      </w:pPr>
      <w:r w:rsidRPr="00F060A3">
        <w:rPr>
          <w:rStyle w:val="FootnoteCharacters"/>
          <w:rFonts w:cs="Times New Roman"/>
          <w:sz w:val="24"/>
          <w:szCs w:val="24"/>
        </w:rPr>
        <w:footnoteRef/>
      </w:r>
      <w:r w:rsidRPr="00611405">
        <w:rPr>
          <w:sz w:val="24"/>
        </w:rPr>
        <w:t xml:space="preserve"> Ibid., no. 80. </w:t>
      </w:r>
      <w:r w:rsidRPr="00F060A3">
        <w:rPr>
          <w:rFonts w:cs="Times New Roman"/>
          <w:sz w:val="24"/>
          <w:szCs w:val="24"/>
          <w:lang w:val="en-GB"/>
        </w:rPr>
        <w:t xml:space="preserve">Latin original from </w:t>
      </w:r>
      <w:r w:rsidRPr="00F060A3">
        <w:rPr>
          <w:rFonts w:cs="Times New Roman"/>
          <w:i/>
          <w:iCs/>
          <w:sz w:val="24"/>
          <w:szCs w:val="24"/>
          <w:lang w:val="en-GB"/>
        </w:rPr>
        <w:t>Acta Apostolicae Sedis</w:t>
      </w:r>
      <w:r w:rsidRPr="00F060A3">
        <w:rPr>
          <w:rFonts w:cs="Times New Roman"/>
          <w:sz w:val="24"/>
          <w:szCs w:val="24"/>
          <w:lang w:val="en-GB"/>
        </w:rPr>
        <w:t xml:space="preserve"> 39 (1947) 552.</w:t>
      </w:r>
    </w:p>
  </w:footnote>
  <w:footnote w:id="81">
    <w:p w14:paraId="1A7C9863" w14:textId="77777777" w:rsidR="00775CF4" w:rsidRPr="00F060A3" w:rsidRDefault="00775CF4" w:rsidP="00775CF4">
      <w:pPr>
        <w:pStyle w:val="FootnoteText"/>
        <w:jc w:val="both"/>
        <w:rPr>
          <w:rFonts w:cs="Times New Roman"/>
          <w:sz w:val="24"/>
          <w:szCs w:val="24"/>
          <w:lang w:val="en-GB"/>
        </w:rPr>
      </w:pPr>
      <w:r w:rsidRPr="00F060A3">
        <w:rPr>
          <w:rStyle w:val="FootnoteCharacters"/>
          <w:rFonts w:cs="Times New Roman"/>
          <w:sz w:val="24"/>
          <w:szCs w:val="24"/>
        </w:rPr>
        <w:footnoteRef/>
      </w:r>
      <w:r w:rsidRPr="00F060A3">
        <w:rPr>
          <w:rFonts w:cs="Times New Roman"/>
          <w:sz w:val="24"/>
          <w:szCs w:val="24"/>
          <w:lang w:val="en-GB"/>
        </w:rPr>
        <w:t xml:space="preserve"> Ibid., no. 93. </w:t>
      </w:r>
    </w:p>
  </w:footnote>
  <w:footnote w:id="82">
    <w:p w14:paraId="38EEC7BC" w14:textId="77777777" w:rsidR="00775CF4" w:rsidRPr="00F060A3" w:rsidRDefault="00775CF4" w:rsidP="00775CF4">
      <w:pPr>
        <w:pStyle w:val="FootnoteText"/>
        <w:jc w:val="both"/>
        <w:rPr>
          <w:rFonts w:cs="Times New Roman"/>
          <w:sz w:val="24"/>
          <w:szCs w:val="24"/>
          <w:lang w:val="en-GB"/>
        </w:rPr>
      </w:pPr>
      <w:r w:rsidRPr="00F060A3">
        <w:rPr>
          <w:rStyle w:val="FootnoteCharacters"/>
          <w:rFonts w:cs="Times New Roman"/>
          <w:sz w:val="24"/>
          <w:szCs w:val="24"/>
        </w:rPr>
        <w:footnoteRef/>
      </w:r>
      <w:r w:rsidRPr="00F060A3">
        <w:rPr>
          <w:rFonts w:cs="Times New Roman"/>
          <w:i/>
          <w:iCs/>
          <w:sz w:val="24"/>
          <w:szCs w:val="24"/>
          <w:lang w:val="en-GB"/>
        </w:rPr>
        <w:t xml:space="preserve"> </w:t>
      </w:r>
      <w:r w:rsidRPr="00F060A3">
        <w:rPr>
          <w:rFonts w:cs="Times New Roman"/>
          <w:sz w:val="24"/>
          <w:szCs w:val="24"/>
          <w:lang w:val="en-GB"/>
        </w:rPr>
        <w:t>See ibid., nos. 103–104.</w:t>
      </w:r>
    </w:p>
  </w:footnote>
  <w:footnote w:id="83">
    <w:p w14:paraId="3B7152DC" w14:textId="77777777" w:rsidR="00775CF4" w:rsidRPr="00F060A3" w:rsidRDefault="00775CF4" w:rsidP="00775CF4">
      <w:pPr>
        <w:pStyle w:val="FootnoteText"/>
        <w:jc w:val="both"/>
        <w:rPr>
          <w:rFonts w:cs="Times New Roman"/>
          <w:sz w:val="24"/>
          <w:szCs w:val="24"/>
          <w:lang w:val="en-GB"/>
        </w:rPr>
      </w:pPr>
      <w:r w:rsidRPr="00F060A3">
        <w:rPr>
          <w:rStyle w:val="FootnoteCharacters"/>
          <w:rFonts w:cs="Times New Roman"/>
          <w:sz w:val="24"/>
          <w:szCs w:val="24"/>
        </w:rPr>
        <w:footnoteRef/>
      </w:r>
      <w:r w:rsidRPr="00F060A3">
        <w:rPr>
          <w:rFonts w:cs="Times New Roman"/>
          <w:sz w:val="24"/>
          <w:szCs w:val="24"/>
          <w:lang w:val="en-GB"/>
        </w:rPr>
        <w:t xml:space="preserve"> </w:t>
      </w:r>
      <w:r w:rsidRPr="00F060A3">
        <w:rPr>
          <w:rFonts w:cs="Times New Roman"/>
          <w:i/>
          <w:iCs/>
          <w:sz w:val="24"/>
          <w:szCs w:val="24"/>
          <w:lang w:val="en-GB"/>
        </w:rPr>
        <w:t xml:space="preserve">Mediator Dei, </w:t>
      </w:r>
      <w:r w:rsidRPr="00F060A3">
        <w:rPr>
          <w:rFonts w:cs="Times New Roman"/>
          <w:sz w:val="24"/>
          <w:szCs w:val="24"/>
          <w:lang w:val="en-GB"/>
        </w:rPr>
        <w:t>no. 93: “… idcirco quod sua vota laudis, impetrationis, expiationis gratiarumque actionis una cum votis seu mentis intentione sacerdotis, immo Summi ipsius Sacerdotis, eo fine coniungit, ut eadem in ipsa victimae oblatione, externo quoque sacerdotis ritu, Deo Patri exhibeantur” (</w:t>
      </w:r>
      <w:r w:rsidRPr="00F060A3">
        <w:rPr>
          <w:rFonts w:cs="Times New Roman"/>
          <w:i/>
          <w:iCs/>
          <w:sz w:val="24"/>
          <w:szCs w:val="24"/>
          <w:lang w:val="en-GB"/>
        </w:rPr>
        <w:t xml:space="preserve">Acta Apostolicae Sedis </w:t>
      </w:r>
      <w:r w:rsidRPr="00F060A3">
        <w:rPr>
          <w:rFonts w:cs="Times New Roman"/>
          <w:sz w:val="24"/>
          <w:szCs w:val="24"/>
          <w:lang w:val="en-GB"/>
        </w:rPr>
        <w:t>39 [1947] 556).</w:t>
      </w:r>
    </w:p>
  </w:footnote>
  <w:footnote w:id="84">
    <w:p w14:paraId="05849A6B" w14:textId="77777777" w:rsidR="00775CF4" w:rsidRPr="00F060A3" w:rsidRDefault="00775CF4" w:rsidP="00775CF4">
      <w:pPr>
        <w:pStyle w:val="FootnoteText"/>
        <w:jc w:val="both"/>
        <w:rPr>
          <w:rFonts w:cs="Times New Roman"/>
          <w:sz w:val="24"/>
          <w:szCs w:val="24"/>
        </w:rPr>
      </w:pPr>
      <w:r w:rsidRPr="00F060A3">
        <w:rPr>
          <w:rStyle w:val="FootnoteReference"/>
          <w:rFonts w:cs="Times New Roman"/>
          <w:sz w:val="24"/>
          <w:szCs w:val="24"/>
          <w:vertAlign w:val="baseline"/>
        </w:rPr>
        <w:footnoteRef/>
      </w:r>
      <w:r>
        <w:rPr>
          <w:rFonts w:cs="Times New Roman"/>
          <w:sz w:val="24"/>
          <w:szCs w:val="24"/>
        </w:rPr>
        <w:t xml:space="preserve"> See </w:t>
      </w:r>
      <w:r w:rsidRPr="00AA7DE6">
        <w:rPr>
          <w:rFonts w:cs="Times New Roman"/>
          <w:i/>
          <w:iCs/>
          <w:sz w:val="24"/>
          <w:szCs w:val="24"/>
        </w:rPr>
        <w:t>Hieratikon: Liturgy Book for Priest and Deacon</w:t>
      </w:r>
      <w:r w:rsidRPr="00611405">
        <w:rPr>
          <w:rFonts w:cs="Times New Roman"/>
          <w:sz w:val="24"/>
          <w:szCs w:val="24"/>
        </w:rPr>
        <w:t>, ed. Hieromonk Herman</w:t>
      </w:r>
      <w:r>
        <w:rPr>
          <w:rFonts w:cs="Times New Roman"/>
          <w:sz w:val="24"/>
          <w:szCs w:val="24"/>
        </w:rPr>
        <w:t xml:space="preserve"> </w:t>
      </w:r>
      <w:r w:rsidRPr="00611405">
        <w:rPr>
          <w:rFonts w:cs="Times New Roman"/>
          <w:sz w:val="24"/>
          <w:szCs w:val="24"/>
        </w:rPr>
        <w:t>and Vitaly Permiakov</w:t>
      </w:r>
      <w:r>
        <w:rPr>
          <w:rFonts w:cs="Times New Roman"/>
          <w:sz w:val="24"/>
          <w:szCs w:val="24"/>
        </w:rPr>
        <w:t xml:space="preserve"> </w:t>
      </w:r>
      <w:r w:rsidRPr="00F060A3">
        <w:rPr>
          <w:rFonts w:cs="Times New Roman"/>
          <w:sz w:val="24"/>
          <w:szCs w:val="24"/>
        </w:rPr>
        <w:t>(South Canaan, PA: St. Tikhon’s Monastery Press, 2017)</w:t>
      </w:r>
      <w:r>
        <w:rPr>
          <w:rFonts w:cs="Times New Roman"/>
          <w:sz w:val="24"/>
          <w:szCs w:val="24"/>
        </w:rPr>
        <w:t xml:space="preserve"> vol. II,</w:t>
      </w:r>
      <w:r w:rsidRPr="00F060A3">
        <w:rPr>
          <w:rFonts w:cs="Times New Roman"/>
          <w:sz w:val="24"/>
          <w:szCs w:val="24"/>
        </w:rPr>
        <w:t xml:space="preserve"> 123.</w:t>
      </w:r>
    </w:p>
  </w:footnote>
  <w:footnote w:id="85">
    <w:p w14:paraId="4B249BD7" w14:textId="77777777" w:rsidR="00775CF4" w:rsidRPr="00FA7EA4" w:rsidRDefault="00775CF4" w:rsidP="00775CF4">
      <w:pPr>
        <w:pStyle w:val="FootnoteText"/>
        <w:jc w:val="both"/>
        <w:rPr>
          <w:rFonts w:cs="Times New Roman"/>
          <w:sz w:val="24"/>
          <w:szCs w:val="24"/>
        </w:rPr>
      </w:pPr>
      <w:r w:rsidRPr="00F060A3">
        <w:rPr>
          <w:rStyle w:val="FootnoteReference"/>
          <w:rFonts w:cs="Times New Roman"/>
          <w:sz w:val="24"/>
          <w:szCs w:val="24"/>
          <w:vertAlign w:val="baseline"/>
        </w:rPr>
        <w:footnoteRef/>
      </w:r>
      <w:r w:rsidRPr="00F060A3">
        <w:rPr>
          <w:rFonts w:cs="Times New Roman"/>
          <w:sz w:val="24"/>
          <w:szCs w:val="24"/>
        </w:rPr>
        <w:t xml:space="preserve"> It is worth noting, however, that the form of the Mass taken as normative for the reform was not the pontifical Mass, but the sung Mass or </w:t>
      </w:r>
      <w:r w:rsidRPr="00F060A3">
        <w:rPr>
          <w:rFonts w:cs="Times New Roman"/>
          <w:i/>
          <w:iCs/>
          <w:sz w:val="24"/>
          <w:szCs w:val="24"/>
        </w:rPr>
        <w:t>Missa cantata</w:t>
      </w:r>
      <w:r w:rsidRPr="00F060A3">
        <w:rPr>
          <w:rFonts w:cs="Times New Roman"/>
          <w:sz w:val="24"/>
          <w:szCs w:val="24"/>
        </w:rPr>
        <w:t xml:space="preserve">. </w:t>
      </w:r>
      <w:r w:rsidRPr="00F060A3">
        <w:rPr>
          <w:rFonts w:cs="Times New Roman"/>
          <w:sz w:val="24"/>
          <w:szCs w:val="24"/>
          <w:lang w:val="it-IT"/>
        </w:rPr>
        <w:t>See Annibale Bugnini</w:t>
      </w:r>
      <w:r w:rsidRPr="00F060A3">
        <w:rPr>
          <w:rFonts w:cs="Times New Roman"/>
          <w:i/>
          <w:iCs/>
          <w:sz w:val="24"/>
          <w:szCs w:val="24"/>
          <w:lang w:val="it-IT"/>
        </w:rPr>
        <w:t>, La riforma liturgica</w:t>
      </w:r>
      <w:r w:rsidRPr="00F060A3">
        <w:rPr>
          <w:rFonts w:cs="Times New Roman"/>
          <w:sz w:val="24"/>
          <w:szCs w:val="24"/>
          <w:lang w:val="it-IT"/>
        </w:rPr>
        <w:t xml:space="preserve">, </w:t>
      </w:r>
      <w:r>
        <w:rPr>
          <w:rFonts w:cs="Times New Roman"/>
          <w:sz w:val="24"/>
          <w:szCs w:val="24"/>
          <w:lang w:val="it-IT"/>
        </w:rPr>
        <w:t>N</w:t>
      </w:r>
      <w:r w:rsidRPr="002E59AE">
        <w:rPr>
          <w:rFonts w:cs="Times New Roman"/>
          <w:sz w:val="24"/>
          <w:szCs w:val="24"/>
          <w:lang w:val="it-IT"/>
        </w:rPr>
        <w:t xml:space="preserve">uova edizione, </w:t>
      </w:r>
      <w:r>
        <w:rPr>
          <w:rFonts w:cs="Times New Roman"/>
          <w:sz w:val="24"/>
          <w:szCs w:val="24"/>
          <w:lang w:val="it-IT"/>
        </w:rPr>
        <w:t>B</w:t>
      </w:r>
      <w:r w:rsidRPr="002E59AE">
        <w:rPr>
          <w:rFonts w:cs="Times New Roman"/>
          <w:sz w:val="24"/>
          <w:szCs w:val="24"/>
          <w:lang w:val="it-IT"/>
        </w:rPr>
        <w:t xml:space="preserve">ibliotheca </w:t>
      </w:r>
      <w:r>
        <w:rPr>
          <w:rFonts w:cs="Times New Roman"/>
          <w:sz w:val="24"/>
          <w:szCs w:val="24"/>
          <w:lang w:val="it-IT"/>
        </w:rPr>
        <w:t>E</w:t>
      </w:r>
      <w:r w:rsidRPr="002E59AE">
        <w:rPr>
          <w:rFonts w:cs="Times New Roman"/>
          <w:sz w:val="24"/>
          <w:szCs w:val="24"/>
          <w:lang w:val="it-IT"/>
        </w:rPr>
        <w:t xml:space="preserve">phemerides </w:t>
      </w:r>
      <w:r>
        <w:rPr>
          <w:rFonts w:cs="Times New Roman"/>
          <w:sz w:val="24"/>
          <w:szCs w:val="24"/>
          <w:lang w:val="it-IT"/>
        </w:rPr>
        <w:t>L</w:t>
      </w:r>
      <w:r w:rsidRPr="002E59AE">
        <w:rPr>
          <w:rFonts w:cs="Times New Roman"/>
          <w:sz w:val="24"/>
          <w:szCs w:val="24"/>
          <w:lang w:val="it-IT"/>
        </w:rPr>
        <w:t xml:space="preserve">iturgicae: </w:t>
      </w:r>
      <w:r>
        <w:rPr>
          <w:rFonts w:cs="Times New Roman"/>
          <w:sz w:val="24"/>
          <w:szCs w:val="24"/>
          <w:lang w:val="it-IT"/>
        </w:rPr>
        <w:t>S</w:t>
      </w:r>
      <w:r w:rsidRPr="002E59AE">
        <w:rPr>
          <w:rFonts w:cs="Times New Roman"/>
          <w:sz w:val="24"/>
          <w:szCs w:val="24"/>
          <w:lang w:val="it-IT"/>
        </w:rPr>
        <w:t>ubsidia 30 (Rom</w:t>
      </w:r>
      <w:r>
        <w:rPr>
          <w:rFonts w:cs="Times New Roman"/>
          <w:sz w:val="24"/>
          <w:szCs w:val="24"/>
          <w:lang w:val="it-IT"/>
        </w:rPr>
        <w:t>e</w:t>
      </w:r>
      <w:r w:rsidRPr="002E59AE">
        <w:rPr>
          <w:rFonts w:cs="Times New Roman"/>
          <w:sz w:val="24"/>
          <w:szCs w:val="24"/>
          <w:lang w:val="it-IT"/>
        </w:rPr>
        <w:t xml:space="preserve">: </w:t>
      </w:r>
      <w:r>
        <w:rPr>
          <w:rFonts w:cs="Times New Roman"/>
          <w:sz w:val="24"/>
          <w:szCs w:val="24"/>
          <w:lang w:val="it-IT"/>
        </w:rPr>
        <w:t>C</w:t>
      </w:r>
      <w:r w:rsidRPr="002E59AE">
        <w:rPr>
          <w:rFonts w:cs="Times New Roman"/>
          <w:sz w:val="24"/>
          <w:szCs w:val="24"/>
          <w:lang w:val="it-IT"/>
        </w:rPr>
        <w:t>.</w:t>
      </w:r>
      <w:r>
        <w:rPr>
          <w:rFonts w:cs="Times New Roman"/>
          <w:sz w:val="24"/>
          <w:szCs w:val="24"/>
          <w:lang w:val="it-IT"/>
        </w:rPr>
        <w:t>L</w:t>
      </w:r>
      <w:r w:rsidRPr="002E59AE">
        <w:rPr>
          <w:rFonts w:cs="Times New Roman"/>
          <w:sz w:val="24"/>
          <w:szCs w:val="24"/>
          <w:lang w:val="it-IT"/>
        </w:rPr>
        <w:t>.</w:t>
      </w:r>
      <w:r>
        <w:rPr>
          <w:rFonts w:cs="Times New Roman"/>
          <w:sz w:val="24"/>
          <w:szCs w:val="24"/>
          <w:lang w:val="it-IT"/>
        </w:rPr>
        <w:t>V</w:t>
      </w:r>
      <w:r w:rsidRPr="002E59AE">
        <w:rPr>
          <w:rFonts w:cs="Times New Roman"/>
          <w:sz w:val="24"/>
          <w:szCs w:val="24"/>
          <w:lang w:val="it-IT"/>
        </w:rPr>
        <w:t>.—</w:t>
      </w:r>
      <w:r w:rsidRPr="007D7F74">
        <w:rPr>
          <w:rFonts w:cs="Times New Roman"/>
          <w:sz w:val="24"/>
          <w:szCs w:val="24"/>
          <w:lang w:val="it-IT"/>
        </w:rPr>
        <w:t xml:space="preserve">Edizioni Liturgiche, 1997) 338. </w:t>
      </w:r>
      <w:r w:rsidRPr="007D7F74">
        <w:rPr>
          <w:rFonts w:cs="Times New Roman"/>
          <w:sz w:val="24"/>
          <w:szCs w:val="24"/>
        </w:rPr>
        <w:t xml:space="preserve">The pontifical Mass is consequently much simplified on these lines, but retains the basic principle that distinct grades of orders have distinct Eucharistic roles.   </w:t>
      </w:r>
    </w:p>
  </w:footnote>
  <w:footnote w:id="86">
    <w:p w14:paraId="567B5DF2" w14:textId="77777777" w:rsidR="00775CF4" w:rsidRPr="00FA7EA4" w:rsidRDefault="00775CF4" w:rsidP="00775CF4">
      <w:pPr>
        <w:pStyle w:val="FootnoteText"/>
        <w:jc w:val="both"/>
        <w:rPr>
          <w:sz w:val="24"/>
          <w:szCs w:val="24"/>
          <w:lang w:val="fr-FR"/>
        </w:rPr>
      </w:pPr>
      <w:r w:rsidRPr="007D7F74">
        <w:rPr>
          <w:rStyle w:val="FootnoteReference"/>
          <w:rFonts w:cs="Times New Roman"/>
          <w:sz w:val="24"/>
          <w:szCs w:val="24"/>
          <w:vertAlign w:val="baseline"/>
        </w:rPr>
        <w:footnoteRef/>
      </w:r>
      <w:r w:rsidRPr="00FA7EA4">
        <w:rPr>
          <w:rFonts w:cs="Times New Roman"/>
          <w:sz w:val="24"/>
          <w:szCs w:val="24"/>
          <w:lang w:val="fr-FR"/>
        </w:rPr>
        <w:t xml:space="preserve"> </w:t>
      </w:r>
      <w:r w:rsidRPr="00FA7EA4">
        <w:rPr>
          <w:i/>
          <w:iCs/>
          <w:sz w:val="24"/>
          <w:szCs w:val="24"/>
          <w:lang w:val="fr-FR"/>
        </w:rPr>
        <w:t xml:space="preserve">Ordo Romanus </w:t>
      </w:r>
      <w:r w:rsidRPr="00FA7EA4">
        <w:rPr>
          <w:sz w:val="24"/>
          <w:szCs w:val="24"/>
          <w:lang w:val="fr-FR"/>
        </w:rPr>
        <w:t xml:space="preserve">I, 79–84: ed. </w:t>
      </w:r>
      <w:r w:rsidRPr="007D7F74">
        <w:rPr>
          <w:sz w:val="24"/>
          <w:szCs w:val="24"/>
          <w:lang w:val="fr-FR"/>
        </w:rPr>
        <w:t>Michel Andrieu,</w:t>
      </w:r>
      <w:r w:rsidRPr="00FA7EA4">
        <w:rPr>
          <w:sz w:val="24"/>
          <w:szCs w:val="24"/>
          <w:lang w:val="fr-FR"/>
        </w:rPr>
        <w:t xml:space="preserve"> </w:t>
      </w:r>
      <w:r w:rsidRPr="00FA7EA4">
        <w:rPr>
          <w:i/>
          <w:sz w:val="24"/>
          <w:szCs w:val="24"/>
          <w:lang w:val="fr-FR"/>
        </w:rPr>
        <w:t>Les Ordines Romani du haut moyen âge,.II: Les textes (Ordines I–XIII)</w:t>
      </w:r>
      <w:r w:rsidRPr="00FA7EA4">
        <w:rPr>
          <w:sz w:val="24"/>
          <w:szCs w:val="24"/>
          <w:lang w:val="fr-FR"/>
        </w:rPr>
        <w:t>, Spicilegium Sacrum Lovaniense 23 (Louvain: Peeters, 1948) 93–94.</w:t>
      </w:r>
    </w:p>
  </w:footnote>
  <w:footnote w:id="87">
    <w:p w14:paraId="55CFFAC2" w14:textId="77777777" w:rsidR="00775CF4" w:rsidRPr="00F060A3" w:rsidRDefault="00775CF4" w:rsidP="00775CF4">
      <w:pPr>
        <w:pStyle w:val="FootnoteText"/>
        <w:jc w:val="both"/>
        <w:rPr>
          <w:rFonts w:cs="Times New Roman"/>
          <w:sz w:val="24"/>
          <w:szCs w:val="24"/>
        </w:rPr>
      </w:pPr>
      <w:r w:rsidRPr="007D7F74">
        <w:rPr>
          <w:rStyle w:val="FootnoteCharacters"/>
          <w:rFonts w:cs="Times New Roman"/>
          <w:sz w:val="24"/>
          <w:szCs w:val="24"/>
        </w:rPr>
        <w:footnoteRef/>
      </w:r>
      <w:r w:rsidRPr="007D7F74">
        <w:rPr>
          <w:rFonts w:cs="Times New Roman"/>
          <w:sz w:val="24"/>
          <w:szCs w:val="24"/>
        </w:rPr>
        <w:t xml:space="preserve"> </w:t>
      </w:r>
      <w:r w:rsidRPr="007D7F74">
        <w:rPr>
          <w:rFonts w:cs="Times New Roman"/>
          <w:color w:val="000000"/>
          <w:sz w:val="24"/>
          <w:szCs w:val="24"/>
        </w:rPr>
        <w:t xml:space="preserve">Synod of Laodicea, canon 21: </w:t>
      </w:r>
      <w:r w:rsidRPr="007D7F74">
        <w:rPr>
          <w:rFonts w:cs="Times New Roman"/>
          <w:sz w:val="24"/>
          <w:szCs w:val="24"/>
        </w:rPr>
        <w:t xml:space="preserve">Lawrence J. Johnson, </w:t>
      </w:r>
      <w:r w:rsidRPr="007D7F74">
        <w:rPr>
          <w:rFonts w:cs="Times New Roman"/>
          <w:i/>
          <w:iCs/>
          <w:sz w:val="24"/>
          <w:szCs w:val="24"/>
        </w:rPr>
        <w:t>Worship in the Early Church: An Anthology of Historical Sources</w:t>
      </w:r>
      <w:r w:rsidRPr="007D7F74">
        <w:rPr>
          <w:rFonts w:cs="Times New Roman"/>
          <w:sz w:val="24"/>
          <w:szCs w:val="24"/>
        </w:rPr>
        <w:t>, 4 vol. (Collegeville, MN: Liturgical Press, 2009) vol. II, 301 (no. 1973</w:t>
      </w:r>
      <w:r w:rsidRPr="00F060A3">
        <w:rPr>
          <w:rFonts w:cs="Times New Roman"/>
          <w:sz w:val="24"/>
          <w:szCs w:val="24"/>
        </w:rPr>
        <w:t>).</w:t>
      </w:r>
    </w:p>
  </w:footnote>
  <w:footnote w:id="88">
    <w:p w14:paraId="26D3C942" w14:textId="77777777" w:rsidR="00775CF4" w:rsidRPr="00F060A3" w:rsidRDefault="00775CF4" w:rsidP="00775CF4">
      <w:pPr>
        <w:pStyle w:val="FootnoteText"/>
        <w:jc w:val="both"/>
        <w:rPr>
          <w:rFonts w:cs="Times New Roman"/>
          <w:sz w:val="24"/>
          <w:szCs w:val="24"/>
        </w:rPr>
      </w:pPr>
      <w:r w:rsidRPr="00F060A3">
        <w:rPr>
          <w:rStyle w:val="FootnoteReference"/>
          <w:rFonts w:cs="Times New Roman"/>
          <w:sz w:val="24"/>
          <w:szCs w:val="24"/>
          <w:vertAlign w:val="baseline"/>
        </w:rPr>
        <w:footnoteRef/>
      </w:r>
      <w:r w:rsidRPr="00F060A3">
        <w:rPr>
          <w:rFonts w:cs="Times New Roman"/>
          <w:sz w:val="24"/>
          <w:szCs w:val="24"/>
        </w:rPr>
        <w:t xml:space="preserve"> </w:t>
      </w:r>
      <w:r>
        <w:rPr>
          <w:rFonts w:cs="Times New Roman"/>
          <w:sz w:val="24"/>
          <w:szCs w:val="24"/>
        </w:rPr>
        <w:t xml:space="preserve">See </w:t>
      </w:r>
      <w:r w:rsidRPr="00F060A3">
        <w:rPr>
          <w:rFonts w:cs="Times New Roman"/>
          <w:sz w:val="24"/>
          <w:szCs w:val="24"/>
        </w:rPr>
        <w:t xml:space="preserve">John F. Baldovin, “The Fermentum at Rome in the Fifth Century: A Reconsideration,” in </w:t>
      </w:r>
      <w:r w:rsidRPr="00F060A3">
        <w:rPr>
          <w:rFonts w:cs="Times New Roman"/>
          <w:i/>
          <w:iCs/>
          <w:sz w:val="24"/>
          <w:szCs w:val="24"/>
        </w:rPr>
        <w:t>Worship</w:t>
      </w:r>
      <w:r w:rsidRPr="00F060A3">
        <w:rPr>
          <w:rFonts w:cs="Times New Roman"/>
          <w:sz w:val="24"/>
          <w:szCs w:val="24"/>
        </w:rPr>
        <w:t xml:space="preserve"> 79 (2005) 38–53.</w:t>
      </w:r>
    </w:p>
  </w:footnote>
  <w:footnote w:id="89">
    <w:p w14:paraId="25DCA838" w14:textId="77777777" w:rsidR="00775CF4" w:rsidRPr="00F060A3" w:rsidRDefault="00775CF4" w:rsidP="00775CF4">
      <w:pPr>
        <w:pStyle w:val="FootnoteText"/>
        <w:jc w:val="both"/>
        <w:rPr>
          <w:rFonts w:cs="Times New Roman"/>
          <w:sz w:val="24"/>
          <w:szCs w:val="24"/>
        </w:rPr>
      </w:pPr>
      <w:r w:rsidRPr="00F060A3">
        <w:rPr>
          <w:rStyle w:val="FootnoteReference"/>
          <w:rFonts w:cs="Times New Roman"/>
          <w:sz w:val="24"/>
          <w:szCs w:val="24"/>
          <w:vertAlign w:val="baseline"/>
        </w:rPr>
        <w:footnoteRef/>
      </w:r>
      <w:r w:rsidRPr="00F060A3">
        <w:rPr>
          <w:rFonts w:cs="Times New Roman"/>
          <w:sz w:val="24"/>
          <w:szCs w:val="24"/>
        </w:rPr>
        <w:t xml:space="preserve"> It seems to me the distinction between the different moments of prayer (</w:t>
      </w:r>
      <w:r>
        <w:rPr>
          <w:rFonts w:cs="Times New Roman"/>
          <w:sz w:val="24"/>
          <w:szCs w:val="24"/>
        </w:rPr>
        <w:t>i</w:t>
      </w:r>
      <w:r w:rsidRPr="00F060A3">
        <w:rPr>
          <w:rFonts w:cs="Times New Roman"/>
          <w:sz w:val="24"/>
          <w:szCs w:val="24"/>
        </w:rPr>
        <w:t xml:space="preserve">nstitution and oblation prayers) makes for a natural division in when these different acts of consecration and offering are accomplished. The proposal is, however, compatible with the view that oblation and consecration are both accomplished by reciting the </w:t>
      </w:r>
      <w:r>
        <w:rPr>
          <w:rFonts w:cs="Times New Roman"/>
          <w:sz w:val="24"/>
          <w:szCs w:val="24"/>
        </w:rPr>
        <w:t>i</w:t>
      </w:r>
      <w:r w:rsidRPr="00F060A3">
        <w:rPr>
          <w:rFonts w:cs="Times New Roman"/>
          <w:sz w:val="24"/>
          <w:szCs w:val="24"/>
        </w:rPr>
        <w:t xml:space="preserve">nstitution </w:t>
      </w:r>
      <w:r>
        <w:rPr>
          <w:rFonts w:cs="Times New Roman"/>
          <w:sz w:val="24"/>
          <w:szCs w:val="24"/>
        </w:rPr>
        <w:t>n</w:t>
      </w:r>
      <w:r w:rsidRPr="00F060A3">
        <w:rPr>
          <w:rFonts w:cs="Times New Roman"/>
          <w:sz w:val="24"/>
          <w:szCs w:val="24"/>
        </w:rPr>
        <w:t>arrative, as long as one held that there are were two logically distinct acts occurring while one is reciting those words.</w:t>
      </w:r>
    </w:p>
  </w:footnote>
  <w:footnote w:id="90">
    <w:p w14:paraId="1D2E2B83" w14:textId="77777777" w:rsidR="00775CF4" w:rsidRPr="00C47CE1" w:rsidRDefault="00775CF4" w:rsidP="00775CF4">
      <w:pPr>
        <w:pStyle w:val="FootnoteText"/>
        <w:jc w:val="both"/>
        <w:rPr>
          <w:rFonts w:cs="Times New Roman"/>
          <w:sz w:val="24"/>
          <w:szCs w:val="24"/>
        </w:rPr>
      </w:pPr>
      <w:r w:rsidRPr="00F060A3">
        <w:rPr>
          <w:rStyle w:val="FootnoteReference"/>
          <w:rFonts w:cs="Times New Roman"/>
          <w:sz w:val="24"/>
          <w:szCs w:val="24"/>
          <w:vertAlign w:val="baseline"/>
        </w:rPr>
        <w:footnoteRef/>
      </w:r>
      <w:r w:rsidRPr="00F060A3">
        <w:rPr>
          <w:rFonts w:cs="Times New Roman"/>
          <w:sz w:val="24"/>
          <w:szCs w:val="24"/>
        </w:rPr>
        <w:t xml:space="preserve"> </w:t>
      </w:r>
      <w:r>
        <w:rPr>
          <w:rFonts w:cs="Times New Roman"/>
          <w:sz w:val="24"/>
          <w:szCs w:val="24"/>
        </w:rPr>
        <w:t xml:space="preserve">See </w:t>
      </w:r>
      <w:r w:rsidRPr="00C47CE1">
        <w:rPr>
          <w:rFonts w:cs="Times New Roman"/>
          <w:sz w:val="24"/>
          <w:szCs w:val="24"/>
        </w:rPr>
        <w:t>Code of Canon Law, can. 375 §1: “</w:t>
      </w:r>
      <w:r w:rsidRPr="00C47CE1">
        <w:rPr>
          <w:rFonts w:cs="Times New Roman"/>
          <w:sz w:val="24"/>
          <w:szCs w:val="24"/>
          <w:lang w:val="en-GB"/>
        </w:rPr>
        <w:t>Bishops, who by divine institution succeed to the place of the Apostles through the Holy Spirit who has been given to them, are constituted pastors in the Church, so that they are teachers of doctrine, priests of sacred worship, and ministers of governance.</w:t>
      </w:r>
      <w:r>
        <w:rPr>
          <w:rFonts w:cs="Times New Roman"/>
          <w:sz w:val="24"/>
          <w:szCs w:val="24"/>
          <w:lang w:val="en-GB"/>
        </w:rPr>
        <w:t xml:space="preserve">” See also </w:t>
      </w:r>
      <w:r w:rsidRPr="00F060A3">
        <w:rPr>
          <w:rFonts w:cs="Times New Roman"/>
          <w:i/>
          <w:iCs/>
          <w:sz w:val="24"/>
          <w:szCs w:val="24"/>
        </w:rPr>
        <w:t xml:space="preserve">Lumen Gentium, </w:t>
      </w:r>
      <w:r w:rsidRPr="00F060A3">
        <w:rPr>
          <w:rFonts w:cs="Times New Roman"/>
          <w:sz w:val="24"/>
          <w:szCs w:val="24"/>
        </w:rPr>
        <w:t>no. 24: “Bishops, as successors of the apostles, receive from the Lord, to whom was given all power in heaven and on earth, the mission to teach all nations and to preach the Gospel to every creature</w:t>
      </w:r>
      <w:r>
        <w:rPr>
          <w:rFonts w:cs="Times New Roman"/>
          <w:sz w:val="24"/>
          <w:szCs w:val="24"/>
        </w:rPr>
        <w:t xml:space="preserve"> </w:t>
      </w:r>
      <w:r w:rsidRPr="00F060A3">
        <w:rPr>
          <w:rFonts w:cs="Times New Roman"/>
          <w:sz w:val="24"/>
          <w:szCs w:val="24"/>
        </w:rPr>
        <w:t>….”</w:t>
      </w:r>
    </w:p>
  </w:footnote>
  <w:footnote w:id="91">
    <w:p w14:paraId="0F47F8CA"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See, e.g., Council of Trent, Session 7, </w:t>
      </w:r>
      <w:r w:rsidRPr="00F060A3">
        <w:rPr>
          <w:rFonts w:cs="Times New Roman"/>
          <w:i/>
          <w:iCs/>
          <w:sz w:val="24"/>
          <w:szCs w:val="24"/>
        </w:rPr>
        <w:t>Decree on the Sacraments</w:t>
      </w:r>
      <w:r w:rsidRPr="00F060A3">
        <w:rPr>
          <w:rFonts w:cs="Times New Roman"/>
          <w:sz w:val="24"/>
          <w:szCs w:val="24"/>
        </w:rPr>
        <w:t xml:space="preserve"> (March 3, 1547) can. 12: DH 1612</w:t>
      </w:r>
      <w:r w:rsidRPr="00F060A3">
        <w:rPr>
          <w:rFonts w:cs="Times New Roman"/>
          <w:color w:val="000000"/>
          <w:sz w:val="24"/>
          <w:szCs w:val="24"/>
        </w:rPr>
        <w:t>.</w:t>
      </w:r>
    </w:p>
  </w:footnote>
  <w:footnote w:id="92">
    <w:p w14:paraId="572019B3"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w:t>
      </w:r>
      <w:r>
        <w:rPr>
          <w:rFonts w:cs="Times New Roman"/>
          <w:sz w:val="24"/>
          <w:szCs w:val="24"/>
        </w:rPr>
        <w:t xml:space="preserve">See </w:t>
      </w:r>
      <w:r w:rsidRPr="00F060A3">
        <w:rPr>
          <w:rFonts w:cs="Times New Roman"/>
          <w:sz w:val="24"/>
          <w:szCs w:val="24"/>
        </w:rPr>
        <w:t xml:space="preserve">Innocent III, Letter </w:t>
      </w:r>
      <w:r w:rsidRPr="00F060A3">
        <w:rPr>
          <w:rFonts w:cs="Times New Roman"/>
          <w:i/>
          <w:iCs/>
          <w:sz w:val="24"/>
          <w:szCs w:val="24"/>
        </w:rPr>
        <w:t xml:space="preserve">Eius exemplo </w:t>
      </w:r>
      <w:r w:rsidRPr="00F060A3">
        <w:rPr>
          <w:rFonts w:cs="Times New Roman"/>
          <w:sz w:val="24"/>
          <w:szCs w:val="24"/>
        </w:rPr>
        <w:t>to the Archbishop of Tarragona (December 18, 1208): DH 793.</w:t>
      </w:r>
    </w:p>
  </w:footnote>
  <w:footnote w:id="93">
    <w:p w14:paraId="0586CA56" w14:textId="77777777" w:rsidR="00775CF4" w:rsidRPr="00040A10" w:rsidRDefault="00775CF4" w:rsidP="00775CF4">
      <w:pPr>
        <w:pStyle w:val="FootnoteText"/>
        <w:jc w:val="both"/>
        <w:rPr>
          <w:sz w:val="24"/>
          <w:lang w:val="fr-FR"/>
        </w:rPr>
      </w:pPr>
      <w:r w:rsidRPr="00F060A3">
        <w:rPr>
          <w:rStyle w:val="FootnoteCharacters"/>
          <w:rFonts w:cs="Times New Roman"/>
          <w:sz w:val="24"/>
          <w:szCs w:val="24"/>
        </w:rPr>
        <w:footnoteRef/>
      </w:r>
      <w:r w:rsidRPr="00F060A3">
        <w:rPr>
          <w:rFonts w:cs="Times New Roman"/>
          <w:color w:val="002200"/>
          <w:sz w:val="24"/>
          <w:szCs w:val="24"/>
        </w:rPr>
        <w:t xml:space="preserve"> ST, III, q. 82, a. 7, resp.</w:t>
      </w:r>
      <w:r>
        <w:rPr>
          <w:rFonts w:cs="Times New Roman"/>
          <w:color w:val="002200"/>
          <w:sz w:val="24"/>
          <w:szCs w:val="24"/>
        </w:rPr>
        <w:t>:</w:t>
      </w:r>
      <w:r w:rsidRPr="00F060A3">
        <w:rPr>
          <w:rFonts w:cs="Times New Roman"/>
          <w:color w:val="002200"/>
          <w:sz w:val="24"/>
          <w:szCs w:val="24"/>
        </w:rPr>
        <w:t xml:space="preserve"> </w:t>
      </w:r>
      <w:r w:rsidRPr="00040A10">
        <w:rPr>
          <w:color w:val="002200"/>
          <w:sz w:val="24"/>
          <w:lang w:val="fr-FR"/>
        </w:rPr>
        <w:t>“Et ideo fructum sacrificii non percipiunt, quod est sacrificium spirituale.”</w:t>
      </w:r>
      <w:r w:rsidRPr="00040A10">
        <w:rPr>
          <w:sz w:val="24"/>
          <w:lang w:val="fr-FR"/>
        </w:rPr>
        <w:t xml:space="preserve"> </w:t>
      </w:r>
    </w:p>
  </w:footnote>
  <w:footnote w:id="94">
    <w:p w14:paraId="1F0D04B5" w14:textId="77777777" w:rsidR="00775CF4" w:rsidRPr="00040A10" w:rsidRDefault="00775CF4" w:rsidP="00775CF4">
      <w:pPr>
        <w:pStyle w:val="FootnoteText"/>
        <w:jc w:val="both"/>
        <w:rPr>
          <w:sz w:val="24"/>
          <w:lang w:val="en-GB"/>
        </w:rPr>
      </w:pPr>
      <w:r w:rsidRPr="00F060A3">
        <w:rPr>
          <w:rStyle w:val="FootnoteCharacters"/>
          <w:rFonts w:cs="Times New Roman"/>
          <w:sz w:val="24"/>
          <w:szCs w:val="24"/>
        </w:rPr>
        <w:footnoteRef/>
      </w:r>
      <w:r w:rsidRPr="00F060A3">
        <w:rPr>
          <w:rFonts w:cs="Times New Roman"/>
          <w:color w:val="002200"/>
          <w:sz w:val="24"/>
          <w:szCs w:val="24"/>
          <w:lang w:val="en-GB"/>
        </w:rPr>
        <w:t xml:space="preserve"> ST, III, q. 82, a. 7, ad. 1:</w:t>
      </w:r>
      <w:r>
        <w:rPr>
          <w:rFonts w:cs="Times New Roman"/>
          <w:color w:val="002200"/>
          <w:sz w:val="24"/>
          <w:szCs w:val="24"/>
          <w:lang w:val="en-GB"/>
        </w:rPr>
        <w:t xml:space="preserve"> “</w:t>
      </w:r>
      <w:r w:rsidRPr="00F060A3">
        <w:rPr>
          <w:rFonts w:cs="Times New Roman"/>
          <w:color w:val="002200"/>
          <w:sz w:val="24"/>
          <w:szCs w:val="24"/>
          <w:lang w:val="en-GB"/>
        </w:rPr>
        <w:t xml:space="preserve">... non recte extra Ecclesiam sacrificium offertur. </w:t>
      </w:r>
      <w:r w:rsidRPr="00FA7EA4">
        <w:rPr>
          <w:color w:val="002200"/>
          <w:sz w:val="24"/>
          <w:lang w:val="en-GB"/>
        </w:rPr>
        <w:t xml:space="preserve">Unde extra Ecclesiam non potest esse spirituale sacrificium, quod est verum veritate fructus, licet sit verum veritate sacramenti ....” </w:t>
      </w:r>
      <w:r w:rsidRPr="00040A10">
        <w:rPr>
          <w:color w:val="002200"/>
          <w:sz w:val="24"/>
          <w:lang w:val="en-GB"/>
        </w:rPr>
        <w:t>See also ad. 3: “sed quia est ab Ecclesiae unitate separatus, orationes eius efficaciam non habent.</w:t>
      </w:r>
      <w:r>
        <w:rPr>
          <w:rFonts w:cs="Times New Roman"/>
          <w:color w:val="002200"/>
          <w:sz w:val="24"/>
          <w:szCs w:val="24"/>
          <w:lang w:val="en-GB"/>
        </w:rPr>
        <w:t>”</w:t>
      </w:r>
    </w:p>
  </w:footnote>
  <w:footnote w:id="95">
    <w:p w14:paraId="517A67D3" w14:textId="77777777" w:rsidR="00775CF4" w:rsidRPr="00040A10" w:rsidRDefault="00775CF4" w:rsidP="00775CF4">
      <w:pPr>
        <w:pStyle w:val="FootnoteText"/>
        <w:jc w:val="both"/>
        <w:rPr>
          <w:sz w:val="24"/>
        </w:rPr>
      </w:pPr>
      <w:r w:rsidRPr="00F060A3">
        <w:rPr>
          <w:rStyle w:val="FootnoteCharacters"/>
          <w:rFonts w:cs="Times New Roman"/>
          <w:sz w:val="24"/>
          <w:szCs w:val="24"/>
        </w:rPr>
        <w:footnoteRef/>
      </w:r>
      <w:r w:rsidRPr="00040A10">
        <w:rPr>
          <w:sz w:val="24"/>
        </w:rPr>
        <w:t xml:space="preserve"> See ST, III, q. 82, a. 9, ad. 2. </w:t>
      </w:r>
    </w:p>
  </w:footnote>
  <w:footnote w:id="96">
    <w:p w14:paraId="5FEDDBD9" w14:textId="77777777" w:rsidR="00775CF4" w:rsidRPr="00F060A3" w:rsidRDefault="00775CF4" w:rsidP="00775CF4">
      <w:pPr>
        <w:pStyle w:val="FootnoteText"/>
        <w:jc w:val="both"/>
        <w:rPr>
          <w:rFonts w:cs="Times New Roman"/>
          <w:sz w:val="24"/>
          <w:szCs w:val="24"/>
        </w:rPr>
      </w:pPr>
      <w:r w:rsidRPr="00F060A3">
        <w:rPr>
          <w:rStyle w:val="FootnoteCharacters"/>
          <w:rFonts w:cs="Times New Roman"/>
          <w:sz w:val="24"/>
          <w:szCs w:val="24"/>
        </w:rPr>
        <w:footnoteRef/>
      </w:r>
      <w:r w:rsidRPr="00F060A3">
        <w:rPr>
          <w:rFonts w:cs="Times New Roman"/>
          <w:sz w:val="24"/>
          <w:szCs w:val="24"/>
        </w:rPr>
        <w:t xml:space="preserve"> </w:t>
      </w:r>
      <w:r>
        <w:rPr>
          <w:rFonts w:cs="Times New Roman"/>
          <w:sz w:val="24"/>
          <w:szCs w:val="24"/>
        </w:rPr>
        <w:t xml:space="preserve">On the indelibility of the sacramental character given in Orders, see, e.g. </w:t>
      </w:r>
      <w:r w:rsidRPr="00F060A3">
        <w:rPr>
          <w:rFonts w:cs="Times New Roman"/>
          <w:sz w:val="24"/>
          <w:szCs w:val="24"/>
        </w:rPr>
        <w:t xml:space="preserve">Council of Trent, Session 23, </w:t>
      </w:r>
      <w:r w:rsidRPr="00F060A3">
        <w:rPr>
          <w:rFonts w:cs="Times New Roman"/>
          <w:i/>
          <w:sz w:val="24"/>
          <w:szCs w:val="24"/>
        </w:rPr>
        <w:t xml:space="preserve">Doctrine and Canons on the Sacrament of Orders </w:t>
      </w:r>
      <w:r w:rsidRPr="00F060A3">
        <w:rPr>
          <w:rFonts w:cs="Times New Roman"/>
          <w:iCs/>
          <w:sz w:val="24"/>
          <w:szCs w:val="24"/>
        </w:rPr>
        <w:t xml:space="preserve">(July 15, 1563), c. 4 and can. </w:t>
      </w:r>
      <w:r>
        <w:rPr>
          <w:rFonts w:cs="Times New Roman"/>
          <w:iCs/>
          <w:sz w:val="24"/>
          <w:szCs w:val="24"/>
        </w:rPr>
        <w:t>4</w:t>
      </w:r>
      <w:r w:rsidRPr="00F060A3">
        <w:rPr>
          <w:rFonts w:cs="Times New Roman"/>
          <w:sz w:val="24"/>
          <w:szCs w:val="24"/>
        </w:rPr>
        <w:t>: DH 1767–1770 and</w:t>
      </w:r>
      <w:r>
        <w:rPr>
          <w:rFonts w:cs="Times New Roman"/>
          <w:sz w:val="24"/>
          <w:szCs w:val="24"/>
        </w:rPr>
        <w:t xml:space="preserve"> </w:t>
      </w:r>
      <w:r>
        <w:rPr>
          <w:rFonts w:cs="Times New Roman"/>
          <w:color w:val="000000"/>
          <w:sz w:val="24"/>
          <w:szCs w:val="24"/>
        </w:rPr>
        <w:t>1774</w:t>
      </w:r>
      <w:r w:rsidRPr="00F060A3">
        <w:rPr>
          <w:rFonts w:cs="Times New Roman"/>
          <w:color w:val="000000"/>
          <w:sz w:val="24"/>
          <w:szCs w:val="24"/>
        </w:rPr>
        <w:t xml:space="preserve">. </w:t>
      </w:r>
    </w:p>
  </w:footnote>
  <w:footnote w:id="97">
    <w:p w14:paraId="4317F7A3" w14:textId="77777777" w:rsidR="00775CF4" w:rsidRPr="006A460B" w:rsidRDefault="00775CF4" w:rsidP="00775CF4">
      <w:pPr>
        <w:pStyle w:val="FootnoteText"/>
        <w:rPr>
          <w:sz w:val="24"/>
          <w:szCs w:val="24"/>
        </w:rPr>
      </w:pPr>
      <w:r w:rsidRPr="006A460B">
        <w:rPr>
          <w:rStyle w:val="FootnoteReference"/>
          <w:sz w:val="24"/>
          <w:szCs w:val="24"/>
          <w:vertAlign w:val="baseline"/>
        </w:rPr>
        <w:footnoteRef/>
      </w:r>
      <w:r w:rsidRPr="006A460B">
        <w:rPr>
          <w:sz w:val="24"/>
          <w:szCs w:val="24"/>
        </w:rPr>
        <w:t xml:space="preserve"> </w:t>
      </w:r>
      <w:r>
        <w:rPr>
          <w:sz w:val="24"/>
          <w:szCs w:val="24"/>
        </w:rPr>
        <w:t>S</w:t>
      </w:r>
      <w:r w:rsidRPr="006A460B">
        <w:rPr>
          <w:sz w:val="24"/>
          <w:szCs w:val="24"/>
        </w:rPr>
        <w:t xml:space="preserve">ee, e.g. Council of Trent, Session </w:t>
      </w:r>
      <w:r>
        <w:rPr>
          <w:sz w:val="24"/>
          <w:szCs w:val="24"/>
        </w:rPr>
        <w:t>14</w:t>
      </w:r>
      <w:r w:rsidRPr="006A460B">
        <w:rPr>
          <w:sz w:val="24"/>
          <w:szCs w:val="24"/>
        </w:rPr>
        <w:t xml:space="preserve">, </w:t>
      </w:r>
      <w:r w:rsidRPr="006A460B">
        <w:rPr>
          <w:i/>
          <w:sz w:val="24"/>
          <w:szCs w:val="24"/>
        </w:rPr>
        <w:t xml:space="preserve">Doctrine </w:t>
      </w:r>
      <w:r>
        <w:rPr>
          <w:i/>
          <w:sz w:val="24"/>
          <w:szCs w:val="24"/>
        </w:rPr>
        <w:t>on the Sacrament of Penance</w:t>
      </w:r>
      <w:r w:rsidRPr="006A460B">
        <w:rPr>
          <w:i/>
          <w:sz w:val="24"/>
          <w:szCs w:val="24"/>
        </w:rPr>
        <w:t xml:space="preserve"> </w:t>
      </w:r>
      <w:r w:rsidRPr="006A460B">
        <w:rPr>
          <w:iCs/>
          <w:sz w:val="24"/>
          <w:szCs w:val="24"/>
        </w:rPr>
        <w:t>(</w:t>
      </w:r>
      <w:r>
        <w:rPr>
          <w:iCs/>
          <w:sz w:val="24"/>
          <w:szCs w:val="24"/>
        </w:rPr>
        <w:t>November 25, 1551</w:t>
      </w:r>
      <w:r w:rsidRPr="006A460B">
        <w:rPr>
          <w:iCs/>
          <w:sz w:val="24"/>
          <w:szCs w:val="24"/>
        </w:rPr>
        <w:t xml:space="preserve">), c. </w:t>
      </w:r>
      <w:r>
        <w:rPr>
          <w:iCs/>
          <w:sz w:val="24"/>
          <w:szCs w:val="24"/>
        </w:rPr>
        <w:t xml:space="preserve">7: DH 1686-1688. </w:t>
      </w:r>
    </w:p>
  </w:footnote>
  <w:footnote w:id="98">
    <w:p w14:paraId="0983FFF6" w14:textId="77777777" w:rsidR="00775CF4" w:rsidRPr="00F060A3" w:rsidRDefault="00775CF4" w:rsidP="00775CF4">
      <w:pPr>
        <w:pStyle w:val="FootnoteText"/>
        <w:jc w:val="both"/>
        <w:rPr>
          <w:rFonts w:cs="Times New Roman"/>
          <w:sz w:val="24"/>
          <w:szCs w:val="24"/>
        </w:rPr>
      </w:pPr>
      <w:r w:rsidRPr="00F060A3">
        <w:rPr>
          <w:rStyle w:val="FootnoteReference"/>
          <w:rFonts w:cs="Times New Roman"/>
          <w:sz w:val="24"/>
          <w:szCs w:val="24"/>
          <w:vertAlign w:val="baseline"/>
        </w:rPr>
        <w:footnoteRef/>
      </w:r>
      <w:r w:rsidRPr="00F060A3">
        <w:rPr>
          <w:rFonts w:cs="Times New Roman"/>
          <w:sz w:val="24"/>
          <w:szCs w:val="24"/>
        </w:rPr>
        <w:t xml:space="preserve"> </w:t>
      </w:r>
      <w:r>
        <w:rPr>
          <w:rFonts w:cs="Times New Roman"/>
          <w:sz w:val="24"/>
          <w:szCs w:val="24"/>
        </w:rPr>
        <w:t>See Code of Canon Law, c</w:t>
      </w:r>
      <w:r w:rsidRPr="00F060A3">
        <w:rPr>
          <w:rFonts w:cs="Times New Roman"/>
          <w:sz w:val="24"/>
          <w:szCs w:val="24"/>
        </w:rPr>
        <w:t>an</w:t>
      </w:r>
      <w:r>
        <w:rPr>
          <w:rFonts w:cs="Times New Roman"/>
          <w:sz w:val="24"/>
          <w:szCs w:val="24"/>
        </w:rPr>
        <w:t>n</w:t>
      </w:r>
      <w:r w:rsidRPr="00F060A3">
        <w:rPr>
          <w:rFonts w:cs="Times New Roman"/>
          <w:sz w:val="24"/>
          <w:szCs w:val="24"/>
        </w:rPr>
        <w:t>. 590, 591, 593, and 594.</w:t>
      </w:r>
    </w:p>
  </w:footnote>
  <w:footnote w:id="99">
    <w:p w14:paraId="27FF2861" w14:textId="77777777" w:rsidR="00775CF4" w:rsidRPr="00F060A3" w:rsidRDefault="00775CF4" w:rsidP="00775CF4">
      <w:pPr>
        <w:pStyle w:val="FootnoteText"/>
        <w:jc w:val="both"/>
        <w:rPr>
          <w:rFonts w:cs="Times New Roman"/>
          <w:sz w:val="24"/>
          <w:szCs w:val="24"/>
        </w:rPr>
      </w:pPr>
      <w:r w:rsidRPr="00F060A3">
        <w:rPr>
          <w:rStyle w:val="FootnoteReference"/>
          <w:rFonts w:cs="Times New Roman"/>
          <w:sz w:val="24"/>
          <w:szCs w:val="24"/>
          <w:vertAlign w:val="baseline"/>
        </w:rPr>
        <w:footnoteRef/>
      </w:r>
      <w:r w:rsidRPr="00F060A3">
        <w:rPr>
          <w:rFonts w:cs="Times New Roman"/>
          <w:sz w:val="24"/>
          <w:szCs w:val="24"/>
        </w:rPr>
        <w:t xml:space="preserve"> Of course, in all of these areas, there are more than one logical possibility to reconcile such a theory with Catholic dogma; if the magisterium so clarifies as to rule out the possibility of one of these solutions, I do not think the theory itself need be discarded.</w:t>
      </w:r>
    </w:p>
  </w:footnote>
  <w:footnote w:id="100">
    <w:p w14:paraId="02BCEAEE" w14:textId="77777777" w:rsidR="00775CF4" w:rsidRPr="00F060A3" w:rsidRDefault="00775CF4" w:rsidP="00775CF4">
      <w:pPr>
        <w:pStyle w:val="FootnoteText"/>
        <w:jc w:val="both"/>
        <w:rPr>
          <w:rFonts w:cs="Times New Roman"/>
          <w:sz w:val="24"/>
          <w:szCs w:val="24"/>
        </w:rPr>
      </w:pPr>
      <w:r w:rsidRPr="00F060A3">
        <w:rPr>
          <w:rStyle w:val="FootnoteReference"/>
          <w:rFonts w:cs="Times New Roman"/>
          <w:sz w:val="24"/>
          <w:szCs w:val="24"/>
          <w:vertAlign w:val="baseline"/>
        </w:rPr>
        <w:footnoteRef/>
      </w:r>
      <w:r w:rsidRPr="00F060A3">
        <w:rPr>
          <w:rFonts w:cs="Times New Roman"/>
          <w:sz w:val="24"/>
          <w:szCs w:val="24"/>
        </w:rPr>
        <w:t xml:space="preserve"> See </w:t>
      </w:r>
      <w:r>
        <w:rPr>
          <w:rFonts w:cs="Times New Roman"/>
          <w:sz w:val="24"/>
          <w:szCs w:val="24"/>
        </w:rPr>
        <w:t>Code of Canon Law, c</w:t>
      </w:r>
      <w:r w:rsidRPr="00F060A3">
        <w:rPr>
          <w:rFonts w:cs="Times New Roman"/>
          <w:sz w:val="24"/>
          <w:szCs w:val="24"/>
        </w:rPr>
        <w:t>an. 265.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F81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4820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B47A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7035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6EDA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7C07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503A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801E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8C9A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B874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7B181B91"/>
    <w:multiLevelType w:val="hybridMultilevel"/>
    <w:tmpl w:val="56A2FB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660"/>
    <w:rsid w:val="0000755B"/>
    <w:rsid w:val="000116A6"/>
    <w:rsid w:val="00013FF9"/>
    <w:rsid w:val="000145B9"/>
    <w:rsid w:val="0002301A"/>
    <w:rsid w:val="000257C5"/>
    <w:rsid w:val="00027DE4"/>
    <w:rsid w:val="00030FF1"/>
    <w:rsid w:val="0003622B"/>
    <w:rsid w:val="00060DB3"/>
    <w:rsid w:val="000709E6"/>
    <w:rsid w:val="000745B1"/>
    <w:rsid w:val="000837B1"/>
    <w:rsid w:val="00084160"/>
    <w:rsid w:val="000A23FC"/>
    <w:rsid w:val="000A4294"/>
    <w:rsid w:val="000B69F6"/>
    <w:rsid w:val="000C2BDB"/>
    <w:rsid w:val="000C36A1"/>
    <w:rsid w:val="000D2421"/>
    <w:rsid w:val="000E307B"/>
    <w:rsid w:val="000F286E"/>
    <w:rsid w:val="000F69F9"/>
    <w:rsid w:val="00100FD4"/>
    <w:rsid w:val="00114102"/>
    <w:rsid w:val="001167B2"/>
    <w:rsid w:val="001356EE"/>
    <w:rsid w:val="00136986"/>
    <w:rsid w:val="00136B01"/>
    <w:rsid w:val="001412B3"/>
    <w:rsid w:val="00151742"/>
    <w:rsid w:val="001968D3"/>
    <w:rsid w:val="001B133B"/>
    <w:rsid w:val="001B5F54"/>
    <w:rsid w:val="001D7538"/>
    <w:rsid w:val="001E4828"/>
    <w:rsid w:val="001E7FC1"/>
    <w:rsid w:val="001F78AF"/>
    <w:rsid w:val="00207F12"/>
    <w:rsid w:val="002124CF"/>
    <w:rsid w:val="00213E31"/>
    <w:rsid w:val="00233484"/>
    <w:rsid w:val="00240C3C"/>
    <w:rsid w:val="00256A05"/>
    <w:rsid w:val="0026401C"/>
    <w:rsid w:val="00274009"/>
    <w:rsid w:val="00274497"/>
    <w:rsid w:val="00275F82"/>
    <w:rsid w:val="00282459"/>
    <w:rsid w:val="0028411C"/>
    <w:rsid w:val="00287B05"/>
    <w:rsid w:val="002935AE"/>
    <w:rsid w:val="0029763B"/>
    <w:rsid w:val="002E14F3"/>
    <w:rsid w:val="002E65BE"/>
    <w:rsid w:val="002F56A7"/>
    <w:rsid w:val="002F5D26"/>
    <w:rsid w:val="00336ECD"/>
    <w:rsid w:val="00345F9B"/>
    <w:rsid w:val="00383ABD"/>
    <w:rsid w:val="00387A2B"/>
    <w:rsid w:val="00390256"/>
    <w:rsid w:val="00394B0E"/>
    <w:rsid w:val="00397CA8"/>
    <w:rsid w:val="003A746C"/>
    <w:rsid w:val="003B673F"/>
    <w:rsid w:val="003C0102"/>
    <w:rsid w:val="003C095A"/>
    <w:rsid w:val="003D268E"/>
    <w:rsid w:val="003D45B3"/>
    <w:rsid w:val="003E17AC"/>
    <w:rsid w:val="003E7838"/>
    <w:rsid w:val="003F20E0"/>
    <w:rsid w:val="00402EA7"/>
    <w:rsid w:val="0041345D"/>
    <w:rsid w:val="00420C8B"/>
    <w:rsid w:val="00433159"/>
    <w:rsid w:val="00437BAA"/>
    <w:rsid w:val="0044029A"/>
    <w:rsid w:val="00444784"/>
    <w:rsid w:val="0045786E"/>
    <w:rsid w:val="00465396"/>
    <w:rsid w:val="00470045"/>
    <w:rsid w:val="00474041"/>
    <w:rsid w:val="00482D3D"/>
    <w:rsid w:val="004860BF"/>
    <w:rsid w:val="00492DD6"/>
    <w:rsid w:val="004978B2"/>
    <w:rsid w:val="004A129D"/>
    <w:rsid w:val="004A4643"/>
    <w:rsid w:val="004C42E9"/>
    <w:rsid w:val="004D5ADD"/>
    <w:rsid w:val="004E1C24"/>
    <w:rsid w:val="004E1E6F"/>
    <w:rsid w:val="004E343A"/>
    <w:rsid w:val="004F2297"/>
    <w:rsid w:val="004F2858"/>
    <w:rsid w:val="004F4596"/>
    <w:rsid w:val="00500299"/>
    <w:rsid w:val="00502F37"/>
    <w:rsid w:val="00544B6F"/>
    <w:rsid w:val="00550552"/>
    <w:rsid w:val="00551D5B"/>
    <w:rsid w:val="00552939"/>
    <w:rsid w:val="005549E5"/>
    <w:rsid w:val="00554B20"/>
    <w:rsid w:val="005824AE"/>
    <w:rsid w:val="00583938"/>
    <w:rsid w:val="0058489E"/>
    <w:rsid w:val="00591CD2"/>
    <w:rsid w:val="005C21DF"/>
    <w:rsid w:val="005C2274"/>
    <w:rsid w:val="005D083C"/>
    <w:rsid w:val="005E11D5"/>
    <w:rsid w:val="005E136C"/>
    <w:rsid w:val="005E4649"/>
    <w:rsid w:val="005F0A05"/>
    <w:rsid w:val="00601C33"/>
    <w:rsid w:val="00602595"/>
    <w:rsid w:val="006050D9"/>
    <w:rsid w:val="006079EA"/>
    <w:rsid w:val="0061338A"/>
    <w:rsid w:val="006311C5"/>
    <w:rsid w:val="00641014"/>
    <w:rsid w:val="00662042"/>
    <w:rsid w:val="00662B2F"/>
    <w:rsid w:val="00670B23"/>
    <w:rsid w:val="006732F0"/>
    <w:rsid w:val="00680CDB"/>
    <w:rsid w:val="006836AB"/>
    <w:rsid w:val="0069336F"/>
    <w:rsid w:val="006A1607"/>
    <w:rsid w:val="006B0E56"/>
    <w:rsid w:val="006C1F9C"/>
    <w:rsid w:val="006C59A6"/>
    <w:rsid w:val="006D0BE0"/>
    <w:rsid w:val="006E1ADE"/>
    <w:rsid w:val="006E437F"/>
    <w:rsid w:val="006F3508"/>
    <w:rsid w:val="006F6B25"/>
    <w:rsid w:val="007406DA"/>
    <w:rsid w:val="00741DBA"/>
    <w:rsid w:val="007423F5"/>
    <w:rsid w:val="00743784"/>
    <w:rsid w:val="00771116"/>
    <w:rsid w:val="00774158"/>
    <w:rsid w:val="00775CF4"/>
    <w:rsid w:val="007772D5"/>
    <w:rsid w:val="00781C42"/>
    <w:rsid w:val="00782772"/>
    <w:rsid w:val="00785981"/>
    <w:rsid w:val="007875D9"/>
    <w:rsid w:val="007A41FA"/>
    <w:rsid w:val="007B3943"/>
    <w:rsid w:val="007D1B5A"/>
    <w:rsid w:val="007E00E1"/>
    <w:rsid w:val="007E4DB4"/>
    <w:rsid w:val="007F03C4"/>
    <w:rsid w:val="007F73FE"/>
    <w:rsid w:val="00800AA9"/>
    <w:rsid w:val="00813C6F"/>
    <w:rsid w:val="0081541B"/>
    <w:rsid w:val="00820622"/>
    <w:rsid w:val="00831794"/>
    <w:rsid w:val="00837E5E"/>
    <w:rsid w:val="00851474"/>
    <w:rsid w:val="008571BE"/>
    <w:rsid w:val="00872AF5"/>
    <w:rsid w:val="008A6ACA"/>
    <w:rsid w:val="008B7FD8"/>
    <w:rsid w:val="008C2CBC"/>
    <w:rsid w:val="00913E0A"/>
    <w:rsid w:val="0091551C"/>
    <w:rsid w:val="0091774A"/>
    <w:rsid w:val="009233FC"/>
    <w:rsid w:val="00924921"/>
    <w:rsid w:val="00925320"/>
    <w:rsid w:val="00960ED4"/>
    <w:rsid w:val="009668D1"/>
    <w:rsid w:val="009958F5"/>
    <w:rsid w:val="00996E6E"/>
    <w:rsid w:val="009A1038"/>
    <w:rsid w:val="009A49F1"/>
    <w:rsid w:val="009B6A81"/>
    <w:rsid w:val="009C1E37"/>
    <w:rsid w:val="009C7AE0"/>
    <w:rsid w:val="009D0D97"/>
    <w:rsid w:val="009D6149"/>
    <w:rsid w:val="009E597F"/>
    <w:rsid w:val="00A04FBB"/>
    <w:rsid w:val="00A34F06"/>
    <w:rsid w:val="00A45864"/>
    <w:rsid w:val="00A6021E"/>
    <w:rsid w:val="00A700BE"/>
    <w:rsid w:val="00A715A0"/>
    <w:rsid w:val="00A96F45"/>
    <w:rsid w:val="00AA03CA"/>
    <w:rsid w:val="00AB627F"/>
    <w:rsid w:val="00AB768A"/>
    <w:rsid w:val="00AE1F20"/>
    <w:rsid w:val="00AF238C"/>
    <w:rsid w:val="00B1764B"/>
    <w:rsid w:val="00B207C4"/>
    <w:rsid w:val="00B20C8A"/>
    <w:rsid w:val="00B43B70"/>
    <w:rsid w:val="00B604C5"/>
    <w:rsid w:val="00B73ACF"/>
    <w:rsid w:val="00B77089"/>
    <w:rsid w:val="00B85660"/>
    <w:rsid w:val="00B979E9"/>
    <w:rsid w:val="00BB46C5"/>
    <w:rsid w:val="00BC2E10"/>
    <w:rsid w:val="00BC2F97"/>
    <w:rsid w:val="00BF1B99"/>
    <w:rsid w:val="00BF75C6"/>
    <w:rsid w:val="00C11B9F"/>
    <w:rsid w:val="00C150C7"/>
    <w:rsid w:val="00C20454"/>
    <w:rsid w:val="00C25C0C"/>
    <w:rsid w:val="00C31915"/>
    <w:rsid w:val="00C44046"/>
    <w:rsid w:val="00C45596"/>
    <w:rsid w:val="00C52019"/>
    <w:rsid w:val="00C53D62"/>
    <w:rsid w:val="00C579B5"/>
    <w:rsid w:val="00C62E1C"/>
    <w:rsid w:val="00C871B2"/>
    <w:rsid w:val="00C91F26"/>
    <w:rsid w:val="00C94F83"/>
    <w:rsid w:val="00C95E3D"/>
    <w:rsid w:val="00CA489D"/>
    <w:rsid w:val="00CC3E7F"/>
    <w:rsid w:val="00CD1344"/>
    <w:rsid w:val="00CD7E51"/>
    <w:rsid w:val="00CE0620"/>
    <w:rsid w:val="00CE322D"/>
    <w:rsid w:val="00CE45D8"/>
    <w:rsid w:val="00CE7847"/>
    <w:rsid w:val="00CF0797"/>
    <w:rsid w:val="00D07E48"/>
    <w:rsid w:val="00D35B9B"/>
    <w:rsid w:val="00D35DC5"/>
    <w:rsid w:val="00D677B5"/>
    <w:rsid w:val="00D851B8"/>
    <w:rsid w:val="00D90AF2"/>
    <w:rsid w:val="00D92175"/>
    <w:rsid w:val="00D95443"/>
    <w:rsid w:val="00DA1B32"/>
    <w:rsid w:val="00DA5C29"/>
    <w:rsid w:val="00DB421C"/>
    <w:rsid w:val="00DB4A1F"/>
    <w:rsid w:val="00DB6E01"/>
    <w:rsid w:val="00DD54AD"/>
    <w:rsid w:val="00DE12BB"/>
    <w:rsid w:val="00DE21A1"/>
    <w:rsid w:val="00DE387B"/>
    <w:rsid w:val="00E019C6"/>
    <w:rsid w:val="00E11241"/>
    <w:rsid w:val="00E476DB"/>
    <w:rsid w:val="00E544E2"/>
    <w:rsid w:val="00E551EB"/>
    <w:rsid w:val="00E7547A"/>
    <w:rsid w:val="00E84B66"/>
    <w:rsid w:val="00E84E9B"/>
    <w:rsid w:val="00E874EA"/>
    <w:rsid w:val="00E924E7"/>
    <w:rsid w:val="00EA05D4"/>
    <w:rsid w:val="00EA18F2"/>
    <w:rsid w:val="00EB2804"/>
    <w:rsid w:val="00EB3D42"/>
    <w:rsid w:val="00EB5EA9"/>
    <w:rsid w:val="00EC0BFE"/>
    <w:rsid w:val="00EC403F"/>
    <w:rsid w:val="00ED2636"/>
    <w:rsid w:val="00ED31BC"/>
    <w:rsid w:val="00ED3FF5"/>
    <w:rsid w:val="00EF6AA9"/>
    <w:rsid w:val="00F060A3"/>
    <w:rsid w:val="00F14D74"/>
    <w:rsid w:val="00F16E9F"/>
    <w:rsid w:val="00F2541B"/>
    <w:rsid w:val="00F321CE"/>
    <w:rsid w:val="00F34C93"/>
    <w:rsid w:val="00F35E0C"/>
    <w:rsid w:val="00F43640"/>
    <w:rsid w:val="00F57BC4"/>
    <w:rsid w:val="00F8304E"/>
    <w:rsid w:val="00F83358"/>
    <w:rsid w:val="00F907CD"/>
    <w:rsid w:val="00F91C47"/>
    <w:rsid w:val="00FA1AE2"/>
    <w:rsid w:val="00FB0325"/>
    <w:rsid w:val="00FB061F"/>
    <w:rsid w:val="00FB564C"/>
    <w:rsid w:val="00FD283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1FE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cs="Mangal"/>
      <w:kern w:val="1"/>
      <w:sz w:val="24"/>
      <w:szCs w:val="24"/>
      <w:lang w:val="en-US" w:eastAsia="zh-CN" w:bidi="hi-IN"/>
    </w:rPr>
  </w:style>
  <w:style w:type="paragraph" w:styleId="Heading1">
    <w:name w:val="heading 1"/>
    <w:basedOn w:val="Heading"/>
    <w:next w:val="BodyText"/>
    <w:qFormat/>
    <w:pPr>
      <w:numPr>
        <w:numId w:val="1"/>
      </w:numPr>
      <w:outlineLvl w:val="0"/>
    </w:pPr>
    <w:rPr>
      <w:b/>
      <w:bCs/>
      <w:sz w:val="36"/>
      <w:szCs w:val="36"/>
    </w:rPr>
  </w:style>
  <w:style w:type="paragraph" w:styleId="Heading2">
    <w:name w:val="heading 2"/>
    <w:basedOn w:val="Heading"/>
    <w:next w:val="BodyText"/>
    <w:qFormat/>
    <w:pPr>
      <w:numPr>
        <w:ilvl w:val="1"/>
        <w:numId w:val="1"/>
      </w:numPr>
      <w:spacing w:before="200"/>
      <w:outlineLvl w:val="1"/>
    </w:pPr>
    <w:rPr>
      <w:b/>
      <w:bCs/>
      <w:sz w:val="32"/>
      <w:szCs w:val="32"/>
    </w:rPr>
  </w:style>
  <w:style w:type="paragraph" w:styleId="Heading3">
    <w:name w:val="heading 3"/>
    <w:basedOn w:val="Heading"/>
    <w:next w:val="BodyText"/>
    <w:qFormat/>
    <w:pPr>
      <w:numPr>
        <w:ilvl w:val="2"/>
        <w:numId w:val="1"/>
      </w:numPr>
      <w:spacing w:before="140"/>
      <w:outlineLvl w:val="2"/>
    </w:pPr>
    <w:rPr>
      <w:b/>
      <w:b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ootnoteCharacters">
    <w:name w:val="Footnote Characters"/>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character" w:styleId="Hyperlink">
    <w:name w:val="Hyperlink"/>
    <w:rPr>
      <w:color w:val="000080"/>
      <w:u w:val="single"/>
    </w:rPr>
  </w:style>
  <w:style w:type="character" w:styleId="Strong">
    <w:name w:val="Strong"/>
    <w:qFormat/>
    <w:rPr>
      <w:b/>
      <w:bCs/>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link w:val="BodyTextChar"/>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FootnoteText">
    <w:name w:val="footnote text"/>
    <w:basedOn w:val="Normal"/>
    <w:link w:val="FootnoteTextChar"/>
    <w:uiPriority w:val="99"/>
    <w:rsid w:val="0026401C"/>
    <w:pPr>
      <w:suppressLineNumbers/>
    </w:pPr>
    <w:rPr>
      <w:sz w:val="20"/>
      <w:szCs w:val="20"/>
    </w:r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paragraph" w:styleId="Header">
    <w:name w:val="header"/>
    <w:basedOn w:val="Normal"/>
    <w:pPr>
      <w:suppressLineNumbers/>
      <w:tabs>
        <w:tab w:val="center" w:pos="4986"/>
        <w:tab w:val="right" w:pos="9972"/>
      </w:tabs>
    </w:pPr>
  </w:style>
  <w:style w:type="paragraph" w:styleId="BalloonText">
    <w:name w:val="Balloon Text"/>
    <w:basedOn w:val="Normal"/>
    <w:link w:val="BalloonTextChar"/>
    <w:uiPriority w:val="99"/>
    <w:semiHidden/>
    <w:unhideWhenUsed/>
    <w:rsid w:val="006F3508"/>
    <w:rPr>
      <w:rFonts w:ascii="Tahoma" w:hAnsi="Tahoma"/>
      <w:sz w:val="16"/>
      <w:szCs w:val="14"/>
    </w:rPr>
  </w:style>
  <w:style w:type="character" w:customStyle="1" w:styleId="BalloonTextChar">
    <w:name w:val="Balloon Text Char"/>
    <w:link w:val="BalloonText"/>
    <w:uiPriority w:val="99"/>
    <w:semiHidden/>
    <w:rsid w:val="006F3508"/>
    <w:rPr>
      <w:rFonts w:ascii="Tahoma" w:eastAsia="SimSun" w:hAnsi="Tahoma" w:cs="Mangal"/>
      <w:kern w:val="1"/>
      <w:sz w:val="16"/>
      <w:szCs w:val="14"/>
      <w:lang w:eastAsia="zh-CN" w:bidi="hi-IN"/>
    </w:rPr>
  </w:style>
  <w:style w:type="paragraph" w:styleId="Footer">
    <w:name w:val="footer"/>
    <w:basedOn w:val="Normal"/>
    <w:link w:val="FooterChar"/>
    <w:uiPriority w:val="99"/>
    <w:unhideWhenUsed/>
    <w:rsid w:val="006F3508"/>
    <w:pPr>
      <w:tabs>
        <w:tab w:val="center" w:pos="4680"/>
        <w:tab w:val="right" w:pos="9360"/>
      </w:tabs>
    </w:pPr>
    <w:rPr>
      <w:szCs w:val="21"/>
    </w:rPr>
  </w:style>
  <w:style w:type="character" w:customStyle="1" w:styleId="FooterChar">
    <w:name w:val="Footer Char"/>
    <w:link w:val="Footer"/>
    <w:uiPriority w:val="99"/>
    <w:rsid w:val="006F3508"/>
    <w:rPr>
      <w:rFonts w:eastAsia="SimSun" w:cs="Mangal"/>
      <w:kern w:val="1"/>
      <w:sz w:val="24"/>
      <w:szCs w:val="21"/>
      <w:lang w:eastAsia="zh-CN" w:bidi="hi-IN"/>
    </w:rPr>
  </w:style>
  <w:style w:type="character" w:customStyle="1" w:styleId="UnresolvedMention1">
    <w:name w:val="Unresolved Mention1"/>
    <w:uiPriority w:val="99"/>
    <w:semiHidden/>
    <w:unhideWhenUsed/>
    <w:rsid w:val="00662B2F"/>
    <w:rPr>
      <w:color w:val="605E5C"/>
      <w:shd w:val="clear" w:color="auto" w:fill="E1DFDD"/>
    </w:rPr>
  </w:style>
  <w:style w:type="character" w:styleId="CommentReference">
    <w:name w:val="annotation reference"/>
    <w:basedOn w:val="DefaultParagraphFont"/>
    <w:uiPriority w:val="99"/>
    <w:semiHidden/>
    <w:unhideWhenUsed/>
    <w:rsid w:val="0000755B"/>
    <w:rPr>
      <w:sz w:val="16"/>
      <w:szCs w:val="16"/>
    </w:rPr>
  </w:style>
  <w:style w:type="paragraph" w:styleId="CommentText">
    <w:name w:val="annotation text"/>
    <w:basedOn w:val="Normal"/>
    <w:link w:val="CommentTextChar"/>
    <w:uiPriority w:val="99"/>
    <w:unhideWhenUsed/>
    <w:rsid w:val="0000755B"/>
    <w:rPr>
      <w:sz w:val="20"/>
      <w:szCs w:val="18"/>
    </w:rPr>
  </w:style>
  <w:style w:type="character" w:customStyle="1" w:styleId="CommentTextChar">
    <w:name w:val="Comment Text Char"/>
    <w:basedOn w:val="DefaultParagraphFont"/>
    <w:link w:val="CommentText"/>
    <w:uiPriority w:val="99"/>
    <w:rsid w:val="0000755B"/>
    <w:rPr>
      <w:rFonts w:eastAsia="SimSun" w:cs="Mangal"/>
      <w:kern w:val="1"/>
      <w:szCs w:val="18"/>
      <w:lang w:val="en-US" w:eastAsia="zh-CN" w:bidi="hi-IN"/>
    </w:rPr>
  </w:style>
  <w:style w:type="paragraph" w:styleId="CommentSubject">
    <w:name w:val="annotation subject"/>
    <w:basedOn w:val="CommentText"/>
    <w:next w:val="CommentText"/>
    <w:link w:val="CommentSubjectChar"/>
    <w:uiPriority w:val="99"/>
    <w:semiHidden/>
    <w:unhideWhenUsed/>
    <w:rsid w:val="0000755B"/>
    <w:rPr>
      <w:b/>
      <w:bCs/>
    </w:rPr>
  </w:style>
  <w:style w:type="character" w:customStyle="1" w:styleId="CommentSubjectChar">
    <w:name w:val="Comment Subject Char"/>
    <w:basedOn w:val="CommentTextChar"/>
    <w:link w:val="CommentSubject"/>
    <w:uiPriority w:val="99"/>
    <w:semiHidden/>
    <w:rsid w:val="0000755B"/>
    <w:rPr>
      <w:rFonts w:eastAsia="SimSun" w:cs="Mangal"/>
      <w:b/>
      <w:bCs/>
      <w:kern w:val="1"/>
      <w:szCs w:val="18"/>
      <w:lang w:val="en-US" w:eastAsia="zh-CN" w:bidi="hi-IN"/>
    </w:rPr>
  </w:style>
  <w:style w:type="paragraph" w:styleId="EndnoteText">
    <w:name w:val="endnote text"/>
    <w:basedOn w:val="Normal"/>
    <w:link w:val="EndnoteTextChar"/>
    <w:uiPriority w:val="99"/>
    <w:semiHidden/>
    <w:unhideWhenUsed/>
    <w:rsid w:val="00F907CD"/>
    <w:rPr>
      <w:sz w:val="20"/>
      <w:szCs w:val="18"/>
    </w:rPr>
  </w:style>
  <w:style w:type="character" w:customStyle="1" w:styleId="BodyTextChar">
    <w:name w:val="Body Text Char"/>
    <w:basedOn w:val="DefaultParagraphFont"/>
    <w:link w:val="BodyText"/>
    <w:rsid w:val="00EC403F"/>
    <w:rPr>
      <w:rFonts w:eastAsia="SimSun" w:cs="Mangal"/>
      <w:kern w:val="1"/>
      <w:sz w:val="24"/>
      <w:szCs w:val="24"/>
      <w:lang w:val="en-US" w:eastAsia="zh-CN" w:bidi="hi-IN"/>
    </w:rPr>
  </w:style>
  <w:style w:type="character" w:customStyle="1" w:styleId="EndnoteTextChar">
    <w:name w:val="Endnote Text Char"/>
    <w:basedOn w:val="DefaultParagraphFont"/>
    <w:link w:val="EndnoteText"/>
    <w:uiPriority w:val="99"/>
    <w:semiHidden/>
    <w:rsid w:val="00F907CD"/>
    <w:rPr>
      <w:rFonts w:eastAsia="SimSun" w:cs="Mangal"/>
      <w:kern w:val="1"/>
      <w:szCs w:val="18"/>
      <w:lang w:val="en-US" w:eastAsia="zh-CN" w:bidi="hi-IN"/>
    </w:rPr>
  </w:style>
  <w:style w:type="character" w:customStyle="1" w:styleId="FootnoteTextChar">
    <w:name w:val="Footnote Text Char"/>
    <w:basedOn w:val="DefaultParagraphFont"/>
    <w:link w:val="FootnoteText"/>
    <w:uiPriority w:val="99"/>
    <w:rsid w:val="004F2858"/>
    <w:rPr>
      <w:rFonts w:eastAsia="SimSun" w:cs="Mangal"/>
      <w:kern w:val="1"/>
      <w:lang w:val="en-US" w:eastAsia="zh-CN" w:bidi="hi-IN"/>
    </w:rPr>
  </w:style>
  <w:style w:type="paragraph" w:styleId="ListParagraph">
    <w:name w:val="List Paragraph"/>
    <w:basedOn w:val="Normal"/>
    <w:uiPriority w:val="34"/>
    <w:qFormat/>
    <w:rsid w:val="000116A6"/>
    <w:pPr>
      <w:ind w:left="720"/>
      <w:contextualSpacing/>
    </w:pPr>
    <w:rPr>
      <w:szCs w:val="21"/>
    </w:rPr>
  </w:style>
  <w:style w:type="character" w:styleId="UnresolvedMention">
    <w:name w:val="Unresolved Mention"/>
    <w:basedOn w:val="DefaultParagraphFont"/>
    <w:uiPriority w:val="99"/>
    <w:semiHidden/>
    <w:unhideWhenUsed/>
    <w:rsid w:val="00387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525854">
      <w:bodyDiv w:val="1"/>
      <w:marLeft w:val="0"/>
      <w:marRight w:val="0"/>
      <w:marTop w:val="0"/>
      <w:marBottom w:val="0"/>
      <w:divBdr>
        <w:top w:val="none" w:sz="0" w:space="0" w:color="auto"/>
        <w:left w:val="none" w:sz="0" w:space="0" w:color="auto"/>
        <w:bottom w:val="none" w:sz="0" w:space="0" w:color="auto"/>
        <w:right w:val="none" w:sz="0" w:space="0" w:color="auto"/>
      </w:divBdr>
    </w:div>
    <w:div w:id="987634139">
      <w:bodyDiv w:val="1"/>
      <w:marLeft w:val="0"/>
      <w:marRight w:val="0"/>
      <w:marTop w:val="0"/>
      <w:marBottom w:val="0"/>
      <w:divBdr>
        <w:top w:val="none" w:sz="0" w:space="0" w:color="auto"/>
        <w:left w:val="none" w:sz="0" w:space="0" w:color="auto"/>
        <w:bottom w:val="none" w:sz="0" w:space="0" w:color="auto"/>
        <w:right w:val="none" w:sz="0" w:space="0" w:color="auto"/>
      </w:divBdr>
    </w:div>
    <w:div w:id="1380209574">
      <w:bodyDiv w:val="1"/>
      <w:marLeft w:val="0"/>
      <w:marRight w:val="0"/>
      <w:marTop w:val="0"/>
      <w:marBottom w:val="0"/>
      <w:divBdr>
        <w:top w:val="none" w:sz="0" w:space="0" w:color="auto"/>
        <w:left w:val="none" w:sz="0" w:space="0" w:color="auto"/>
        <w:bottom w:val="none" w:sz="0" w:space="0" w:color="auto"/>
        <w:right w:val="none" w:sz="0" w:space="0" w:color="auto"/>
      </w:divBdr>
      <w:divsChild>
        <w:div w:id="450364942">
          <w:marLeft w:val="0"/>
          <w:marRight w:val="0"/>
          <w:marTop w:val="0"/>
          <w:marBottom w:val="0"/>
          <w:divBdr>
            <w:top w:val="none" w:sz="0" w:space="0" w:color="auto"/>
            <w:left w:val="none" w:sz="0" w:space="0" w:color="auto"/>
            <w:bottom w:val="none" w:sz="0" w:space="0" w:color="auto"/>
            <w:right w:val="none" w:sz="0" w:space="0" w:color="auto"/>
          </w:divBdr>
        </w:div>
      </w:divsChild>
    </w:div>
    <w:div w:id="1611626106">
      <w:bodyDiv w:val="1"/>
      <w:marLeft w:val="0"/>
      <w:marRight w:val="0"/>
      <w:marTop w:val="0"/>
      <w:marBottom w:val="0"/>
      <w:divBdr>
        <w:top w:val="none" w:sz="0" w:space="0" w:color="auto"/>
        <w:left w:val="none" w:sz="0" w:space="0" w:color="auto"/>
        <w:bottom w:val="none" w:sz="0" w:space="0" w:color="auto"/>
        <w:right w:val="none" w:sz="0" w:space="0" w:color="auto"/>
      </w:divBdr>
    </w:div>
    <w:div w:id="198357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press.vatican.va/content/salastampa/it/bollettino/pubblico/2020/08/06/0406/00923.html" TargetMode="External"/><Relationship Id="rId1" Type="http://schemas.openxmlformats.org/officeDocument/2006/relationships/hyperlink" Target="http://www.corpusthomistic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A8DFC-0BCB-A94B-95A6-B08F38776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7524</Words>
  <Characters>42891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1901-01-01T00:00:00Z</cp:lastPrinted>
  <dcterms:created xsi:type="dcterms:W3CDTF">2020-09-01T08:25:00Z</dcterms:created>
  <dcterms:modified xsi:type="dcterms:W3CDTF">2020-11-06T13:49:00Z</dcterms:modified>
</cp:coreProperties>
</file>