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43F6E" w14:textId="77777777" w:rsidR="00057D64" w:rsidRDefault="00057D64" w:rsidP="00057D64">
      <w:pPr>
        <w:ind w:left="720" w:hanging="360"/>
      </w:pPr>
    </w:p>
    <w:p w14:paraId="36972D93" w14:textId="36C14FBB" w:rsidR="00057D64" w:rsidRDefault="00057D64" w:rsidP="00057D64">
      <w:pPr>
        <w:pStyle w:val="Heading1"/>
        <w:jc w:val="center"/>
      </w:pPr>
      <w:r>
        <w:t>Way and Whiting on Elusive Reasons</w:t>
      </w:r>
    </w:p>
    <w:p w14:paraId="311C7AB9" w14:textId="2C9CD11E" w:rsidR="00057D64" w:rsidRDefault="00057D64" w:rsidP="00D51300">
      <w:pPr>
        <w:spacing w:line="480" w:lineRule="auto"/>
      </w:pPr>
    </w:p>
    <w:p w14:paraId="4D3F8EB9" w14:textId="2921B614" w:rsidR="00E359E2" w:rsidRDefault="008406C6" w:rsidP="00D51300">
      <w:pPr>
        <w:spacing w:line="480" w:lineRule="auto"/>
      </w:pPr>
      <w:r>
        <w:tab/>
      </w:r>
      <w:r w:rsidR="00E359E2">
        <w:t xml:space="preserve">A familiar idea about normative reasons is that they have the capacity to guide us in deliberation and action. Put another way, if we are unable to respond to the recommendations that reasons </w:t>
      </w:r>
      <w:r w:rsidR="00CC4D30">
        <w:t>provide</w:t>
      </w:r>
      <w:r w:rsidR="00E359E2">
        <w:t xml:space="preserve">, they are not reasons for us. We can formulate that intuitive idea as the </w:t>
      </w:r>
      <w:r w:rsidR="00E359E2">
        <w:rPr>
          <w:i/>
        </w:rPr>
        <w:t xml:space="preserve">Response Constraint </w:t>
      </w:r>
      <w:r w:rsidR="00E359E2">
        <w:t xml:space="preserve">(RC): </w:t>
      </w:r>
    </w:p>
    <w:p w14:paraId="7AD40F80" w14:textId="77777777" w:rsidR="00E359E2" w:rsidRDefault="00E359E2" w:rsidP="00D51300">
      <w:pPr>
        <w:spacing w:line="480" w:lineRule="auto"/>
      </w:pPr>
    </w:p>
    <w:p w14:paraId="6C37061A" w14:textId="09928D66" w:rsidR="00E359E2" w:rsidRPr="00E359E2" w:rsidRDefault="00E359E2" w:rsidP="00D51300">
      <w:pPr>
        <w:spacing w:line="480" w:lineRule="auto"/>
        <w:rPr>
          <w:i/>
        </w:rPr>
      </w:pPr>
      <w:r>
        <w:tab/>
        <w:t xml:space="preserve">RC: p is a reason for </w:t>
      </w:r>
      <w:r>
        <w:rPr>
          <w:i/>
        </w:rPr>
        <w:t xml:space="preserve">S </w:t>
      </w:r>
      <w:r>
        <w:t xml:space="preserve">to </w:t>
      </w:r>
      <w:r>
        <w:rPr>
          <w:rFonts w:ascii="TimesNewRomanPSMT" w:hAnsi="TimesNewRomanPSMT"/>
        </w:rPr>
        <w:t xml:space="preserve">φ only if </w:t>
      </w:r>
      <w:r>
        <w:rPr>
          <w:rFonts w:ascii="TimesNewRomanPSMT" w:hAnsi="TimesNewRomanPSMT"/>
          <w:i/>
        </w:rPr>
        <w:t xml:space="preserve">S </w:t>
      </w:r>
      <w:r>
        <w:rPr>
          <w:rFonts w:ascii="TimesNewRomanPSMT" w:hAnsi="TimesNewRomanPSMT"/>
        </w:rPr>
        <w:t xml:space="preserve">is able to φ for the reason that </w:t>
      </w:r>
      <w:r>
        <w:rPr>
          <w:rFonts w:ascii="TimesNewRomanPSMT" w:hAnsi="TimesNewRomanPSMT"/>
          <w:i/>
        </w:rPr>
        <w:t>p.</w:t>
      </w:r>
      <w:r w:rsidR="002E7947" w:rsidRPr="0022149E">
        <w:rPr>
          <w:rStyle w:val="FootnoteReference"/>
          <w:rFonts w:ascii="TimesNewRomanPSMT" w:hAnsi="TimesNewRomanPSMT"/>
        </w:rPr>
        <w:footnoteReference w:id="1"/>
      </w:r>
      <w:r w:rsidRPr="0022149E">
        <w:rPr>
          <w:rFonts w:ascii="TimesNewRomanPSMT" w:hAnsi="TimesNewRomanPSMT"/>
        </w:rPr>
        <w:t xml:space="preserve"> </w:t>
      </w:r>
    </w:p>
    <w:p w14:paraId="064BA127" w14:textId="77777777" w:rsidR="00E359E2" w:rsidRDefault="00E359E2" w:rsidP="00D51300">
      <w:pPr>
        <w:spacing w:line="480" w:lineRule="auto"/>
      </w:pPr>
    </w:p>
    <w:p w14:paraId="170F316F" w14:textId="5F5EFE85" w:rsidR="00057D64" w:rsidRDefault="00F32ED6" w:rsidP="00F32ED6">
      <w:pPr>
        <w:spacing w:line="480" w:lineRule="auto"/>
        <w:ind w:firstLine="720"/>
      </w:pPr>
      <w:r>
        <w:t xml:space="preserve">However, there is a class of reasons—I call them </w:t>
      </w:r>
      <w:r>
        <w:rPr>
          <w:i/>
        </w:rPr>
        <w:t xml:space="preserve">elusive </w:t>
      </w:r>
      <w:r>
        <w:t>reasons—</w:t>
      </w:r>
      <w:r w:rsidR="008406C6">
        <w:t xml:space="preserve">that </w:t>
      </w:r>
      <w:r>
        <w:t xml:space="preserve">are apparently </w:t>
      </w:r>
      <w:r w:rsidR="008406C6">
        <w:t xml:space="preserve">impossible for an agent to act </w:t>
      </w:r>
      <w:r w:rsidR="008406C6">
        <w:rPr>
          <w:i/>
        </w:rPr>
        <w:t xml:space="preserve">for. </w:t>
      </w:r>
      <w:r w:rsidR="00D51300">
        <w:t>A now-classic example is Mark Schroeder’s surprise party case</w:t>
      </w:r>
      <w:r w:rsidR="005A2BAA">
        <w:t xml:space="preserve"> (Schroeder 2007: 165-166)</w:t>
      </w:r>
      <w:r w:rsidR="00D51300">
        <w:t xml:space="preserve">. Suppose that Nate has just arrived home, and there is a surprise party for Nate in the living room. Nate loves surprise parties (but not suspected parties), so it would make him happy to go into the living room. However, were Nate to go into the living room for the reason that there is a surprise party there, he would have to believe that there is a surprise party there. But then the party would not be a surprise, and the fact that there is a surprise party in the living room would no longer be a reason for him to go into the living room. </w:t>
      </w:r>
      <w:r w:rsidR="00FB5717">
        <w:t>So, Nate’s reason is one that he cannot act for.</w:t>
      </w:r>
      <w:r w:rsidR="005A2BAA">
        <w:rPr>
          <w:rStyle w:val="FootnoteReference"/>
        </w:rPr>
        <w:footnoteReference w:id="2"/>
      </w:r>
      <w:r w:rsidR="00FB5717">
        <w:t xml:space="preserve"> </w:t>
      </w:r>
    </w:p>
    <w:p w14:paraId="69B3427D" w14:textId="307B592A" w:rsidR="00E359E2" w:rsidRDefault="00E359E2" w:rsidP="00D51300">
      <w:pPr>
        <w:spacing w:line="480" w:lineRule="auto"/>
      </w:pPr>
      <w:r>
        <w:tab/>
      </w:r>
    </w:p>
    <w:p w14:paraId="310A6313" w14:textId="7557A428" w:rsidR="00057D64" w:rsidRPr="00DC450F" w:rsidRDefault="005A2BAA" w:rsidP="00DC450F">
      <w:pPr>
        <w:spacing w:line="480" w:lineRule="auto"/>
      </w:pPr>
      <w:r>
        <w:lastRenderedPageBreak/>
        <w:tab/>
      </w:r>
      <w:r w:rsidR="002F715C">
        <w:t xml:space="preserve">Jonathan Way and </w:t>
      </w:r>
      <w:r w:rsidR="00E359E2">
        <w:t>Daniel Whiting</w:t>
      </w:r>
      <w:r w:rsidR="00447455">
        <w:t xml:space="preserve"> (2016)</w:t>
      </w:r>
      <w:r w:rsidR="00E359E2">
        <w:t xml:space="preserve"> have offered a novel strategy for reconciling </w:t>
      </w:r>
      <w:r w:rsidR="00DC450F">
        <w:t xml:space="preserve">the RC and elusive reasons based on an analysis of the kind of ability required by the RC. In this essay, I argue that this strategy ultimately fails. </w:t>
      </w:r>
      <w:r w:rsidR="00BD25AC">
        <w:t xml:space="preserve">In the end, </w:t>
      </w:r>
      <w:r w:rsidR="0056026A">
        <w:t xml:space="preserve">Way and Whiting do not avoid commitment to an interpretation of RC that is incompatible with elusive reasons. </w:t>
      </w:r>
    </w:p>
    <w:p w14:paraId="183D60B5" w14:textId="54021DC3" w:rsidR="00057D64" w:rsidRDefault="00057D64" w:rsidP="00DC450F">
      <w:pPr>
        <w:pStyle w:val="Heading2"/>
        <w:numPr>
          <w:ilvl w:val="0"/>
          <w:numId w:val="1"/>
        </w:numPr>
        <w:rPr>
          <w:b/>
        </w:rPr>
      </w:pPr>
      <w:r>
        <w:rPr>
          <w:b/>
        </w:rPr>
        <w:t xml:space="preserve">Way and Whiting’s General Strategy </w:t>
      </w:r>
    </w:p>
    <w:p w14:paraId="703CB41A" w14:textId="77777777" w:rsidR="00DC450F" w:rsidRPr="00DC450F" w:rsidRDefault="00DC450F" w:rsidP="00DC450F"/>
    <w:p w14:paraId="05B3BBB3" w14:textId="33879EFF" w:rsidR="00057D64" w:rsidRDefault="00057D64" w:rsidP="00057D64">
      <w:pPr>
        <w:spacing w:line="480" w:lineRule="auto"/>
        <w:ind w:firstLine="720"/>
      </w:pPr>
      <w:r>
        <w:t xml:space="preserve">Way and Whiting’s general strategy is to distinguish between </w:t>
      </w:r>
      <w:r w:rsidR="00854352">
        <w:t>a number of different</w:t>
      </w:r>
      <w:r>
        <w:t xml:space="preserve"> interpretations of RC, </w:t>
      </w:r>
      <w:r w:rsidR="00A53F1F">
        <w:t>concede</w:t>
      </w:r>
      <w:r>
        <w:t xml:space="preserve"> that </w:t>
      </w:r>
      <w:r w:rsidR="00A53F1F">
        <w:t>certain</w:t>
      </w:r>
      <w:r>
        <w:t xml:space="preserve"> interpretation</w:t>
      </w:r>
      <w:r w:rsidR="00A53F1F">
        <w:t>s</w:t>
      </w:r>
      <w:r>
        <w:t xml:space="preserve"> </w:t>
      </w:r>
      <w:r w:rsidR="00A53F1F">
        <w:t xml:space="preserve">are </w:t>
      </w:r>
      <w:r>
        <w:t xml:space="preserve">vulnerable to counterexamples, and then argue that the version that is not vulnerable to counterexamples is also independently </w:t>
      </w:r>
      <w:r w:rsidR="00D73CC9">
        <w:t xml:space="preserve">more </w:t>
      </w:r>
      <w:r>
        <w:t>plausible</w:t>
      </w:r>
      <w:r w:rsidR="00D73CC9">
        <w:t xml:space="preserve"> than the vulnerable versions</w:t>
      </w:r>
      <w:r>
        <w:t xml:space="preserve">. </w:t>
      </w:r>
      <w:r w:rsidR="00DC450F">
        <w:t>In this section I</w:t>
      </w:r>
      <w:r>
        <w:t xml:space="preserve"> will briefly recapitulate their argument before turning to its evaluation</w:t>
      </w:r>
      <w:r w:rsidR="006D50F8">
        <w:t xml:space="preserve"> in section two</w:t>
      </w:r>
      <w:r w:rsidR="00DC450F">
        <w:t xml:space="preserve">. </w:t>
      </w:r>
    </w:p>
    <w:p w14:paraId="5B34817E" w14:textId="6E4D6E27" w:rsidR="00057D64" w:rsidRDefault="00057D64" w:rsidP="00057D64">
      <w:pPr>
        <w:spacing w:line="480" w:lineRule="auto"/>
        <w:ind w:firstLine="720"/>
      </w:pPr>
      <w:r>
        <w:t>Way and Whiting</w:t>
      </w:r>
      <w:r w:rsidR="00B3622C">
        <w:t xml:space="preserve"> begin by</w:t>
      </w:r>
      <w:r>
        <w:t xml:space="preserve"> distinguish</w:t>
      </w:r>
      <w:r w:rsidR="00B3622C">
        <w:t>ing</w:t>
      </w:r>
      <w:r>
        <w:t xml:space="preserve"> between two readings of RC, corresponding to two notions of “ability”: </w:t>
      </w:r>
    </w:p>
    <w:p w14:paraId="085892D9" w14:textId="77777777" w:rsidR="00057D64" w:rsidRDefault="00057D64" w:rsidP="00057D64">
      <w:pPr>
        <w:spacing w:line="480" w:lineRule="auto"/>
        <w:ind w:firstLine="720"/>
      </w:pPr>
    </w:p>
    <w:p w14:paraId="49063AAA" w14:textId="0579F761" w:rsidR="00057D64" w:rsidRPr="00B11D1A" w:rsidRDefault="00057D64" w:rsidP="00057D64">
      <w:pPr>
        <w:pStyle w:val="NormalWeb"/>
        <w:spacing w:line="480" w:lineRule="auto"/>
        <w:ind w:left="720"/>
        <w:rPr>
          <w:rFonts w:ascii="TimesNewRomanPSMT" w:hAnsi="TimesNewRomanPSMT"/>
        </w:rPr>
      </w:pPr>
      <w:proofErr w:type="spellStart"/>
      <w:r>
        <w:rPr>
          <w:rFonts w:ascii="TimesNewRomanPSMT" w:hAnsi="TimesNewRomanPSMT"/>
        </w:rPr>
        <w:t>RC</w:t>
      </w:r>
      <w:r w:rsidRPr="00B11D1A">
        <w:rPr>
          <w:rFonts w:ascii="TimesNewRomanPSMT" w:hAnsi="TimesNewRomanPSMT"/>
          <w:vertAlign w:val="subscript"/>
        </w:rPr>
        <w:t>General</w:t>
      </w:r>
      <w:proofErr w:type="spellEnd"/>
      <w:r>
        <w:rPr>
          <w:rFonts w:ascii="TimesNewRomanPSMT" w:hAnsi="TimesNewRomanPSMT"/>
        </w:rPr>
        <w:t xml:space="preserve">: p is a reason for you to φ only if you have the general ability to φ for the reason that p. </w:t>
      </w:r>
    </w:p>
    <w:p w14:paraId="0F056F91" w14:textId="59755A9C" w:rsidR="00057D64" w:rsidRDefault="00057D64" w:rsidP="00057D64">
      <w:pPr>
        <w:pStyle w:val="NormalWeb"/>
        <w:spacing w:line="480" w:lineRule="auto"/>
        <w:ind w:left="720"/>
        <w:rPr>
          <w:rFonts w:ascii="TimesNewRomanPSMT" w:hAnsi="TimesNewRomanPSMT"/>
        </w:rPr>
      </w:pPr>
      <w:r w:rsidRPr="00B21E64">
        <w:rPr>
          <w:rFonts w:ascii="TimesNewRomanPSMT" w:hAnsi="TimesNewRomanPSMT"/>
        </w:rPr>
        <w:t>RC</w:t>
      </w:r>
      <w:r w:rsidRPr="00B21E64">
        <w:rPr>
          <w:rFonts w:ascii="TimesNewRomanPSMT" w:hAnsi="TimesNewRomanPSMT"/>
          <w:position w:val="-2"/>
          <w:vertAlign w:val="subscript"/>
        </w:rPr>
        <w:t>Specific</w:t>
      </w:r>
      <w:r w:rsidR="00B21E64">
        <w:rPr>
          <w:rFonts w:ascii="TimesNewRomanPSMT" w:hAnsi="TimesNewRomanPSMT"/>
          <w:position w:val="-2"/>
        </w:rPr>
        <w:t xml:space="preserve">: </w:t>
      </w:r>
      <w:r w:rsidRPr="00B21E64">
        <w:rPr>
          <w:rFonts w:ascii="TimesNewRomanPSMT" w:hAnsi="TimesNewRomanPSMT"/>
        </w:rPr>
        <w:t>p</w:t>
      </w:r>
      <w:r>
        <w:rPr>
          <w:rFonts w:ascii="TimesNewRomanPSMT" w:hAnsi="TimesNewRomanPSMT"/>
        </w:rPr>
        <w:t xml:space="preserve"> is a reason for you to φ only if you have the specific ability to φ for the reason that p. </w:t>
      </w:r>
    </w:p>
    <w:p w14:paraId="5E95BF0D" w14:textId="77777777" w:rsidR="00057D64" w:rsidRDefault="00057D64" w:rsidP="00057D64">
      <w:pPr>
        <w:pStyle w:val="NormalWeb"/>
        <w:spacing w:line="480" w:lineRule="auto"/>
        <w:ind w:left="360"/>
        <w:rPr>
          <w:rFonts w:ascii="TimesNewRomanPSMT" w:hAnsi="TimesNewRomanPSMT"/>
        </w:rPr>
      </w:pPr>
    </w:p>
    <w:p w14:paraId="31CF4A76" w14:textId="1929B746" w:rsidR="00057D64" w:rsidRDefault="00057D64" w:rsidP="00057D64">
      <w:pPr>
        <w:pStyle w:val="NormalWeb"/>
        <w:spacing w:before="0" w:beforeAutospacing="0" w:after="0" w:afterAutospacing="0" w:line="480" w:lineRule="auto"/>
        <w:ind w:firstLine="720"/>
        <w:rPr>
          <w:rFonts w:ascii="TimesNewRomanPSMT" w:hAnsi="TimesNewRomanPSMT"/>
        </w:rPr>
      </w:pPr>
      <w:r>
        <w:t xml:space="preserve">A general ability to </w:t>
      </w:r>
      <w:r>
        <w:rPr>
          <w:rFonts w:ascii="TimesNewRomanPSMT" w:hAnsi="TimesNewRomanPSMT"/>
        </w:rPr>
        <w:t xml:space="preserve">act for reasons is an ability to have certain </w:t>
      </w:r>
      <w:r>
        <w:rPr>
          <w:rFonts w:ascii="TimesNewRomanPSMT" w:hAnsi="TimesNewRomanPSMT"/>
          <w:i/>
        </w:rPr>
        <w:t xml:space="preserve">types </w:t>
      </w:r>
      <w:r>
        <w:rPr>
          <w:rFonts w:ascii="TimesNewRomanPSMT" w:hAnsi="TimesNewRomanPSMT"/>
        </w:rPr>
        <w:t xml:space="preserve">of responses to certain </w:t>
      </w:r>
      <w:r>
        <w:rPr>
          <w:rFonts w:ascii="TimesNewRomanPSMT" w:hAnsi="TimesNewRomanPSMT"/>
          <w:i/>
        </w:rPr>
        <w:t xml:space="preserve">types </w:t>
      </w:r>
      <w:r>
        <w:rPr>
          <w:rFonts w:ascii="TimesNewRomanPSMT" w:hAnsi="TimesNewRomanPSMT"/>
        </w:rPr>
        <w:t xml:space="preserve">of reasons. For example, you might have the general ability to perform act-type A </w:t>
      </w:r>
      <w:r>
        <w:rPr>
          <w:rFonts w:ascii="TimesNewRomanPSMT" w:hAnsi="TimesNewRomanPSMT"/>
        </w:rPr>
        <w:lastRenderedPageBreak/>
        <w:t xml:space="preserve">in response to considerations of type B. </w:t>
      </w:r>
      <w:r>
        <w:t>Another way to think about it that Way and Whiting favor is that having a general ability to act for a reason is having the ability to follow certain patterns of reasoning</w:t>
      </w:r>
      <w:r w:rsidR="00E20181">
        <w:t xml:space="preserve"> (Way and Whiting 2016: 220)</w:t>
      </w:r>
      <w:r>
        <w:t xml:space="preserve">. </w:t>
      </w:r>
      <w:proofErr w:type="gramStart"/>
      <w:r>
        <w:t>So</w:t>
      </w:r>
      <w:proofErr w:type="gramEnd"/>
      <w:r>
        <w:t xml:space="preserve"> understood, </w:t>
      </w:r>
      <w:proofErr w:type="spellStart"/>
      <w:r>
        <w:t>RC</w:t>
      </w:r>
      <w:r w:rsidRPr="00303679">
        <w:rPr>
          <w:vertAlign w:val="subscript"/>
        </w:rPr>
        <w:t>General</w:t>
      </w:r>
      <w:proofErr w:type="spellEnd"/>
      <w:r>
        <w:t xml:space="preserve"> implies that p is a reason for you to </w:t>
      </w:r>
      <w:r>
        <w:rPr>
          <w:rFonts w:ascii="TimesNewRomanPSMT" w:hAnsi="TimesNewRomanPSMT"/>
        </w:rPr>
        <w:t xml:space="preserve">φ only if you are generally able to follow a rule of reasoning of which ‘p, so I’ll φ’ is an instance. A specific ability to act for reasons is an ability to act for a reason </w:t>
      </w:r>
      <w:r>
        <w:rPr>
          <w:rFonts w:ascii="TimesNewRomanPSMT" w:hAnsi="TimesNewRomanPSMT"/>
          <w:i/>
        </w:rPr>
        <w:t>here and now</w:t>
      </w:r>
      <w:r>
        <w:rPr>
          <w:rFonts w:ascii="TimesNewRomanPSMT" w:hAnsi="TimesNewRomanPSMT"/>
        </w:rPr>
        <w:t>, which requires that there is both opportunity and no ability-defeating interference</w:t>
      </w:r>
      <w:r w:rsidR="00095A6F">
        <w:rPr>
          <w:rFonts w:ascii="TimesNewRomanPSMT" w:hAnsi="TimesNewRomanPSMT"/>
        </w:rPr>
        <w:t xml:space="preserve"> (Way and Whiting 201</w:t>
      </w:r>
      <w:r w:rsidR="00AC4E2E">
        <w:rPr>
          <w:rFonts w:ascii="TimesNewRomanPSMT" w:hAnsi="TimesNewRomanPSMT"/>
        </w:rPr>
        <w:t>6: 222</w:t>
      </w:r>
      <w:r w:rsidR="00095A6F">
        <w:rPr>
          <w:rFonts w:ascii="TimesNewRomanPSMT" w:hAnsi="TimesNewRomanPSMT"/>
        </w:rPr>
        <w:t>)</w:t>
      </w:r>
      <w:r>
        <w:rPr>
          <w:rFonts w:ascii="TimesNewRomanPSMT" w:hAnsi="TimesNewRomanPSMT"/>
        </w:rPr>
        <w:t xml:space="preserve">. </w:t>
      </w:r>
    </w:p>
    <w:p w14:paraId="767A02D2" w14:textId="3FB977C5" w:rsidR="00A742EA" w:rsidRDefault="00BE044D" w:rsidP="001E71B0">
      <w:pPr>
        <w:pStyle w:val="NormalWeb"/>
        <w:spacing w:before="0" w:beforeAutospacing="0" w:after="0" w:afterAutospacing="0" w:line="480" w:lineRule="auto"/>
        <w:ind w:firstLine="720"/>
        <w:rPr>
          <w:rFonts w:ascii="TimesNewRomanPSMT" w:hAnsi="TimesNewRomanPSMT"/>
          <w:position w:val="-2"/>
        </w:rPr>
      </w:pPr>
      <w:r>
        <w:rPr>
          <w:rFonts w:ascii="TimesNewRomanPSMT" w:hAnsi="TimesNewRomanPSMT"/>
          <w:position w:val="-2"/>
        </w:rPr>
        <w:t xml:space="preserve">It is clear that in the surprise party case, Nate lacks the specific ability to go into the living room for the reason that there is a surprise party in the living room. </w:t>
      </w:r>
      <w:r w:rsidR="00A077B3">
        <w:rPr>
          <w:rFonts w:ascii="TimesNewRomanPSMT" w:hAnsi="TimesNewRomanPSMT"/>
          <w:position w:val="-2"/>
        </w:rPr>
        <w:t>The very thing that would enable him to do this—the belief that there is a surprise party in the living room—makes him unable to do it</w:t>
      </w:r>
      <w:r w:rsidR="00455374">
        <w:rPr>
          <w:rFonts w:ascii="TimesNewRomanPSMT" w:hAnsi="TimesNewRomanPSMT"/>
          <w:position w:val="-2"/>
        </w:rPr>
        <w:t xml:space="preserve"> in the present circumstances</w:t>
      </w:r>
      <w:r w:rsidR="00A077B3">
        <w:rPr>
          <w:rFonts w:ascii="TimesNewRomanPSMT" w:hAnsi="TimesNewRomanPSMT"/>
          <w:position w:val="-2"/>
        </w:rPr>
        <w:t xml:space="preserve">. </w:t>
      </w:r>
      <w:r w:rsidR="00A701B2">
        <w:rPr>
          <w:rFonts w:ascii="TimesNewRomanPSMT" w:hAnsi="TimesNewRomanPSMT"/>
          <w:position w:val="-2"/>
        </w:rPr>
        <w:t>Furthermore</w:t>
      </w:r>
      <w:r w:rsidR="00A742EA">
        <w:rPr>
          <w:rFonts w:ascii="TimesNewRomanPSMT" w:hAnsi="TimesNewRomanPSMT"/>
          <w:position w:val="-2"/>
        </w:rPr>
        <w:t xml:space="preserve">, </w:t>
      </w:r>
      <w:r w:rsidR="00A742EA">
        <w:rPr>
          <w:rFonts w:ascii="TimesNewRomanPSMT" w:hAnsi="TimesNewRomanPSMT"/>
        </w:rPr>
        <w:t xml:space="preserve">Way and Whiting acknowledge that agents in elusive reasons cases are not even </w:t>
      </w:r>
      <w:r w:rsidR="00A742EA" w:rsidRPr="00516F51">
        <w:rPr>
          <w:rFonts w:ascii="TimesNewRomanPSMT" w:hAnsi="TimesNewRomanPSMT"/>
          <w:i/>
        </w:rPr>
        <w:t>generally</w:t>
      </w:r>
      <w:r w:rsidR="00A742EA">
        <w:rPr>
          <w:rFonts w:ascii="TimesNewRomanPSMT" w:hAnsi="TimesNewRomanPSMT"/>
        </w:rPr>
        <w:t xml:space="preserve"> able to engage in the relatively fine-grained reasoning that involves the elusive reason as a premise (Way and Whiting 2016: 224). Thus, Nate is </w:t>
      </w:r>
      <w:r w:rsidR="00A742EA" w:rsidRPr="00516F51">
        <w:rPr>
          <w:rFonts w:ascii="TimesNewRomanPSMT" w:hAnsi="TimesNewRomanPSMT"/>
        </w:rPr>
        <w:t xml:space="preserve">generally </w:t>
      </w:r>
      <w:r w:rsidR="00A742EA">
        <w:rPr>
          <w:rFonts w:ascii="TimesNewRomanPSMT" w:hAnsi="TimesNewRomanPSMT"/>
        </w:rPr>
        <w:t xml:space="preserve">unable to act for his elusive reason on a relatively fine-grained construal of </w:t>
      </w:r>
      <w:proofErr w:type="spellStart"/>
      <w:r w:rsidR="00A742EA">
        <w:rPr>
          <w:rFonts w:ascii="TimesNewRomanPSMT" w:hAnsi="TimesNewRomanPSMT"/>
        </w:rPr>
        <w:t>RC</w:t>
      </w:r>
      <w:r w:rsidR="00A742EA">
        <w:rPr>
          <w:rFonts w:ascii="TimesNewRomanPSMT" w:hAnsi="TimesNewRomanPSMT"/>
          <w:vertAlign w:val="subscript"/>
        </w:rPr>
        <w:t>General</w:t>
      </w:r>
      <w:proofErr w:type="spellEnd"/>
      <w:r w:rsidR="00A742EA">
        <w:rPr>
          <w:rFonts w:ascii="TimesNewRomanPSMT" w:hAnsi="TimesNewRomanPSMT"/>
        </w:rPr>
        <w:t>.</w:t>
      </w:r>
    </w:p>
    <w:p w14:paraId="58CCB3AF" w14:textId="71E0D2B7" w:rsidR="00057D64" w:rsidRPr="00651D12" w:rsidRDefault="00A077B3" w:rsidP="00651D12">
      <w:pPr>
        <w:pStyle w:val="NormalWeb"/>
        <w:spacing w:before="0" w:beforeAutospacing="0" w:after="0" w:afterAutospacing="0" w:line="480" w:lineRule="auto"/>
        <w:ind w:firstLine="720"/>
        <w:rPr>
          <w:rFonts w:ascii="TimesNewRomanPSMT" w:hAnsi="TimesNewRomanPSMT"/>
          <w:position w:val="-2"/>
        </w:rPr>
      </w:pPr>
      <w:r>
        <w:rPr>
          <w:rFonts w:ascii="TimesNewRomanPSMT" w:hAnsi="TimesNewRomanPSMT"/>
          <w:position w:val="-2"/>
        </w:rPr>
        <w:t xml:space="preserve">However, Way and Whiting argue that in one important sense, Nate has the </w:t>
      </w:r>
      <w:r w:rsidRPr="00633506">
        <w:rPr>
          <w:rFonts w:ascii="TimesNewRomanPSMT" w:hAnsi="TimesNewRomanPSMT"/>
          <w:position w:val="-2"/>
        </w:rPr>
        <w:t xml:space="preserve">general </w:t>
      </w:r>
      <w:r>
        <w:rPr>
          <w:rFonts w:ascii="TimesNewRomanPSMT" w:hAnsi="TimesNewRomanPSMT"/>
          <w:position w:val="-2"/>
        </w:rPr>
        <w:t>ability to</w:t>
      </w:r>
      <w:r w:rsidR="00F44F9F">
        <w:rPr>
          <w:rFonts w:ascii="TimesNewRomanPSMT" w:hAnsi="TimesNewRomanPSMT"/>
          <w:position w:val="-2"/>
        </w:rPr>
        <w:t xml:space="preserve"> act for this reason</w:t>
      </w:r>
      <w:r>
        <w:rPr>
          <w:rFonts w:ascii="TimesNewRomanPSMT" w:hAnsi="TimesNewRomanPSMT"/>
          <w:position w:val="-2"/>
        </w:rPr>
        <w:t>.</w:t>
      </w:r>
      <w:r w:rsidR="008D2155">
        <w:rPr>
          <w:rFonts w:ascii="TimesNewRomanPSMT" w:hAnsi="TimesNewRomanPSMT"/>
          <w:position w:val="-2"/>
        </w:rPr>
        <w:t xml:space="preserve"> Normal</w:t>
      </w:r>
      <w:r>
        <w:rPr>
          <w:rFonts w:ascii="TimesNewRomanPSMT" w:hAnsi="TimesNewRomanPSMT"/>
          <w:position w:val="-2"/>
        </w:rPr>
        <w:t xml:space="preserve"> </w:t>
      </w:r>
      <w:r w:rsidR="008D2155">
        <w:rPr>
          <w:rFonts w:ascii="TimesNewRomanPSMT" w:hAnsi="TimesNewRomanPSMT"/>
        </w:rPr>
        <w:t>a</w:t>
      </w:r>
      <w:r w:rsidR="00057D64">
        <w:rPr>
          <w:rFonts w:ascii="TimesNewRomanPSMT" w:hAnsi="TimesNewRomanPSMT"/>
        </w:rPr>
        <w:t xml:space="preserve">gents in elusive reason cases are still </w:t>
      </w:r>
      <w:r w:rsidR="001C6A50">
        <w:rPr>
          <w:rFonts w:ascii="TimesNewRomanPSMT" w:hAnsi="TimesNewRomanPSMT"/>
        </w:rPr>
        <w:t xml:space="preserve">generally </w:t>
      </w:r>
      <w:r w:rsidR="00057D64">
        <w:rPr>
          <w:rFonts w:ascii="TimesNewRomanPSMT" w:hAnsi="TimesNewRomanPSMT"/>
        </w:rPr>
        <w:t>able to follow patterns of reasoning of which the ‘surprise party reasoning’—viz., “if there’s a surprise party for me at location L, go to L</w:t>
      </w:r>
      <w:r w:rsidR="009D2E3C">
        <w:rPr>
          <w:rFonts w:ascii="TimesNewRomanPSMT" w:hAnsi="TimesNewRomanPSMT"/>
        </w:rPr>
        <w:t>.</w:t>
      </w:r>
      <w:r w:rsidR="00057D64">
        <w:rPr>
          <w:rFonts w:ascii="TimesNewRomanPSMT" w:hAnsi="TimesNewRomanPSMT"/>
        </w:rPr>
        <w:t xml:space="preserve">”—is an instance or token. For instance, </w:t>
      </w:r>
      <w:r w:rsidR="00455374">
        <w:rPr>
          <w:rFonts w:ascii="TimesNewRomanPSMT" w:hAnsi="TimesNewRomanPSMT"/>
        </w:rPr>
        <w:t>Nate</w:t>
      </w:r>
      <w:r w:rsidR="00057D64">
        <w:rPr>
          <w:rFonts w:ascii="TimesNewRomanPSMT" w:hAnsi="TimesNewRomanPSMT"/>
        </w:rPr>
        <w:t xml:space="preserve"> is able to reason “I’ll enjoy X, X is located in location L, so I’ll go to L.” This coarse-grained </w:t>
      </w:r>
      <w:r w:rsidR="00DA38D2">
        <w:rPr>
          <w:rFonts w:ascii="TimesNewRomanPSMT" w:hAnsi="TimesNewRomanPSMT"/>
        </w:rPr>
        <w:t xml:space="preserve">general </w:t>
      </w:r>
      <w:r w:rsidR="00057D64">
        <w:rPr>
          <w:rFonts w:ascii="TimesNewRomanPSMT" w:hAnsi="TimesNewRomanPSMT"/>
        </w:rPr>
        <w:t xml:space="preserve">ability is sufficient, so Way and Whiting argue, to satisfy a plausible conception of </w:t>
      </w:r>
      <w:proofErr w:type="spellStart"/>
      <w:r w:rsidR="00057D64">
        <w:rPr>
          <w:rFonts w:ascii="TimesNewRomanPSMT" w:hAnsi="TimesNewRomanPSMT"/>
        </w:rPr>
        <w:t>RC</w:t>
      </w:r>
      <w:r w:rsidR="00057D64">
        <w:rPr>
          <w:rFonts w:ascii="TimesNewRomanPSMT" w:hAnsi="TimesNewRomanPSMT"/>
          <w:vertAlign w:val="subscript"/>
        </w:rPr>
        <w:t>General</w:t>
      </w:r>
      <w:proofErr w:type="spellEnd"/>
      <w:r w:rsidR="00057D64">
        <w:rPr>
          <w:rFonts w:ascii="TimesNewRomanPSMT" w:hAnsi="TimesNewRomanPSMT"/>
        </w:rPr>
        <w:t xml:space="preserve">. </w:t>
      </w:r>
      <w:r w:rsidR="00A742EA">
        <w:rPr>
          <w:rFonts w:ascii="TimesNewRomanPSMT" w:hAnsi="TimesNewRomanPSMT"/>
        </w:rPr>
        <w:t>Mo</w:t>
      </w:r>
      <w:r w:rsidR="00A701B2">
        <w:rPr>
          <w:rFonts w:ascii="TimesNewRomanPSMT" w:hAnsi="TimesNewRomanPSMT"/>
        </w:rPr>
        <w:t>r</w:t>
      </w:r>
      <w:r w:rsidR="00A742EA">
        <w:rPr>
          <w:rFonts w:ascii="TimesNewRomanPSMT" w:hAnsi="TimesNewRomanPSMT"/>
        </w:rPr>
        <w:t>eover</w:t>
      </w:r>
      <w:r w:rsidR="00A7287D">
        <w:rPr>
          <w:rFonts w:ascii="TimesNewRomanPSMT" w:hAnsi="TimesNewRomanPSMT"/>
        </w:rPr>
        <w:t>, Way and Whiting</w:t>
      </w:r>
      <w:r w:rsidR="00057D64">
        <w:rPr>
          <w:rFonts w:ascii="TimesNewRomanPSMT" w:hAnsi="TimesNewRomanPSMT"/>
        </w:rPr>
        <w:t xml:space="preserve"> argue </w:t>
      </w:r>
      <w:r w:rsidR="00223D80">
        <w:rPr>
          <w:rFonts w:ascii="TimesNewRomanPSMT" w:hAnsi="TimesNewRomanPSMT"/>
        </w:rPr>
        <w:t>that the</w:t>
      </w:r>
      <w:r w:rsidR="00057D64">
        <w:rPr>
          <w:rFonts w:ascii="TimesNewRomanPSMT" w:hAnsi="TimesNewRomanPSMT"/>
        </w:rPr>
        <w:t xml:space="preserve"> fine-grained </w:t>
      </w:r>
      <w:r w:rsidR="00FB2EBD">
        <w:rPr>
          <w:rFonts w:ascii="TimesNewRomanPSMT" w:hAnsi="TimesNewRomanPSMT"/>
        </w:rPr>
        <w:t xml:space="preserve">interpretation of </w:t>
      </w:r>
      <w:proofErr w:type="spellStart"/>
      <w:r w:rsidR="00FB2EBD">
        <w:rPr>
          <w:rFonts w:ascii="TimesNewRomanPSMT" w:hAnsi="TimesNewRomanPSMT"/>
        </w:rPr>
        <w:t>RC</w:t>
      </w:r>
      <w:r w:rsidR="00FB2EBD">
        <w:rPr>
          <w:rFonts w:ascii="TimesNewRomanPSMT" w:hAnsi="TimesNewRomanPSMT"/>
          <w:vertAlign w:val="subscript"/>
        </w:rPr>
        <w:t>General</w:t>
      </w:r>
      <w:proofErr w:type="spellEnd"/>
      <w:r w:rsidR="00C160E5">
        <w:rPr>
          <w:rFonts w:ascii="TimesNewRomanPSMT" w:hAnsi="TimesNewRomanPSMT"/>
        </w:rPr>
        <w:t xml:space="preserve"> </w:t>
      </w:r>
      <w:r w:rsidR="00057D64">
        <w:rPr>
          <w:rFonts w:ascii="TimesNewRomanPSMT" w:hAnsi="TimesNewRomanPSMT"/>
        </w:rPr>
        <w:t>is implausible in any case.</w:t>
      </w:r>
      <w:r w:rsidR="007936C4">
        <w:rPr>
          <w:rFonts w:ascii="TimesNewRomanPSMT" w:hAnsi="TimesNewRomanPSMT"/>
        </w:rPr>
        <w:t xml:space="preserve"> </w:t>
      </w:r>
      <w:r w:rsidR="00057D64">
        <w:rPr>
          <w:rFonts w:ascii="TimesNewRomanPSMT" w:hAnsi="TimesNewRomanPSMT"/>
        </w:rPr>
        <w:t xml:space="preserve">Thus, the case for the compatibility of elusive reasons with the response constraint rests </w:t>
      </w:r>
      <w:r w:rsidR="007936C4">
        <w:rPr>
          <w:rFonts w:ascii="TimesNewRomanPSMT" w:hAnsi="TimesNewRomanPSMT"/>
        </w:rPr>
        <w:t xml:space="preserve">on </w:t>
      </w:r>
      <w:r w:rsidR="00862329">
        <w:rPr>
          <w:rFonts w:ascii="TimesNewRomanPSMT" w:hAnsi="TimesNewRomanPSMT"/>
        </w:rPr>
        <w:lastRenderedPageBreak/>
        <w:t xml:space="preserve">Way and Whiting’s </w:t>
      </w:r>
      <w:r w:rsidR="00057D64">
        <w:rPr>
          <w:rFonts w:ascii="TimesNewRomanPSMT" w:hAnsi="TimesNewRomanPSMT"/>
        </w:rPr>
        <w:t xml:space="preserve">argument that </w:t>
      </w:r>
      <w:proofErr w:type="spellStart"/>
      <w:r w:rsidR="00057D64">
        <w:rPr>
          <w:rFonts w:ascii="TimesNewRomanPSMT" w:hAnsi="TimesNewRomanPSMT"/>
        </w:rPr>
        <w:t>RC</w:t>
      </w:r>
      <w:r w:rsidR="00057D64">
        <w:rPr>
          <w:rFonts w:ascii="TimesNewRomanPSMT" w:hAnsi="TimesNewRomanPSMT"/>
          <w:vertAlign w:val="subscript"/>
        </w:rPr>
        <w:t>General</w:t>
      </w:r>
      <w:proofErr w:type="spellEnd"/>
      <w:r w:rsidR="00057D64">
        <w:rPr>
          <w:rFonts w:ascii="TimesNewRomanPSMT" w:hAnsi="TimesNewRomanPSMT"/>
          <w:vertAlign w:val="subscript"/>
        </w:rPr>
        <w:t xml:space="preserve"> </w:t>
      </w:r>
      <w:r w:rsidR="00057D64">
        <w:rPr>
          <w:rFonts w:ascii="TimesNewRomanPSMT" w:hAnsi="TimesNewRomanPSMT"/>
        </w:rPr>
        <w:t xml:space="preserve">ought to be construed in a relatively coarse-grained, rather than a relatively fine-grained manner. It is to these arguments that I now turn. </w:t>
      </w:r>
    </w:p>
    <w:p w14:paraId="40162235" w14:textId="77777777" w:rsidR="00057D64" w:rsidRPr="004D668B" w:rsidRDefault="00057D64" w:rsidP="00057D64">
      <w:pPr>
        <w:pStyle w:val="Heading2"/>
        <w:numPr>
          <w:ilvl w:val="0"/>
          <w:numId w:val="1"/>
        </w:numPr>
        <w:rPr>
          <w:b/>
        </w:rPr>
      </w:pPr>
      <w:r w:rsidRPr="004D668B">
        <w:rPr>
          <w:b/>
        </w:rPr>
        <w:t xml:space="preserve">Digging into </w:t>
      </w:r>
      <w:proofErr w:type="spellStart"/>
      <w:r w:rsidRPr="004D668B">
        <w:rPr>
          <w:b/>
        </w:rPr>
        <w:t>RC</w:t>
      </w:r>
      <w:r w:rsidRPr="004D668B">
        <w:rPr>
          <w:b/>
          <w:vertAlign w:val="subscript"/>
        </w:rPr>
        <w:t>General</w:t>
      </w:r>
      <w:proofErr w:type="spellEnd"/>
    </w:p>
    <w:p w14:paraId="2C2B18BB" w14:textId="77777777" w:rsidR="00057D64" w:rsidRDefault="00057D64" w:rsidP="00057D64"/>
    <w:p w14:paraId="0C6090BC" w14:textId="77777777" w:rsidR="00057D64" w:rsidRPr="004D668B" w:rsidRDefault="00057D64" w:rsidP="00057D64">
      <w:pPr>
        <w:pStyle w:val="Heading3"/>
        <w:numPr>
          <w:ilvl w:val="1"/>
          <w:numId w:val="1"/>
        </w:numPr>
        <w:rPr>
          <w:b/>
        </w:rPr>
      </w:pPr>
      <w:r w:rsidRPr="004D668B">
        <w:rPr>
          <w:b/>
        </w:rPr>
        <w:t>The Elliot Case</w:t>
      </w:r>
    </w:p>
    <w:p w14:paraId="6F9D24C1" w14:textId="77777777" w:rsidR="00057D64" w:rsidRPr="004D668B" w:rsidRDefault="00057D64" w:rsidP="00057D64">
      <w:pPr>
        <w:pStyle w:val="ListParagraph"/>
      </w:pPr>
    </w:p>
    <w:p w14:paraId="7A98039C" w14:textId="717749BA" w:rsidR="00057D64" w:rsidRDefault="00057D64" w:rsidP="00057D64">
      <w:pPr>
        <w:spacing w:line="480" w:lineRule="auto"/>
        <w:ind w:firstLine="720"/>
        <w:rPr>
          <w:vertAlign w:val="subscript"/>
        </w:rPr>
      </w:pPr>
      <w:r>
        <w:t xml:space="preserve">To show that their coarse-grained construal of </w:t>
      </w:r>
      <w:proofErr w:type="spellStart"/>
      <w:r w:rsidRPr="004D668B">
        <w:t>RC</w:t>
      </w:r>
      <w:r w:rsidRPr="004D668B">
        <w:rPr>
          <w:vertAlign w:val="subscript"/>
        </w:rPr>
        <w:t>General</w:t>
      </w:r>
      <w:proofErr w:type="spellEnd"/>
      <w:r w:rsidRPr="004D668B">
        <w:t xml:space="preserve"> </w:t>
      </w:r>
      <w:r>
        <w:t xml:space="preserve">is correct, Way and Whiting argue that a more fine-grained construal </w:t>
      </w:r>
      <w:r w:rsidR="00696D7C">
        <w:t xml:space="preserve">yields </w:t>
      </w:r>
      <w:r>
        <w:t xml:space="preserve">counterintuitive </w:t>
      </w:r>
      <w:r w:rsidR="00651D12">
        <w:t xml:space="preserve">verdicts </w:t>
      </w:r>
      <w:r>
        <w:t xml:space="preserve">in certain cases. Consider Elliot, for whom the fact that spinach contains iron is a reason for him to eat his spinach. Way and Whiting think that this case shows </w:t>
      </w:r>
      <w:proofErr w:type="spellStart"/>
      <w:r>
        <w:t>RC</w:t>
      </w:r>
      <w:r w:rsidRPr="00D6140B">
        <w:rPr>
          <w:vertAlign w:val="subscript"/>
        </w:rPr>
        <w:t>General</w:t>
      </w:r>
      <w:proofErr w:type="spellEnd"/>
      <w:r>
        <w:t xml:space="preserve"> ought to be interpreted in a coarse-grained fashion. Their reasoning is as follows. If the fact that spinach contains iron were a reason for Elliot to eat his spinach only if Elliot were able, in general, to reason using the concept &lt;iron&gt;—e.g., “spinach contains iron, so I’ll eat spinach”—then because Elliot actually lacks this concept, that fact</w:t>
      </w:r>
      <w:bookmarkStart w:id="0" w:name="_GoBack"/>
      <w:bookmarkEnd w:id="0"/>
      <w:r>
        <w:t xml:space="preserve"> would not be a reason for him to eat his spinach. </w:t>
      </w:r>
      <w:proofErr w:type="spellStart"/>
      <w:r>
        <w:t>RC</w:t>
      </w:r>
      <w:r w:rsidRPr="00062E96">
        <w:rPr>
          <w:vertAlign w:val="subscript"/>
        </w:rPr>
        <w:t>General</w:t>
      </w:r>
      <w:proofErr w:type="spellEnd"/>
      <w:r w:rsidRPr="00062E96">
        <w:rPr>
          <w:vertAlign w:val="subscript"/>
        </w:rPr>
        <w:t xml:space="preserve"> </w:t>
      </w:r>
      <w:r>
        <w:t xml:space="preserve">ought to be interpreted in such a way that Elliot’s reason satisfies it, and </w:t>
      </w:r>
      <w:r>
        <w:rPr>
          <w:i/>
        </w:rPr>
        <w:t xml:space="preserve">this </w:t>
      </w:r>
      <w:r>
        <w:t xml:space="preserve">requires that Elliot’s ignorance of the concept &lt;iron&gt; does not preclude him from the general ability to eat his spinach for this reason. </w:t>
      </w:r>
      <w:r w:rsidR="00886458">
        <w:t>This suggests the need for a relatively</w:t>
      </w:r>
      <w:r w:rsidR="002E4EC8">
        <w:t xml:space="preserve"> coarse-grained interpretation</w:t>
      </w:r>
      <w:r w:rsidR="00886458">
        <w:t xml:space="preserve"> of</w:t>
      </w:r>
      <w:r w:rsidR="002E4EC8">
        <w:t xml:space="preserve"> </w:t>
      </w:r>
      <w:proofErr w:type="spellStart"/>
      <w:r>
        <w:t>RC</w:t>
      </w:r>
      <w:r w:rsidRPr="00062E96">
        <w:rPr>
          <w:vertAlign w:val="subscript"/>
        </w:rPr>
        <w:t>General</w:t>
      </w:r>
      <w:proofErr w:type="spellEnd"/>
      <w:r w:rsidR="00886458">
        <w:t xml:space="preserve"> according to which, for example,</w:t>
      </w:r>
      <w:r w:rsidRPr="00062E96">
        <w:rPr>
          <w:vertAlign w:val="subscript"/>
        </w:rPr>
        <w:t xml:space="preserve"> </w:t>
      </w:r>
      <w:r>
        <w:t>th</w:t>
      </w:r>
      <w:r w:rsidR="00886458">
        <w:t>e fact that spinach contains iron</w:t>
      </w:r>
      <w:r>
        <w:t xml:space="preserve"> is a reason for Elliot to ea</w:t>
      </w:r>
      <w:r w:rsidR="006867F5">
        <w:t>t</w:t>
      </w:r>
      <w:r>
        <w:t xml:space="preserve"> his spinach only if Elliot is able </w:t>
      </w:r>
      <w:r w:rsidR="00D947C7">
        <w:t xml:space="preserve">to </w:t>
      </w:r>
      <w:r>
        <w:t xml:space="preserve">reason using facts that relate to the benefits of eating spinach, of which the fact that spinach contains iron is an instance or token. Elliot is able to do </w:t>
      </w:r>
      <w:r w:rsidRPr="00AA1002">
        <w:rPr>
          <w:i/>
        </w:rPr>
        <w:t xml:space="preserve">this </w:t>
      </w:r>
      <w:r>
        <w:t xml:space="preserve">despite lacking the concept &lt;iron&gt;, so the fact that spinach contains iron satisfies </w:t>
      </w:r>
      <w:proofErr w:type="spellStart"/>
      <w:r>
        <w:t>RC</w:t>
      </w:r>
      <w:r>
        <w:rPr>
          <w:vertAlign w:val="subscript"/>
        </w:rPr>
        <w:t>General</w:t>
      </w:r>
      <w:proofErr w:type="spellEnd"/>
      <w:r w:rsidR="003F7D54">
        <w:rPr>
          <w:vertAlign w:val="subscript"/>
        </w:rPr>
        <w:t xml:space="preserve"> </w:t>
      </w:r>
      <w:r w:rsidR="003F7D54">
        <w:t>on this coarse-grained construa</w:t>
      </w:r>
      <w:r w:rsidR="007A3967">
        <w:t>l.</w:t>
      </w:r>
    </w:p>
    <w:p w14:paraId="34CF6F7C" w14:textId="77777777" w:rsidR="00057D64" w:rsidRDefault="00057D64" w:rsidP="00057D64">
      <w:pPr>
        <w:spacing w:line="480" w:lineRule="auto"/>
        <w:ind w:firstLine="720"/>
      </w:pPr>
      <w:r>
        <w:t xml:space="preserve">Now, notice that Way and Whiting are interpreting </w:t>
      </w:r>
      <w:proofErr w:type="spellStart"/>
      <w:r>
        <w:t>RC</w:t>
      </w:r>
      <w:r w:rsidRPr="00062E96">
        <w:rPr>
          <w:vertAlign w:val="subscript"/>
        </w:rPr>
        <w:t>General</w:t>
      </w:r>
      <w:proofErr w:type="spellEnd"/>
      <w:r>
        <w:t xml:space="preserve"> to mean that </w:t>
      </w:r>
      <w:r>
        <w:rPr>
          <w:i/>
        </w:rPr>
        <w:t>S</w:t>
      </w:r>
      <w:r>
        <w:t xml:space="preserve"> has the general ability to </w:t>
      </w:r>
      <w:r>
        <w:rPr>
          <w:rFonts w:ascii="TimesNewRomanPSMT" w:hAnsi="TimesNewRomanPSMT"/>
        </w:rPr>
        <w:t xml:space="preserve">φ for the reason that p only if, </w:t>
      </w:r>
      <w:r>
        <w:rPr>
          <w:rFonts w:ascii="TimesNewRomanPSMT" w:hAnsi="TimesNewRomanPSMT"/>
          <w:i/>
        </w:rPr>
        <w:t>holding fixed S’s actual beliefs</w:t>
      </w:r>
      <w:r>
        <w:rPr>
          <w:rFonts w:ascii="TimesNewRomanPSMT" w:hAnsi="TimesNewRomanPSMT"/>
        </w:rPr>
        <w:t xml:space="preserve">, </w:t>
      </w:r>
      <w:r>
        <w:rPr>
          <w:rFonts w:ascii="TimesNewRomanPSMT" w:hAnsi="TimesNewRomanPSMT"/>
          <w:i/>
        </w:rPr>
        <w:t xml:space="preserve">S </w:t>
      </w:r>
      <w:r>
        <w:rPr>
          <w:rFonts w:ascii="TimesNewRomanPSMT" w:hAnsi="TimesNewRomanPSMT"/>
        </w:rPr>
        <w:t xml:space="preserve">is able to do </w:t>
      </w:r>
      <w:r>
        <w:rPr>
          <w:rFonts w:ascii="TimesNewRomanPSMT" w:hAnsi="TimesNewRomanPSMT"/>
        </w:rPr>
        <w:lastRenderedPageBreak/>
        <w:t>something (e.g. engage in instrumental reasoning) of which φ-</w:t>
      </w:r>
      <w:proofErr w:type="spellStart"/>
      <w:r>
        <w:rPr>
          <w:rFonts w:ascii="TimesNewRomanPSMT" w:hAnsi="TimesNewRomanPSMT"/>
        </w:rPr>
        <w:t>ing</w:t>
      </w:r>
      <w:proofErr w:type="spellEnd"/>
      <w:r>
        <w:rPr>
          <w:rFonts w:ascii="TimesNewRomanPSMT" w:hAnsi="TimesNewRomanPSMT"/>
        </w:rPr>
        <w:t xml:space="preserve"> for the reason that p is a token. Otherwise, the fact that Elliot </w:t>
      </w:r>
      <w:r w:rsidRPr="00290CCC">
        <w:rPr>
          <w:rFonts w:ascii="TimesNewRomanPSMT" w:hAnsi="TimesNewRomanPSMT"/>
          <w:i/>
        </w:rPr>
        <w:t>actually</w:t>
      </w:r>
      <w:r>
        <w:rPr>
          <w:rFonts w:ascii="TimesNewRomanPSMT" w:hAnsi="TimesNewRomanPSMT"/>
        </w:rPr>
        <w:t xml:space="preserve"> lacks the concept &lt;iron&gt; would not pose a difficulty for the more fine-grained interpretation of </w:t>
      </w:r>
      <w:proofErr w:type="spellStart"/>
      <w:r>
        <w:rPr>
          <w:rFonts w:ascii="TimesNewRomanPSMT" w:hAnsi="TimesNewRomanPSMT"/>
        </w:rPr>
        <w:t>RC</w:t>
      </w:r>
      <w:r>
        <w:rPr>
          <w:rFonts w:ascii="TimesNewRomanPSMT" w:hAnsi="TimesNewRomanPSMT"/>
          <w:vertAlign w:val="subscript"/>
        </w:rPr>
        <w:t>General</w:t>
      </w:r>
      <w:proofErr w:type="spellEnd"/>
      <w:r>
        <w:rPr>
          <w:rFonts w:ascii="TimesNewRomanPSMT" w:hAnsi="TimesNewRomanPSMT"/>
          <w:vertAlign w:val="subscript"/>
        </w:rPr>
        <w:t xml:space="preserve">. </w:t>
      </w:r>
      <w:r>
        <w:rPr>
          <w:rFonts w:ascii="TimesNewRomanPSMT" w:hAnsi="TimesNewRomanPSMT"/>
        </w:rPr>
        <w:t xml:space="preserve">For suppose that Elliot could satisfy this more fine-grained requirement by eating his spinach for the reason that it contains iron in a world in which he has the concept &lt;iron&gt;. In that case, that the more fine-grained </w:t>
      </w:r>
      <w:proofErr w:type="spellStart"/>
      <w:r>
        <w:rPr>
          <w:rFonts w:ascii="TimesNewRomanPSMT" w:hAnsi="TimesNewRomanPSMT"/>
        </w:rPr>
        <w:t>RC</w:t>
      </w:r>
      <w:r w:rsidRPr="00062E96">
        <w:rPr>
          <w:rFonts w:ascii="TimesNewRomanPSMT" w:hAnsi="TimesNewRomanPSMT"/>
          <w:vertAlign w:val="subscript"/>
        </w:rPr>
        <w:t>General</w:t>
      </w:r>
      <w:proofErr w:type="spellEnd"/>
      <w:r w:rsidRPr="00062E96">
        <w:rPr>
          <w:rFonts w:ascii="TimesNewRomanPSMT" w:hAnsi="TimesNewRomanPSMT"/>
          <w:vertAlign w:val="subscript"/>
        </w:rPr>
        <w:t xml:space="preserve"> </w:t>
      </w:r>
      <w:r>
        <w:t xml:space="preserve">requires Elliot to be able to reason with the concept &lt;iron&gt; would not rule out this reason’s “reason-hood.” Put another way, Way and Whiting argue that the following interpretation of </w:t>
      </w:r>
      <w:proofErr w:type="spellStart"/>
      <w:r>
        <w:t>RC</w:t>
      </w:r>
      <w:r w:rsidRPr="00062E96">
        <w:rPr>
          <w:vertAlign w:val="subscript"/>
        </w:rPr>
        <w:t>General</w:t>
      </w:r>
      <w:proofErr w:type="spellEnd"/>
      <w:r>
        <w:t xml:space="preserve"> is required to vindicate the intuition the intuition that Elliot has a reason to eat his spinach: </w:t>
      </w:r>
    </w:p>
    <w:p w14:paraId="14F4AC9C" w14:textId="77777777" w:rsidR="00057D64" w:rsidRDefault="00057D64" w:rsidP="00057D64">
      <w:pPr>
        <w:spacing w:line="480" w:lineRule="auto"/>
        <w:ind w:firstLine="720"/>
      </w:pPr>
    </w:p>
    <w:p w14:paraId="098E97DE" w14:textId="77777777" w:rsidR="00057D64" w:rsidRDefault="00057D64" w:rsidP="00057D64">
      <w:pPr>
        <w:spacing w:line="480" w:lineRule="auto"/>
        <w:ind w:left="720" w:firstLine="40"/>
        <w:rPr>
          <w:rFonts w:ascii="TimesNewRomanPSMT" w:hAnsi="TimesNewRomanPSMT"/>
        </w:rPr>
      </w:pPr>
      <w:proofErr w:type="spellStart"/>
      <w:r>
        <w:t>RC</w:t>
      </w:r>
      <w:r>
        <w:rPr>
          <w:vertAlign w:val="subscript"/>
        </w:rPr>
        <w:t>General</w:t>
      </w:r>
      <w:proofErr w:type="spellEnd"/>
      <w:r>
        <w:t xml:space="preserve">*: </w:t>
      </w:r>
      <w:r>
        <w:rPr>
          <w:rFonts w:ascii="TimesNewRomanPSMT" w:hAnsi="TimesNewRomanPSMT"/>
        </w:rPr>
        <w:t xml:space="preserve">p is a reason for </w:t>
      </w:r>
      <w:r>
        <w:rPr>
          <w:rFonts w:ascii="TimesNewRomanPSMT" w:hAnsi="TimesNewRomanPSMT"/>
          <w:i/>
        </w:rPr>
        <w:t xml:space="preserve">S </w:t>
      </w:r>
      <w:r>
        <w:rPr>
          <w:rFonts w:ascii="TimesNewRomanPSMT" w:hAnsi="TimesNewRomanPSMT"/>
        </w:rPr>
        <w:t xml:space="preserve">to φ only if, holding fixed </w:t>
      </w:r>
      <w:r>
        <w:rPr>
          <w:rFonts w:ascii="TimesNewRomanPSMT" w:hAnsi="TimesNewRomanPSMT"/>
          <w:i/>
        </w:rPr>
        <w:t xml:space="preserve">S’s </w:t>
      </w:r>
      <w:r>
        <w:rPr>
          <w:rFonts w:ascii="TimesNewRomanPSMT" w:hAnsi="TimesNewRomanPSMT"/>
        </w:rPr>
        <w:t xml:space="preserve">actual beliefs, </w:t>
      </w:r>
      <w:r>
        <w:rPr>
          <w:rFonts w:ascii="TimesNewRomanPSMT" w:hAnsi="TimesNewRomanPSMT"/>
          <w:i/>
        </w:rPr>
        <w:t>S</w:t>
      </w:r>
      <w:r>
        <w:rPr>
          <w:rFonts w:ascii="TimesNewRomanPSMT" w:hAnsi="TimesNewRomanPSMT"/>
        </w:rPr>
        <w:t xml:space="preserve"> is able to perform φ-type actions for p-type reasons (where these types are construed in a relatively coarse-grained way). </w:t>
      </w:r>
    </w:p>
    <w:p w14:paraId="3E64E628" w14:textId="77BDC7EC" w:rsidR="00057D64" w:rsidRDefault="00057D64" w:rsidP="00057D64">
      <w:pPr>
        <w:spacing w:line="480" w:lineRule="auto"/>
        <w:ind w:left="720" w:firstLine="40"/>
        <w:rPr>
          <w:rFonts w:ascii="TimesNewRomanPSMT" w:hAnsi="TimesNewRomanPSMT"/>
        </w:rPr>
      </w:pPr>
    </w:p>
    <w:p w14:paraId="3FDE6373" w14:textId="46ABA018" w:rsidR="00057D64" w:rsidRDefault="00057D64" w:rsidP="00057D64">
      <w:pPr>
        <w:spacing w:line="480" w:lineRule="auto"/>
      </w:pPr>
      <w:r>
        <w:t xml:space="preserve">But there is, in fact, another formulation of </w:t>
      </w:r>
      <w:proofErr w:type="spellStart"/>
      <w:r>
        <w:t>RC</w:t>
      </w:r>
      <w:r w:rsidRPr="002E09AF">
        <w:rPr>
          <w:vertAlign w:val="subscript"/>
        </w:rPr>
        <w:t>General</w:t>
      </w:r>
      <w:proofErr w:type="spellEnd"/>
      <w:r>
        <w:t xml:space="preserve"> that is consistent with Elliot having a reason to eat his spinach, namely, </w:t>
      </w:r>
      <w:proofErr w:type="spellStart"/>
      <w:r>
        <w:t>RC</w:t>
      </w:r>
      <w:r>
        <w:rPr>
          <w:vertAlign w:val="subscript"/>
        </w:rPr>
        <w:t>General</w:t>
      </w:r>
      <w:proofErr w:type="spellEnd"/>
      <w:r>
        <w:t>*</w:t>
      </w:r>
      <w:r w:rsidR="007125DB">
        <w:t>*</w:t>
      </w:r>
      <w:r>
        <w:t xml:space="preserve">: </w:t>
      </w:r>
    </w:p>
    <w:p w14:paraId="519A013A" w14:textId="77777777" w:rsidR="00057D64" w:rsidRPr="005E3E42" w:rsidRDefault="00057D64" w:rsidP="00057D64">
      <w:pPr>
        <w:spacing w:line="480" w:lineRule="auto"/>
      </w:pPr>
    </w:p>
    <w:p w14:paraId="1C2DEEBB" w14:textId="513D65B6" w:rsidR="00057D64" w:rsidRDefault="00057D64" w:rsidP="00057D64">
      <w:pPr>
        <w:spacing w:line="480" w:lineRule="auto"/>
        <w:ind w:left="720"/>
        <w:rPr>
          <w:rFonts w:ascii="TimesNewRomanPSMT" w:hAnsi="TimesNewRomanPSMT"/>
        </w:rPr>
      </w:pPr>
      <w:proofErr w:type="spellStart"/>
      <w:r>
        <w:t>RC</w:t>
      </w:r>
      <w:r>
        <w:rPr>
          <w:vertAlign w:val="subscript"/>
        </w:rPr>
        <w:t>General</w:t>
      </w:r>
      <w:proofErr w:type="spellEnd"/>
      <w:r>
        <w:t xml:space="preserve">**: </w:t>
      </w:r>
      <w:r>
        <w:rPr>
          <w:rFonts w:ascii="TimesNewRomanPSMT" w:hAnsi="TimesNewRomanPSMT"/>
        </w:rPr>
        <w:t xml:space="preserve">p is a reason for </w:t>
      </w:r>
      <w:r>
        <w:rPr>
          <w:rFonts w:ascii="TimesNewRomanPSMT" w:hAnsi="TimesNewRomanPSMT"/>
          <w:i/>
        </w:rPr>
        <w:t xml:space="preserve">S </w:t>
      </w:r>
      <w:r>
        <w:rPr>
          <w:rFonts w:ascii="TimesNewRomanPSMT" w:hAnsi="TimesNewRomanPSMT"/>
        </w:rPr>
        <w:t xml:space="preserve">to φ only if there is a possible world </w:t>
      </w:r>
      <w:r>
        <w:rPr>
          <w:rFonts w:ascii="TimesNewRomanPSMT" w:hAnsi="TimesNewRomanPSMT"/>
          <w:i/>
        </w:rPr>
        <w:t xml:space="preserve">w </w:t>
      </w:r>
      <w:r>
        <w:rPr>
          <w:rFonts w:ascii="TimesNewRomanPSMT" w:hAnsi="TimesNewRomanPSMT"/>
        </w:rPr>
        <w:t xml:space="preserve">in which </w:t>
      </w:r>
      <w:r>
        <w:rPr>
          <w:rFonts w:ascii="TimesNewRomanPSMT" w:hAnsi="TimesNewRomanPSMT"/>
          <w:i/>
        </w:rPr>
        <w:t>S</w:t>
      </w:r>
      <w:r>
        <w:rPr>
          <w:rFonts w:ascii="TimesNewRomanPSMT" w:hAnsi="TimesNewRomanPSMT"/>
        </w:rPr>
        <w:t xml:space="preserve"> performs φ-type actions for p-type reasons (where these types are </w:t>
      </w:r>
      <w:r w:rsidR="007936C4">
        <w:rPr>
          <w:rFonts w:ascii="TimesNewRomanPSMT" w:hAnsi="TimesNewRomanPSMT"/>
        </w:rPr>
        <w:t xml:space="preserve">construed </w:t>
      </w:r>
      <w:r>
        <w:rPr>
          <w:rFonts w:ascii="TimesNewRomanPSMT" w:hAnsi="TimesNewRomanPSMT"/>
        </w:rPr>
        <w:t xml:space="preserve">in a relatively fine-grained way). </w:t>
      </w:r>
    </w:p>
    <w:p w14:paraId="292C3B8D" w14:textId="77777777" w:rsidR="00057D64" w:rsidRPr="00EC0279" w:rsidRDefault="00057D64" w:rsidP="00057D64">
      <w:pPr>
        <w:spacing w:line="480" w:lineRule="auto"/>
        <w:ind w:left="720"/>
        <w:rPr>
          <w:rFonts w:ascii="TimesNewRomanPSMT" w:hAnsi="TimesNewRomanPSMT"/>
        </w:rPr>
      </w:pPr>
    </w:p>
    <w:p w14:paraId="20F54BDE" w14:textId="20C6393D" w:rsidR="00057D64" w:rsidRDefault="00057D64" w:rsidP="00057D64">
      <w:pPr>
        <w:spacing w:line="480" w:lineRule="auto"/>
        <w:ind w:firstLine="720"/>
        <w:rPr>
          <w:rFonts w:ascii="TimesNewRomanPSMT" w:hAnsi="TimesNewRomanPSMT"/>
        </w:rPr>
      </w:pPr>
      <w:r>
        <w:t>Because there is a possible world in which Elliot</w:t>
      </w:r>
      <w:r>
        <w:rPr>
          <w:i/>
        </w:rPr>
        <w:t xml:space="preserve"> </w:t>
      </w:r>
      <w:r>
        <w:t xml:space="preserve">has the concept &lt;iron&gt; and he eats his spinach for the reason that spinach contains iron, that reason satisfies </w:t>
      </w:r>
      <w:proofErr w:type="spellStart"/>
      <w:r>
        <w:t>RC</w:t>
      </w:r>
      <w:r>
        <w:rPr>
          <w:vertAlign w:val="subscript"/>
        </w:rPr>
        <w:t>General</w:t>
      </w:r>
      <w:proofErr w:type="spellEnd"/>
      <w:r>
        <w:t>*</w:t>
      </w:r>
      <w:r w:rsidR="007125DB">
        <w:t>*</w:t>
      </w:r>
      <w:r>
        <w:t xml:space="preserve">. The crucial differences between </w:t>
      </w:r>
      <w:proofErr w:type="spellStart"/>
      <w:r>
        <w:t>RC</w:t>
      </w:r>
      <w:r w:rsidRPr="002E09AF">
        <w:rPr>
          <w:vertAlign w:val="subscript"/>
        </w:rPr>
        <w:t>General</w:t>
      </w:r>
      <w:proofErr w:type="spellEnd"/>
      <w:r>
        <w:t xml:space="preserve">** and </w:t>
      </w:r>
      <w:proofErr w:type="spellStart"/>
      <w:r>
        <w:t>RC</w:t>
      </w:r>
      <w:r w:rsidRPr="002E09AF">
        <w:rPr>
          <w:vertAlign w:val="subscript"/>
        </w:rPr>
        <w:t>General</w:t>
      </w:r>
      <w:proofErr w:type="spellEnd"/>
      <w:r>
        <w:t xml:space="preserve">* are twofold. First, </w:t>
      </w:r>
      <w:r>
        <w:rPr>
          <w:i/>
        </w:rPr>
        <w:t xml:space="preserve">what S </w:t>
      </w:r>
      <w:r>
        <w:t xml:space="preserve">must be generally able </w:t>
      </w:r>
      <w:r>
        <w:lastRenderedPageBreak/>
        <w:t xml:space="preserve">to do in </w:t>
      </w:r>
      <w:proofErr w:type="spellStart"/>
      <w:r>
        <w:t>RC</w:t>
      </w:r>
      <w:r w:rsidRPr="002E09AF">
        <w:rPr>
          <w:vertAlign w:val="subscript"/>
        </w:rPr>
        <w:t>Genera</w:t>
      </w:r>
      <w:r>
        <w:t>l</w:t>
      </w:r>
      <w:proofErr w:type="spellEnd"/>
      <w:r>
        <w:t>**</w:t>
      </w:r>
      <w:r w:rsidRPr="00A26A54">
        <w:t>is</w:t>
      </w:r>
      <w:r>
        <w:t xml:space="preserve"> interpreted in a relatively fine-grained way. Second, and more importantly</w:t>
      </w:r>
      <w:r w:rsidR="00096653">
        <w:t xml:space="preserve"> for the Elliott case</w:t>
      </w:r>
      <w:r>
        <w:t xml:space="preserve">, </w:t>
      </w:r>
      <w:proofErr w:type="spellStart"/>
      <w:r>
        <w:t>RC</w:t>
      </w:r>
      <w:r w:rsidRPr="002E09AF">
        <w:rPr>
          <w:vertAlign w:val="subscript"/>
        </w:rPr>
        <w:t>General</w:t>
      </w:r>
      <w:proofErr w:type="spellEnd"/>
      <w:r>
        <w:t xml:space="preserve">* can be satisfied only if there is a possible world in which </w:t>
      </w:r>
      <w:r>
        <w:rPr>
          <w:i/>
        </w:rPr>
        <w:t>S</w:t>
      </w:r>
      <w:r>
        <w:rPr>
          <w:rFonts w:ascii="TimesNewRomanPSMT" w:hAnsi="TimesNewRomanPSMT"/>
        </w:rPr>
        <w:t xml:space="preserve"> </w:t>
      </w:r>
      <w:proofErr w:type="spellStart"/>
      <w:r>
        <w:rPr>
          <w:rFonts w:ascii="TimesNewRomanPSMT" w:hAnsi="TimesNewRomanPSMT"/>
        </w:rPr>
        <w:t>φ’s</w:t>
      </w:r>
      <w:proofErr w:type="spellEnd"/>
      <w:r>
        <w:rPr>
          <w:rFonts w:ascii="TimesNewRomanPSMT" w:hAnsi="TimesNewRomanPSMT"/>
        </w:rPr>
        <w:t xml:space="preserve"> </w:t>
      </w:r>
      <w:r>
        <w:rPr>
          <w:rFonts w:ascii="TimesNewRomanPSMT" w:hAnsi="TimesNewRomanPSMT"/>
          <w:i/>
        </w:rPr>
        <w:t>and S</w:t>
      </w:r>
      <w:r>
        <w:rPr>
          <w:rFonts w:ascii="TimesNewRomanPSMT" w:hAnsi="TimesNewRomanPSMT"/>
        </w:rPr>
        <w:t>’s</w:t>
      </w:r>
      <w:r>
        <w:t xml:space="preserve"> beliefs are exactly what they are in the actual world. </w:t>
      </w:r>
      <w:proofErr w:type="spellStart"/>
      <w:r>
        <w:t>RC</w:t>
      </w:r>
      <w:r w:rsidRPr="00571346">
        <w:rPr>
          <w:vertAlign w:val="subscript"/>
        </w:rPr>
        <w:t>General</w:t>
      </w:r>
      <w:proofErr w:type="spellEnd"/>
      <w:r>
        <w:t xml:space="preserve">** </w:t>
      </w:r>
      <w:r>
        <w:rPr>
          <w:rFonts w:ascii="TimesNewRomanPSMT" w:hAnsi="TimesNewRomanPSMT"/>
        </w:rPr>
        <w:t xml:space="preserve">does not restrict the relevant worlds to that subset in which </w:t>
      </w:r>
      <w:r>
        <w:rPr>
          <w:rFonts w:ascii="TimesNewRomanPSMT" w:hAnsi="TimesNewRomanPSMT"/>
          <w:i/>
        </w:rPr>
        <w:t>S</w:t>
      </w:r>
      <w:r>
        <w:rPr>
          <w:rFonts w:ascii="TimesNewRomanPSMT" w:hAnsi="TimesNewRomanPSMT"/>
        </w:rPr>
        <w:t>’s beliefs perfectly match his beliefs in the actual world.</w:t>
      </w:r>
    </w:p>
    <w:p w14:paraId="7D6C4D99" w14:textId="3A3FAD0F" w:rsidR="00057D64" w:rsidRPr="00E961BC" w:rsidRDefault="00057D64" w:rsidP="00057D64">
      <w:pPr>
        <w:spacing w:line="480" w:lineRule="auto"/>
        <w:ind w:firstLine="720"/>
      </w:pPr>
      <w:r>
        <w:t xml:space="preserve">All very well; but why plump for my </w:t>
      </w:r>
      <w:proofErr w:type="spellStart"/>
      <w:r>
        <w:t>RC</w:t>
      </w:r>
      <w:r>
        <w:rPr>
          <w:vertAlign w:val="subscript"/>
        </w:rPr>
        <w:t>General</w:t>
      </w:r>
      <w:proofErr w:type="spellEnd"/>
      <w:r>
        <w:t xml:space="preserve">**? First, there are intuitive uses of the term “ability” that more closely resemble </w:t>
      </w:r>
      <w:proofErr w:type="spellStart"/>
      <w:r>
        <w:t>RC</w:t>
      </w:r>
      <w:r>
        <w:rPr>
          <w:vertAlign w:val="subscript"/>
        </w:rPr>
        <w:t>General</w:t>
      </w:r>
      <w:proofErr w:type="spellEnd"/>
      <w:r>
        <w:t>**</w:t>
      </w:r>
      <w:r w:rsidR="00A11DB8">
        <w:t xml:space="preserve"> </w:t>
      </w:r>
      <w:r>
        <w:t xml:space="preserve">than </w:t>
      </w:r>
      <w:proofErr w:type="spellStart"/>
      <w:r>
        <w:t>RC</w:t>
      </w:r>
      <w:r w:rsidRPr="00F24E65">
        <w:rPr>
          <w:vertAlign w:val="subscript"/>
        </w:rPr>
        <w:t>General</w:t>
      </w:r>
      <w:proofErr w:type="spellEnd"/>
      <w:r>
        <w:t>*. For example, there is a sense in which, even as a monolingual person, I am able to speak French: I am</w:t>
      </w:r>
      <w:r w:rsidR="00840B1B">
        <w:t xml:space="preserve"> a </w:t>
      </w:r>
      <w:r>
        <w:t>creature that can become fluent in another language. Becoming fluent would, of course, require the addition of many new beliefs I do not currently have. So, it is false that I am able to speak French in a sense of “able” that holds fixed my current beliefs</w:t>
      </w:r>
      <w:r w:rsidR="00CB7073">
        <w:t>.</w:t>
      </w:r>
      <w:r>
        <w:t xml:space="preserve"> </w:t>
      </w:r>
      <w:r w:rsidR="00CB7073">
        <w:t>B</w:t>
      </w:r>
      <w:r>
        <w:t xml:space="preserve">ut I </w:t>
      </w:r>
      <w:r>
        <w:rPr>
          <w:i/>
        </w:rPr>
        <w:t xml:space="preserve">am </w:t>
      </w:r>
      <w:r>
        <w:t xml:space="preserve">able to do so in the sense that it is </w:t>
      </w:r>
      <w:r>
        <w:rPr>
          <w:i/>
        </w:rPr>
        <w:t>possible</w:t>
      </w:r>
      <w:r w:rsidR="0071175A">
        <w:rPr>
          <w:i/>
        </w:rPr>
        <w:t xml:space="preserve"> </w:t>
      </w:r>
      <w:r w:rsidR="0071175A">
        <w:t xml:space="preserve">(logically, </w:t>
      </w:r>
      <w:proofErr w:type="spellStart"/>
      <w:r w:rsidR="0071175A">
        <w:t>nomologically</w:t>
      </w:r>
      <w:proofErr w:type="spellEnd"/>
      <w:r w:rsidR="0071175A">
        <w:t>, and so on)</w:t>
      </w:r>
      <w:r>
        <w:rPr>
          <w:i/>
        </w:rPr>
        <w:t xml:space="preserve"> </w:t>
      </w:r>
      <w:r>
        <w:t xml:space="preserve">for me to do this, since I am certain type of creature. </w:t>
      </w:r>
      <w:r w:rsidR="00E961BC">
        <w:t xml:space="preserve">Way and Whiting provide no argument that as it appears in </w:t>
      </w:r>
      <w:proofErr w:type="spellStart"/>
      <w:r w:rsidR="00E961BC">
        <w:t>RC</w:t>
      </w:r>
      <w:r w:rsidR="00E961BC">
        <w:rPr>
          <w:vertAlign w:val="subscript"/>
        </w:rPr>
        <w:t>General</w:t>
      </w:r>
      <w:proofErr w:type="spellEnd"/>
      <w:r w:rsidR="00E961BC">
        <w:t xml:space="preserve">, “ability” ought to be interpreted as an ability </w:t>
      </w:r>
      <w:r w:rsidR="00E961BC">
        <w:rPr>
          <w:i/>
        </w:rPr>
        <w:t>holding fixed the agent’s beliefs</w:t>
      </w:r>
      <w:r w:rsidR="00E961BC">
        <w:t xml:space="preserve">, rather than in this less </w:t>
      </w:r>
      <w:r w:rsidR="00E7508E">
        <w:t xml:space="preserve">restrictive </w:t>
      </w:r>
      <w:r w:rsidR="00E961BC">
        <w:t xml:space="preserve">way. </w:t>
      </w:r>
    </w:p>
    <w:p w14:paraId="3EE9F180" w14:textId="07C357E0" w:rsidR="00057D64" w:rsidRDefault="00057D64" w:rsidP="00057D64">
      <w:pPr>
        <w:spacing w:line="480" w:lineRule="auto"/>
        <w:ind w:firstLine="720"/>
      </w:pPr>
      <w:r>
        <w:t xml:space="preserve">Second, </w:t>
      </w:r>
      <w:proofErr w:type="spellStart"/>
      <w:r>
        <w:t>RC</w:t>
      </w:r>
      <w:r w:rsidRPr="00F24E65">
        <w:rPr>
          <w:vertAlign w:val="subscript"/>
        </w:rPr>
        <w:t>General</w:t>
      </w:r>
      <w:proofErr w:type="spellEnd"/>
      <w:r>
        <w:t>* commits Way and Whiting to an analysis of cases of reasons that is at least somewhat counterintuitive. Consider Bernard Williams’s</w:t>
      </w:r>
      <w:r w:rsidR="00A852E2">
        <w:t xml:space="preserve"> (1981)</w:t>
      </w:r>
      <w:r>
        <w:t xml:space="preserve"> famous petrol example. On Williams’s plausible internalist analysis, the fact that there is petrol in my drink is a reason for me not to drink it at least in part because I </w:t>
      </w:r>
      <w:r w:rsidRPr="00BA2D14">
        <w:t>am</w:t>
      </w:r>
      <w:r>
        <w:rPr>
          <w:i/>
        </w:rPr>
        <w:t xml:space="preserve"> able </w:t>
      </w:r>
      <w:r>
        <w:t>to</w:t>
      </w:r>
      <w:r>
        <w:rPr>
          <w:i/>
        </w:rPr>
        <w:t xml:space="preserve"> </w:t>
      </w:r>
      <w:r>
        <w:t xml:space="preserve">act for this reason. What this “able” signifies is that, if I were fully informed and reasoned aright, I </w:t>
      </w:r>
      <w:r>
        <w:rPr>
          <w:i/>
        </w:rPr>
        <w:t xml:space="preserve">would </w:t>
      </w:r>
      <w:r>
        <w:t>omit to drink. So, this “able” does not hold fixed my actual beliefs. Way and Whiting must offer a different account of why I have a reason not to drink the petrol. On their view, it is not the case that in the relevant sense I am</w:t>
      </w:r>
      <w:r w:rsidRPr="005C42D7">
        <w:rPr>
          <w:i/>
        </w:rPr>
        <w:t xml:space="preserve"> able</w:t>
      </w:r>
      <w:r>
        <w:rPr>
          <w:i/>
        </w:rPr>
        <w:t xml:space="preserve"> </w:t>
      </w:r>
      <w:r>
        <w:t xml:space="preserve">omit drinking from the glass for the reason that there is petrol in the glass, since they hold fixed my actual beliefs, and I believe the glass is full of gin. What I </w:t>
      </w:r>
      <w:r>
        <w:rPr>
          <w:i/>
        </w:rPr>
        <w:t xml:space="preserve">am </w:t>
      </w:r>
      <w:r>
        <w:t xml:space="preserve">generally able to omit to do is something (described in a relatively coarse-grained manner) of which omitting to </w:t>
      </w:r>
      <w:r>
        <w:lastRenderedPageBreak/>
        <w:t xml:space="preserve">drink from the glass for the reason that there is petrol in it is an instance or a token. This is, at the very least, a roundabout way of explaining why there is a reason for me not to drink in this case. </w:t>
      </w:r>
    </w:p>
    <w:p w14:paraId="2FE28C59" w14:textId="77777777" w:rsidR="00057D64" w:rsidRDefault="00057D64" w:rsidP="00057D64">
      <w:pPr>
        <w:spacing w:line="480" w:lineRule="auto"/>
        <w:ind w:firstLine="720"/>
        <w:rPr>
          <w:rFonts w:ascii="TimesNewRomanPSMT" w:hAnsi="TimesNewRomanPSMT"/>
        </w:rPr>
      </w:pPr>
      <w:r>
        <w:t xml:space="preserve">A third, dialectical disadvantage for </w:t>
      </w:r>
      <w:proofErr w:type="spellStart"/>
      <w:r>
        <w:t>RC</w:t>
      </w:r>
      <w:r w:rsidRPr="00F00D00">
        <w:rPr>
          <w:vertAlign w:val="subscript"/>
        </w:rPr>
        <w:t>General</w:t>
      </w:r>
      <w:proofErr w:type="spellEnd"/>
      <w:r>
        <w:t xml:space="preserve">* is that it implies </w:t>
      </w:r>
      <w:proofErr w:type="spellStart"/>
      <w:r>
        <w:t>RC</w:t>
      </w:r>
      <w:r>
        <w:rPr>
          <w:vertAlign w:val="subscript"/>
        </w:rPr>
        <w:t>General</w:t>
      </w:r>
      <w:proofErr w:type="spellEnd"/>
      <w:r>
        <w:t xml:space="preserve">**, but the converse does not hold. If the fact that p is a reason entails that </w:t>
      </w:r>
      <w:r>
        <w:rPr>
          <w:i/>
        </w:rPr>
        <w:t xml:space="preserve">S </w:t>
      </w:r>
      <w:r>
        <w:t xml:space="preserve">is able to perform </w:t>
      </w:r>
      <w:r>
        <w:rPr>
          <w:rFonts w:ascii="TimesNewRomanPSMT" w:hAnsi="TimesNewRomanPSMT"/>
        </w:rPr>
        <w:t xml:space="preserve">φ-type actions for p-type reasons in some world in which </w:t>
      </w:r>
      <w:r>
        <w:rPr>
          <w:rFonts w:ascii="TimesNewRomanPSMT" w:hAnsi="TimesNewRomanPSMT"/>
          <w:i/>
        </w:rPr>
        <w:t xml:space="preserve">S </w:t>
      </w:r>
      <w:r>
        <w:rPr>
          <w:rFonts w:ascii="TimesNewRomanPSMT" w:hAnsi="TimesNewRomanPSMT"/>
        </w:rPr>
        <w:t xml:space="preserve">has the same beliefs as in the actual world, then it also entails that </w:t>
      </w:r>
      <w:r>
        <w:rPr>
          <w:rFonts w:ascii="TimesNewRomanPSMT" w:hAnsi="TimesNewRomanPSMT"/>
          <w:i/>
        </w:rPr>
        <w:t xml:space="preserve">S </w:t>
      </w:r>
      <w:r>
        <w:rPr>
          <w:rFonts w:ascii="TimesNewRomanPSMT" w:hAnsi="TimesNewRomanPSMT"/>
        </w:rPr>
        <w:t xml:space="preserve">is able to do the same in some possible world. But if the fact that p is a reason entails that </w:t>
      </w:r>
      <w:r>
        <w:rPr>
          <w:rFonts w:ascii="TimesNewRomanPSMT" w:hAnsi="TimesNewRomanPSMT"/>
          <w:i/>
        </w:rPr>
        <w:t xml:space="preserve">S </w:t>
      </w:r>
      <w:r>
        <w:rPr>
          <w:rFonts w:ascii="TimesNewRomanPSMT" w:hAnsi="TimesNewRomanPSMT"/>
        </w:rPr>
        <w:t xml:space="preserve">is able to perform φ-type actions for p-type reasons in some possible world, it does not follow that this world will be one in which </w:t>
      </w:r>
      <w:r>
        <w:rPr>
          <w:rFonts w:ascii="TimesNewRomanPSMT" w:hAnsi="TimesNewRomanPSMT"/>
          <w:i/>
        </w:rPr>
        <w:t>S</w:t>
      </w:r>
      <w:r>
        <w:rPr>
          <w:rFonts w:ascii="TimesNewRomanPSMT" w:hAnsi="TimesNewRomanPSMT"/>
        </w:rPr>
        <w:t xml:space="preserve">’s beliefs perfectly match her actual beliefs. Hence, if elusive reasons violate </w:t>
      </w:r>
      <w:proofErr w:type="spellStart"/>
      <w:r>
        <w:rPr>
          <w:rFonts w:ascii="TimesNewRomanPSMT" w:hAnsi="TimesNewRomanPSMT"/>
        </w:rPr>
        <w:t>RC</w:t>
      </w:r>
      <w:r>
        <w:rPr>
          <w:rFonts w:ascii="TimesNewRomanPSMT" w:hAnsi="TimesNewRomanPSMT"/>
          <w:vertAlign w:val="subscript"/>
        </w:rPr>
        <w:t>General</w:t>
      </w:r>
      <w:proofErr w:type="spellEnd"/>
      <w:r>
        <w:rPr>
          <w:rFonts w:ascii="TimesNewRomanPSMT" w:hAnsi="TimesNewRomanPSMT"/>
        </w:rPr>
        <w:t xml:space="preserve">**, then they violate </w:t>
      </w:r>
      <w:proofErr w:type="spellStart"/>
      <w:r>
        <w:rPr>
          <w:rFonts w:ascii="TimesNewRomanPSMT" w:hAnsi="TimesNewRomanPSMT"/>
        </w:rPr>
        <w:t>RC</w:t>
      </w:r>
      <w:r>
        <w:rPr>
          <w:rFonts w:ascii="TimesNewRomanPSMT" w:hAnsi="TimesNewRomanPSMT"/>
          <w:vertAlign w:val="subscript"/>
        </w:rPr>
        <w:t>General</w:t>
      </w:r>
      <w:proofErr w:type="spellEnd"/>
      <w:r>
        <w:rPr>
          <w:rFonts w:ascii="TimesNewRomanPSMT" w:hAnsi="TimesNewRomanPSMT"/>
        </w:rPr>
        <w:t xml:space="preserve">*. </w:t>
      </w:r>
    </w:p>
    <w:p w14:paraId="212F0BCC" w14:textId="187776ED" w:rsidR="00057D64" w:rsidRPr="00E52964" w:rsidRDefault="00057D64" w:rsidP="00057D64">
      <w:pPr>
        <w:spacing w:line="480" w:lineRule="auto"/>
        <w:ind w:firstLine="720"/>
        <w:rPr>
          <w:rFonts w:ascii="TimesNewRomanPSMT" w:hAnsi="TimesNewRomanPSMT"/>
        </w:rPr>
      </w:pPr>
      <w:r>
        <w:rPr>
          <w:rFonts w:ascii="TimesNewRomanPSMT" w:hAnsi="TimesNewRomanPSMT"/>
        </w:rPr>
        <w:t xml:space="preserve">If </w:t>
      </w:r>
      <w:proofErr w:type="spellStart"/>
      <w:r>
        <w:rPr>
          <w:rFonts w:ascii="TimesNewRomanPSMT" w:hAnsi="TimesNewRomanPSMT"/>
        </w:rPr>
        <w:t>RC</w:t>
      </w:r>
      <w:r w:rsidRPr="00765F11">
        <w:rPr>
          <w:rFonts w:ascii="TimesNewRomanPSMT" w:hAnsi="TimesNewRomanPSMT"/>
          <w:vertAlign w:val="subscript"/>
        </w:rPr>
        <w:t>General</w:t>
      </w:r>
      <w:proofErr w:type="spellEnd"/>
      <w:r>
        <w:rPr>
          <w:rFonts w:ascii="TimesNewRomanPSMT" w:hAnsi="TimesNewRomanPSMT"/>
        </w:rPr>
        <w:t xml:space="preserve">** is preferable to </w:t>
      </w:r>
      <w:proofErr w:type="spellStart"/>
      <w:r>
        <w:rPr>
          <w:rFonts w:ascii="TimesNewRomanPSMT" w:hAnsi="TimesNewRomanPSMT"/>
        </w:rPr>
        <w:t>RC</w:t>
      </w:r>
      <w:r w:rsidRPr="00765F11">
        <w:rPr>
          <w:rFonts w:ascii="TimesNewRomanPSMT" w:hAnsi="TimesNewRomanPSMT"/>
          <w:vertAlign w:val="subscript"/>
        </w:rPr>
        <w:t>General</w:t>
      </w:r>
      <w:proofErr w:type="spellEnd"/>
      <w:r>
        <w:rPr>
          <w:rFonts w:ascii="TimesNewRomanPSMT" w:hAnsi="TimesNewRomanPSMT"/>
        </w:rPr>
        <w:t xml:space="preserve">*, then one of </w:t>
      </w:r>
      <w:r w:rsidR="009D6E8C">
        <w:rPr>
          <w:rFonts w:ascii="TimesNewRomanPSMT" w:hAnsi="TimesNewRomanPSMT"/>
        </w:rPr>
        <w:t>Way and Whiting’s</w:t>
      </w:r>
      <w:r>
        <w:rPr>
          <w:rFonts w:ascii="TimesNewRomanPSMT" w:hAnsi="TimesNewRomanPSMT"/>
        </w:rPr>
        <w:t xml:space="preserve"> arguments against interpreting </w:t>
      </w:r>
      <w:proofErr w:type="spellStart"/>
      <w:r>
        <w:rPr>
          <w:rFonts w:ascii="TimesNewRomanPSMT" w:hAnsi="TimesNewRomanPSMT"/>
        </w:rPr>
        <w:t>RC</w:t>
      </w:r>
      <w:r w:rsidRPr="00765F11">
        <w:rPr>
          <w:rFonts w:ascii="TimesNewRomanPSMT" w:hAnsi="TimesNewRomanPSMT"/>
          <w:vertAlign w:val="subscript"/>
        </w:rPr>
        <w:t>General</w:t>
      </w:r>
      <w:proofErr w:type="spellEnd"/>
      <w:r>
        <w:rPr>
          <w:rFonts w:ascii="TimesNewRomanPSMT" w:hAnsi="TimesNewRomanPSMT"/>
        </w:rPr>
        <w:t xml:space="preserve"> in a way that is inconsistent with elusive reasons is eliminated. To recapitulate the dialectic: if we interpret </w:t>
      </w:r>
      <w:proofErr w:type="spellStart"/>
      <w:r w:rsidRPr="00765F11">
        <w:rPr>
          <w:rFonts w:ascii="TimesNewRomanPSMT" w:hAnsi="TimesNewRomanPSMT"/>
        </w:rPr>
        <w:t>RC</w:t>
      </w:r>
      <w:r>
        <w:rPr>
          <w:rFonts w:ascii="TimesNewRomanPSMT" w:hAnsi="TimesNewRomanPSMT"/>
          <w:vertAlign w:val="subscript"/>
        </w:rPr>
        <w:t>General</w:t>
      </w:r>
      <w:proofErr w:type="spellEnd"/>
      <w:r>
        <w:rPr>
          <w:rFonts w:ascii="TimesNewRomanPSMT" w:hAnsi="TimesNewRomanPSMT"/>
          <w:vertAlign w:val="subscript"/>
        </w:rPr>
        <w:t xml:space="preserve"> </w:t>
      </w:r>
      <w:r>
        <w:rPr>
          <w:rFonts w:ascii="TimesNewRomanPSMT" w:hAnsi="TimesNewRomanPSMT"/>
        </w:rPr>
        <w:t xml:space="preserve">in a relatively fine-grained fashion, then the surprise party case is a counterexample to it. Way and Whiting argue that interpreting </w:t>
      </w:r>
      <w:proofErr w:type="spellStart"/>
      <w:r>
        <w:rPr>
          <w:rFonts w:ascii="TimesNewRomanPSMT" w:hAnsi="TimesNewRomanPSMT"/>
        </w:rPr>
        <w:t>RC</w:t>
      </w:r>
      <w:r w:rsidRPr="0072091E">
        <w:rPr>
          <w:rFonts w:ascii="TimesNewRomanPSMT" w:hAnsi="TimesNewRomanPSMT"/>
          <w:vertAlign w:val="subscript"/>
        </w:rPr>
        <w:t>General</w:t>
      </w:r>
      <w:proofErr w:type="spellEnd"/>
      <w:r>
        <w:rPr>
          <w:rFonts w:ascii="TimesNewRomanPSMT" w:hAnsi="TimesNewRomanPSMT"/>
        </w:rPr>
        <w:t xml:space="preserve"> in too fine-grained </w:t>
      </w:r>
      <w:r w:rsidR="00FA4A41">
        <w:rPr>
          <w:rFonts w:ascii="TimesNewRomanPSMT" w:hAnsi="TimesNewRomanPSMT"/>
        </w:rPr>
        <w:t xml:space="preserve">a </w:t>
      </w:r>
      <w:r>
        <w:rPr>
          <w:rFonts w:ascii="TimesNewRomanPSMT" w:hAnsi="TimesNewRomanPSMT"/>
        </w:rPr>
        <w:t xml:space="preserve">fashion yields counterintuitive results in the Elliot case. However, this result is actually due to the way that Way and Whiting interpret the notion of general ability. They evaluate general ability claims in terms of what the agent is able to do, generally speaking, </w:t>
      </w:r>
      <w:r>
        <w:rPr>
          <w:rFonts w:ascii="TimesNewRomanPSMT" w:hAnsi="TimesNewRomanPSMT"/>
          <w:i/>
        </w:rPr>
        <w:t xml:space="preserve">holding fixed her beliefs. </w:t>
      </w:r>
      <w:r>
        <w:rPr>
          <w:rFonts w:ascii="TimesNewRomanPSMT" w:hAnsi="TimesNewRomanPSMT"/>
        </w:rPr>
        <w:t xml:space="preserve">But this is too restrictive for </w:t>
      </w:r>
      <w:r w:rsidR="00891D77">
        <w:rPr>
          <w:rFonts w:ascii="TimesNewRomanPSMT" w:hAnsi="TimesNewRomanPSMT"/>
        </w:rPr>
        <w:t>three</w:t>
      </w:r>
      <w:r>
        <w:rPr>
          <w:rFonts w:ascii="TimesNewRomanPSMT" w:hAnsi="TimesNewRomanPSMT"/>
        </w:rPr>
        <w:t xml:space="preserve"> reasons: it</w:t>
      </w:r>
      <w:r w:rsidR="00891D77">
        <w:rPr>
          <w:rFonts w:ascii="TimesNewRomanPSMT" w:hAnsi="TimesNewRomanPSMT"/>
        </w:rPr>
        <w:t xml:space="preserve"> is not the only way of interpreting ability claims</w:t>
      </w:r>
      <w:r>
        <w:rPr>
          <w:rFonts w:ascii="TimesNewRomanPSMT" w:hAnsi="TimesNewRomanPSMT"/>
        </w:rPr>
        <w:t>,</w:t>
      </w:r>
      <w:r w:rsidR="00891D77">
        <w:rPr>
          <w:rFonts w:ascii="TimesNewRomanPSMT" w:hAnsi="TimesNewRomanPSMT"/>
        </w:rPr>
        <w:t xml:space="preserve"> it commits Way and Whiting to a counterintuitive analysis of internal reasons claims, </w:t>
      </w:r>
      <w:r>
        <w:rPr>
          <w:rFonts w:ascii="TimesNewRomanPSMT" w:hAnsi="TimesNewRomanPSMT"/>
        </w:rPr>
        <w:t>and it is stronger than, because it entails</w:t>
      </w:r>
      <w:r w:rsidR="00627C26">
        <w:rPr>
          <w:rFonts w:ascii="TimesNewRomanPSMT" w:hAnsi="TimesNewRomanPSMT"/>
        </w:rPr>
        <w:t xml:space="preserve"> but is not entailed by</w:t>
      </w:r>
      <w:r>
        <w:rPr>
          <w:rFonts w:ascii="TimesNewRomanPSMT" w:hAnsi="TimesNewRomanPSMT"/>
        </w:rPr>
        <w:t xml:space="preserve">, </w:t>
      </w:r>
      <w:proofErr w:type="spellStart"/>
      <w:r>
        <w:rPr>
          <w:rFonts w:ascii="TimesNewRomanPSMT" w:hAnsi="TimesNewRomanPSMT"/>
        </w:rPr>
        <w:t>RC</w:t>
      </w:r>
      <w:r>
        <w:rPr>
          <w:rFonts w:ascii="TimesNewRomanPSMT" w:hAnsi="TimesNewRomanPSMT"/>
          <w:vertAlign w:val="subscript"/>
        </w:rPr>
        <w:t>General</w:t>
      </w:r>
      <w:proofErr w:type="spellEnd"/>
      <w:r>
        <w:rPr>
          <w:rFonts w:ascii="TimesNewRomanPSMT" w:hAnsi="TimesNewRomanPSMT"/>
        </w:rPr>
        <w:t xml:space="preserve">**.  Thus, we should plump for more latitudinarian interpretation of ability that figures in </w:t>
      </w:r>
      <w:proofErr w:type="spellStart"/>
      <w:r>
        <w:rPr>
          <w:rFonts w:ascii="TimesNewRomanPSMT" w:hAnsi="TimesNewRomanPSMT"/>
        </w:rPr>
        <w:t>RC</w:t>
      </w:r>
      <w:r>
        <w:rPr>
          <w:rFonts w:ascii="TimesNewRomanPSMT" w:hAnsi="TimesNewRomanPSMT"/>
          <w:vertAlign w:val="subscript"/>
        </w:rPr>
        <w:t>General</w:t>
      </w:r>
      <w:proofErr w:type="spellEnd"/>
      <w:r>
        <w:rPr>
          <w:rFonts w:ascii="TimesNewRomanPSMT" w:hAnsi="TimesNewRomanPSMT"/>
        </w:rPr>
        <w:t xml:space="preserve">**. But if we do this, then the Elliot case is not a counterexample to the more </w:t>
      </w:r>
      <w:r>
        <w:rPr>
          <w:rFonts w:ascii="TimesNewRomanPSMT" w:hAnsi="TimesNewRomanPSMT"/>
          <w:i/>
        </w:rPr>
        <w:t xml:space="preserve">fine-grained </w:t>
      </w:r>
      <w:r>
        <w:rPr>
          <w:rFonts w:ascii="TimesNewRomanPSMT" w:hAnsi="TimesNewRomanPSMT"/>
        </w:rPr>
        <w:t>interpretation</w:t>
      </w:r>
      <w:r w:rsidR="00804C31">
        <w:rPr>
          <w:rFonts w:ascii="TimesNewRomanPSMT" w:hAnsi="TimesNewRomanPSMT"/>
        </w:rPr>
        <w:t xml:space="preserve"> of general ability. </w:t>
      </w:r>
      <w:r>
        <w:rPr>
          <w:rFonts w:ascii="TimesNewRomanPSMT" w:hAnsi="TimesNewRomanPSMT"/>
        </w:rPr>
        <w:t xml:space="preserve"> </w:t>
      </w:r>
    </w:p>
    <w:p w14:paraId="24E4664E" w14:textId="77777777" w:rsidR="00057D64" w:rsidRPr="00225159" w:rsidRDefault="00057D64" w:rsidP="00057D64">
      <w:pPr>
        <w:pStyle w:val="Heading3"/>
        <w:numPr>
          <w:ilvl w:val="1"/>
          <w:numId w:val="1"/>
        </w:numPr>
        <w:rPr>
          <w:b/>
        </w:rPr>
      </w:pPr>
      <w:r w:rsidRPr="00225159">
        <w:rPr>
          <w:b/>
        </w:rPr>
        <w:t xml:space="preserve">Way and Whiting’s Positive Case </w:t>
      </w:r>
    </w:p>
    <w:p w14:paraId="693585F7" w14:textId="77777777" w:rsidR="00057D64" w:rsidRPr="008947EA" w:rsidRDefault="00057D64" w:rsidP="00057D64">
      <w:pPr>
        <w:pStyle w:val="ListParagraph"/>
      </w:pPr>
    </w:p>
    <w:p w14:paraId="45614772" w14:textId="41803FB2" w:rsidR="00057D64" w:rsidRDefault="00057D64" w:rsidP="00057D64">
      <w:pPr>
        <w:spacing w:line="480" w:lineRule="auto"/>
        <w:ind w:firstLine="720"/>
      </w:pPr>
      <w:r>
        <w:lastRenderedPageBreak/>
        <w:t xml:space="preserve">Even if I am right that we ought to plump for an interpretation of </w:t>
      </w:r>
      <w:proofErr w:type="spellStart"/>
      <w:r>
        <w:t>RC</w:t>
      </w:r>
      <w:r w:rsidRPr="00A9388D">
        <w:rPr>
          <w:vertAlign w:val="subscript"/>
        </w:rPr>
        <w:t>General</w:t>
      </w:r>
      <w:proofErr w:type="spellEnd"/>
      <w:r>
        <w:rPr>
          <w:vertAlign w:val="subscript"/>
        </w:rPr>
        <w:t xml:space="preserve"> </w:t>
      </w:r>
      <w:r>
        <w:t xml:space="preserve">according to which we require only that it is </w:t>
      </w:r>
      <w:r>
        <w:rPr>
          <w:i/>
        </w:rPr>
        <w:t xml:space="preserve">possible </w:t>
      </w:r>
      <w:r>
        <w:t xml:space="preserve">that </w:t>
      </w:r>
      <w:r>
        <w:rPr>
          <w:i/>
        </w:rPr>
        <w:t xml:space="preserve">S </w:t>
      </w:r>
      <w:proofErr w:type="spellStart"/>
      <w:r>
        <w:rPr>
          <w:rFonts w:ascii="TimesNewRomanPSMT" w:hAnsi="TimesNewRomanPSMT"/>
        </w:rPr>
        <w:t>φ’s</w:t>
      </w:r>
      <w:proofErr w:type="spellEnd"/>
      <w:r>
        <w:rPr>
          <w:rFonts w:ascii="TimesNewRomanPSMT" w:hAnsi="TimesNewRomanPSMT"/>
        </w:rPr>
        <w:t xml:space="preserve">, not holding fixed </w:t>
      </w:r>
      <w:r>
        <w:rPr>
          <w:rFonts w:ascii="TimesNewRomanPSMT" w:hAnsi="TimesNewRomanPSMT"/>
          <w:i/>
        </w:rPr>
        <w:t>S</w:t>
      </w:r>
      <w:r>
        <w:rPr>
          <w:rFonts w:ascii="TimesNewRomanPSMT" w:hAnsi="TimesNewRomanPSMT"/>
        </w:rPr>
        <w:t xml:space="preserve">’s actual beliefs, this does not yet clinch the case for </w:t>
      </w:r>
      <w:proofErr w:type="spellStart"/>
      <w:r>
        <w:t>RC</w:t>
      </w:r>
      <w:r>
        <w:rPr>
          <w:vertAlign w:val="subscript"/>
        </w:rPr>
        <w:t>General</w:t>
      </w:r>
      <w:proofErr w:type="spellEnd"/>
      <w:r>
        <w:t xml:space="preserve">**. For it is open to Way and Whiting to accept </w:t>
      </w:r>
      <w:r w:rsidR="00A429EA">
        <w:t>the more latitud</w:t>
      </w:r>
      <w:r w:rsidR="00B7523E">
        <w:t>ina</w:t>
      </w:r>
      <w:r w:rsidR="00A429EA">
        <w:t xml:space="preserve">rian notion of “ability” </w:t>
      </w:r>
      <w:r>
        <w:t xml:space="preserve">and still insist that it ought to be interpreted in a coarse-grained way, yielding a third distinct position: </w:t>
      </w:r>
    </w:p>
    <w:p w14:paraId="3FFEBDC6" w14:textId="77777777" w:rsidR="00057D64" w:rsidRDefault="00057D64" w:rsidP="00057D64">
      <w:pPr>
        <w:spacing w:line="480" w:lineRule="auto"/>
        <w:ind w:firstLine="720"/>
      </w:pPr>
    </w:p>
    <w:p w14:paraId="2AC33B35" w14:textId="77777777" w:rsidR="00057D64" w:rsidRDefault="00057D64" w:rsidP="00057D64">
      <w:pPr>
        <w:spacing w:line="480" w:lineRule="auto"/>
        <w:ind w:left="720"/>
        <w:rPr>
          <w:rFonts w:ascii="TimesNewRomanPSMT" w:hAnsi="TimesNewRomanPSMT"/>
        </w:rPr>
      </w:pPr>
      <w:proofErr w:type="spellStart"/>
      <w:r>
        <w:t>RC</w:t>
      </w:r>
      <w:r>
        <w:rPr>
          <w:vertAlign w:val="subscript"/>
        </w:rPr>
        <w:t>General</w:t>
      </w:r>
      <w:proofErr w:type="spellEnd"/>
      <w:r>
        <w:t xml:space="preserve">***: </w:t>
      </w:r>
      <w:r>
        <w:rPr>
          <w:rFonts w:ascii="TimesNewRomanPSMT" w:hAnsi="TimesNewRomanPSMT"/>
        </w:rPr>
        <w:t xml:space="preserve">p is a reason for </w:t>
      </w:r>
      <w:r>
        <w:rPr>
          <w:rFonts w:ascii="TimesNewRomanPSMT" w:hAnsi="TimesNewRomanPSMT"/>
          <w:i/>
        </w:rPr>
        <w:t xml:space="preserve">S </w:t>
      </w:r>
      <w:r>
        <w:rPr>
          <w:rFonts w:ascii="TimesNewRomanPSMT" w:hAnsi="TimesNewRomanPSMT"/>
        </w:rPr>
        <w:t xml:space="preserve">to φ only if there is a possible world </w:t>
      </w:r>
      <w:r>
        <w:rPr>
          <w:rFonts w:ascii="TimesNewRomanPSMT" w:hAnsi="TimesNewRomanPSMT"/>
          <w:i/>
        </w:rPr>
        <w:t xml:space="preserve">w </w:t>
      </w:r>
      <w:r>
        <w:rPr>
          <w:rFonts w:ascii="TimesNewRomanPSMT" w:hAnsi="TimesNewRomanPSMT"/>
        </w:rPr>
        <w:t xml:space="preserve">in which </w:t>
      </w:r>
      <w:r>
        <w:rPr>
          <w:rFonts w:ascii="TimesNewRomanPSMT" w:hAnsi="TimesNewRomanPSMT"/>
          <w:i/>
        </w:rPr>
        <w:t>S</w:t>
      </w:r>
      <w:r>
        <w:rPr>
          <w:rFonts w:ascii="TimesNewRomanPSMT" w:hAnsi="TimesNewRomanPSMT"/>
        </w:rPr>
        <w:t xml:space="preserve"> performs φ-type actions for p-type reasons (where these types are understood in a relatively coarse-grained way). </w:t>
      </w:r>
    </w:p>
    <w:p w14:paraId="1EC337C6" w14:textId="77777777" w:rsidR="00057D64" w:rsidRDefault="00057D64" w:rsidP="00057D64">
      <w:pPr>
        <w:spacing w:line="480" w:lineRule="auto"/>
        <w:ind w:left="720"/>
        <w:rPr>
          <w:rFonts w:ascii="TimesNewRomanPSMT" w:hAnsi="TimesNewRomanPSMT"/>
        </w:rPr>
      </w:pPr>
    </w:p>
    <w:p w14:paraId="423F6066" w14:textId="288C2727" w:rsidR="00057D64" w:rsidRPr="00986433" w:rsidRDefault="00057D64" w:rsidP="00057D64">
      <w:pPr>
        <w:spacing w:line="480" w:lineRule="auto"/>
        <w:ind w:firstLine="720"/>
        <w:rPr>
          <w:i/>
        </w:rPr>
      </w:pPr>
      <w:r>
        <w:rPr>
          <w:rFonts w:ascii="TimesNewRomanPSMT" w:hAnsi="TimesNewRomanPSMT"/>
        </w:rPr>
        <w:t xml:space="preserve">On this coarse-grained reading, elusive reasons may yet be compatible with </w:t>
      </w:r>
      <w:proofErr w:type="spellStart"/>
      <w:r>
        <w:rPr>
          <w:rFonts w:ascii="TimesNewRomanPSMT" w:hAnsi="TimesNewRomanPSMT"/>
        </w:rPr>
        <w:t>RC</w:t>
      </w:r>
      <w:r>
        <w:rPr>
          <w:rFonts w:ascii="TimesNewRomanPSMT" w:hAnsi="TimesNewRomanPSMT"/>
          <w:vertAlign w:val="subscript"/>
        </w:rPr>
        <w:t>General</w:t>
      </w:r>
      <w:proofErr w:type="spellEnd"/>
      <w:r>
        <w:rPr>
          <w:rFonts w:ascii="TimesNewRomanPSMT" w:hAnsi="TimesNewRomanPSMT"/>
          <w:vertAlign w:val="subscript"/>
        </w:rPr>
        <w:t xml:space="preserve">. </w:t>
      </w:r>
      <w:r>
        <w:t xml:space="preserve">Furthermore, Way and Whiting present a positive argument for their coarse-grained reading of </w:t>
      </w:r>
      <w:proofErr w:type="spellStart"/>
      <w:r>
        <w:t>RC</w:t>
      </w:r>
      <w:r>
        <w:rPr>
          <w:vertAlign w:val="subscript"/>
        </w:rPr>
        <w:t>General</w:t>
      </w:r>
      <w:proofErr w:type="spellEnd"/>
      <w:r>
        <w:t xml:space="preserve"> that can be used to support </w:t>
      </w:r>
      <w:proofErr w:type="spellStart"/>
      <w:r>
        <w:t>RC</w:t>
      </w:r>
      <w:r>
        <w:rPr>
          <w:vertAlign w:val="subscript"/>
        </w:rPr>
        <w:t>General</w:t>
      </w:r>
      <w:proofErr w:type="spellEnd"/>
      <w:r>
        <w:t xml:space="preserve">***. The argument is that </w:t>
      </w:r>
      <w:proofErr w:type="spellStart"/>
      <w:r>
        <w:t>RC</w:t>
      </w:r>
      <w:r>
        <w:rPr>
          <w:vertAlign w:val="subscript"/>
        </w:rPr>
        <w:t>General</w:t>
      </w:r>
      <w:proofErr w:type="spellEnd"/>
      <w:r>
        <w:rPr>
          <w:vertAlign w:val="subscript"/>
        </w:rPr>
        <w:t xml:space="preserve"> </w:t>
      </w:r>
      <w:r>
        <w:t xml:space="preserve">must capture the idea that reasons must be able to guide us </w:t>
      </w:r>
      <w:r>
        <w:rPr>
          <w:i/>
        </w:rPr>
        <w:t>in their capacity as reasons</w:t>
      </w:r>
      <w:r>
        <w:t xml:space="preserve">, and </w:t>
      </w:r>
      <w:r w:rsidR="0007263F">
        <w:t>that</w:t>
      </w:r>
      <w:r>
        <w:t xml:space="preserve"> a coarse-grained version of </w:t>
      </w:r>
      <w:proofErr w:type="spellStart"/>
      <w:r>
        <w:t>RC</w:t>
      </w:r>
      <w:r>
        <w:rPr>
          <w:vertAlign w:val="subscript"/>
        </w:rPr>
        <w:t>General</w:t>
      </w:r>
      <w:proofErr w:type="spellEnd"/>
      <w:r>
        <w:rPr>
          <w:vertAlign w:val="subscript"/>
        </w:rPr>
        <w:t xml:space="preserve"> </w:t>
      </w:r>
      <w:r>
        <w:t xml:space="preserve">does this. I will argue that even if true, this point does not rule out a fine-grained reading of </w:t>
      </w:r>
      <w:proofErr w:type="spellStart"/>
      <w:r>
        <w:t>RC</w:t>
      </w:r>
      <w:r>
        <w:rPr>
          <w:vertAlign w:val="subscript"/>
        </w:rPr>
        <w:t>General</w:t>
      </w:r>
      <w:proofErr w:type="spellEnd"/>
      <w:r w:rsidR="00986433">
        <w:t xml:space="preserve">, and that there is good reason to </w:t>
      </w:r>
      <w:r w:rsidR="00AF4619">
        <w:t xml:space="preserve">think </w:t>
      </w:r>
      <w:r w:rsidR="00986433">
        <w:t xml:space="preserve">that </w:t>
      </w:r>
      <w:r w:rsidR="00986433">
        <w:rPr>
          <w:i/>
        </w:rPr>
        <w:t xml:space="preserve">both </w:t>
      </w:r>
      <w:r w:rsidR="008054EB">
        <w:t>claims</w:t>
      </w:r>
      <w:r w:rsidR="00986433">
        <w:t xml:space="preserve"> are necessary in order to capture the idea that reasons must be able to guide us </w:t>
      </w:r>
      <w:r w:rsidR="00986433">
        <w:rPr>
          <w:i/>
        </w:rPr>
        <w:t xml:space="preserve">as reasons. </w:t>
      </w:r>
    </w:p>
    <w:p w14:paraId="14620F1C" w14:textId="2B1778D4" w:rsidR="00057D64" w:rsidRDefault="00057D64" w:rsidP="00057D64">
      <w:pPr>
        <w:spacing w:line="480" w:lineRule="auto"/>
        <w:ind w:firstLine="720"/>
      </w:pPr>
      <w:r>
        <w:t xml:space="preserve">Way and Whiting argue that </w:t>
      </w:r>
      <w:r w:rsidR="005947CC">
        <w:t xml:space="preserve">the coarse-grained reading </w:t>
      </w:r>
      <w:r>
        <w:t>captures the intuition that reasons must be able to guide us as reasons because having the ability that corresponds to an explanation of why certain considerations are reasons is roughly sufficient to have the ability to respond to those considerations as reasons</w:t>
      </w:r>
      <w:r w:rsidR="00FC6B6D">
        <w:t xml:space="preserve"> (Way and Whiting 201</w:t>
      </w:r>
      <w:r w:rsidR="000512F9">
        <w:t>6</w:t>
      </w:r>
      <w:r w:rsidR="00FC6B6D">
        <w:t xml:space="preserve">: </w:t>
      </w:r>
      <w:r w:rsidR="000512F9">
        <w:t>2</w:t>
      </w:r>
      <w:r w:rsidR="00C62A8A">
        <w:t>27</w:t>
      </w:r>
      <w:r w:rsidR="000512F9">
        <w:t>)</w:t>
      </w:r>
      <w:r>
        <w:t>.</w:t>
      </w:r>
      <w:r w:rsidR="00BA6EDA">
        <w:rPr>
          <w:rStyle w:val="FootnoteReference"/>
        </w:rPr>
        <w:footnoteReference w:id="3"/>
      </w:r>
      <w:r>
        <w:t xml:space="preserve"> For example, consider this piece of reasoning: </w:t>
      </w:r>
    </w:p>
    <w:p w14:paraId="10EA67C9" w14:textId="77777777" w:rsidR="00057D64" w:rsidRDefault="00057D64" w:rsidP="00057D64">
      <w:pPr>
        <w:spacing w:line="480" w:lineRule="auto"/>
        <w:ind w:firstLine="720"/>
      </w:pPr>
      <w:r>
        <w:lastRenderedPageBreak/>
        <w:t xml:space="preserve">I want some milk. </w:t>
      </w:r>
    </w:p>
    <w:p w14:paraId="0B9C4FDB" w14:textId="77777777" w:rsidR="00057D64" w:rsidRDefault="00057D64" w:rsidP="00057D64">
      <w:pPr>
        <w:spacing w:line="480" w:lineRule="auto"/>
        <w:ind w:firstLine="720"/>
      </w:pPr>
      <w:r>
        <w:t xml:space="preserve">In order to get milk, I have to go to the store. </w:t>
      </w:r>
    </w:p>
    <w:p w14:paraId="06B04321" w14:textId="77777777" w:rsidR="00057D64" w:rsidRDefault="00057D64" w:rsidP="00057D64">
      <w:pPr>
        <w:spacing w:line="480" w:lineRule="auto"/>
        <w:ind w:firstLine="720"/>
      </w:pPr>
      <w:r>
        <w:t xml:space="preserve">So, I’ll go to the store. </w:t>
      </w:r>
    </w:p>
    <w:p w14:paraId="7CBBCD56" w14:textId="02CA8BE8" w:rsidR="001D43AC" w:rsidRDefault="00057D64" w:rsidP="007900C6">
      <w:pPr>
        <w:spacing w:line="480" w:lineRule="auto"/>
        <w:ind w:firstLine="720"/>
      </w:pPr>
      <w:r>
        <w:t xml:space="preserve">On Way and Whiting’s view, the fact that I want some milk is a reason for me to go to the store only if I have the general ability to follow a pattern of reasoning of which the foregoing piece of reason is an instance, viz., instrumental reasoning. But notice that the fact that I want some milk is a reason for me to go to the store because going to the store is instrumental to getting milk. In other words, my general ability to engage in instrumental reasoning corresponds to an explanation for why the fact that I want some milk is a reason for me to go to the store. </w:t>
      </w:r>
    </w:p>
    <w:p w14:paraId="75060A2B" w14:textId="2F9F0DE8" w:rsidR="007900C6" w:rsidRPr="005606E3" w:rsidRDefault="00D20AB8" w:rsidP="007900C6">
      <w:pPr>
        <w:spacing w:line="480" w:lineRule="auto"/>
        <w:ind w:firstLine="720"/>
      </w:pPr>
      <w:r>
        <w:t>To be a bit more precise</w:t>
      </w:r>
      <w:r w:rsidR="00717315">
        <w:t xml:space="preserve">, </w:t>
      </w:r>
      <w:r w:rsidR="007900C6">
        <w:t xml:space="preserve">Way and Whiting argue that </w:t>
      </w:r>
      <w:proofErr w:type="spellStart"/>
      <w:r w:rsidR="007900C6">
        <w:t>RC</w:t>
      </w:r>
      <w:r w:rsidR="007900C6">
        <w:rPr>
          <w:vertAlign w:val="subscript"/>
        </w:rPr>
        <w:t>General</w:t>
      </w:r>
      <w:proofErr w:type="spellEnd"/>
      <w:r w:rsidR="007900C6">
        <w:t xml:space="preserve">*** must capture the following intuition: </w:t>
      </w:r>
    </w:p>
    <w:p w14:paraId="03C0F6FB" w14:textId="77777777" w:rsidR="007900C6" w:rsidRDefault="007900C6" w:rsidP="007900C6">
      <w:pPr>
        <w:spacing w:line="480" w:lineRule="auto"/>
        <w:ind w:firstLine="720"/>
      </w:pPr>
    </w:p>
    <w:p w14:paraId="1CCFA944" w14:textId="77777777" w:rsidR="007900C6" w:rsidRDefault="007900C6" w:rsidP="007900C6">
      <w:pPr>
        <w:spacing w:line="480" w:lineRule="auto"/>
        <w:ind w:firstLine="720"/>
        <w:rPr>
          <w:rFonts w:ascii="TimesNewRomanPSMT" w:hAnsi="TimesNewRomanPSMT"/>
        </w:rPr>
      </w:pPr>
      <w:r>
        <w:t xml:space="preserve">Intuition: p is a reason for </w:t>
      </w:r>
      <w:r>
        <w:rPr>
          <w:i/>
        </w:rPr>
        <w:t xml:space="preserve">S </w:t>
      </w:r>
      <w:r>
        <w:t xml:space="preserve">to </w:t>
      </w:r>
      <w:r>
        <w:rPr>
          <w:rFonts w:ascii="TimesNewRomanPSMT" w:hAnsi="TimesNewRomanPSMT"/>
        </w:rPr>
        <w:t xml:space="preserve">φ only if </w:t>
      </w:r>
      <w:r>
        <w:rPr>
          <w:rFonts w:ascii="TimesNewRomanPSMT" w:hAnsi="TimesNewRomanPSMT"/>
          <w:i/>
        </w:rPr>
        <w:t xml:space="preserve">S </w:t>
      </w:r>
      <w:r>
        <w:rPr>
          <w:rFonts w:ascii="TimesNewRomanPSMT" w:hAnsi="TimesNewRomanPSMT"/>
        </w:rPr>
        <w:t xml:space="preserve">is able to respond to </w:t>
      </w:r>
      <w:r w:rsidRPr="00A11DB8">
        <w:rPr>
          <w:rFonts w:ascii="TimesNewRomanPSMT" w:hAnsi="TimesNewRomanPSMT"/>
        </w:rPr>
        <w:t>p</w:t>
      </w:r>
      <w:r>
        <w:rPr>
          <w:rFonts w:ascii="TimesNewRomanPSMT" w:hAnsi="TimesNewRomanPSMT"/>
          <w:i/>
        </w:rPr>
        <w:t xml:space="preserve"> </w:t>
      </w:r>
      <w:r w:rsidRPr="00E47E7C">
        <w:rPr>
          <w:rFonts w:ascii="TimesNewRomanPSMT" w:hAnsi="TimesNewRomanPSMT"/>
          <w:i/>
        </w:rPr>
        <w:t>as a reason</w:t>
      </w:r>
      <w:r>
        <w:rPr>
          <w:rFonts w:ascii="TimesNewRomanPSMT" w:hAnsi="TimesNewRomanPSMT"/>
        </w:rPr>
        <w:t xml:space="preserve">. </w:t>
      </w:r>
    </w:p>
    <w:p w14:paraId="2F65F21D" w14:textId="77777777" w:rsidR="007900C6" w:rsidRPr="007900C6" w:rsidRDefault="007900C6" w:rsidP="007900C6">
      <w:pPr>
        <w:spacing w:line="480" w:lineRule="auto"/>
        <w:ind w:firstLine="720"/>
      </w:pPr>
    </w:p>
    <w:p w14:paraId="5F3FE60E" w14:textId="72E58F22" w:rsidR="001D43AC" w:rsidRPr="003D7D15" w:rsidRDefault="00AE1592" w:rsidP="00057D64">
      <w:pPr>
        <w:spacing w:line="480" w:lineRule="auto"/>
        <w:ind w:firstLine="720"/>
      </w:pPr>
      <w:r>
        <w:t>They</w:t>
      </w:r>
      <w:r w:rsidR="001D43AC">
        <w:t xml:space="preserve"> further suggest that </w:t>
      </w:r>
      <w:r w:rsidR="001D43AC">
        <w:rPr>
          <w:i/>
        </w:rPr>
        <w:t xml:space="preserve">S </w:t>
      </w:r>
      <w:r w:rsidR="001D43AC">
        <w:t xml:space="preserve">is able to respond to </w:t>
      </w:r>
      <w:r w:rsidR="001D43AC">
        <w:rPr>
          <w:i/>
        </w:rPr>
        <w:t xml:space="preserve">p </w:t>
      </w:r>
      <w:r w:rsidR="001D43AC">
        <w:t xml:space="preserve">as a reason </w:t>
      </w:r>
      <w:r w:rsidR="001D43AC">
        <w:rPr>
          <w:i/>
        </w:rPr>
        <w:t xml:space="preserve">if S </w:t>
      </w:r>
      <w:r w:rsidR="001D43AC">
        <w:t xml:space="preserve">is able to perform </w:t>
      </w:r>
      <w:r w:rsidR="001D43AC">
        <w:rPr>
          <w:rFonts w:ascii="TimesNewRomanPSMT" w:hAnsi="TimesNewRomanPSMT"/>
        </w:rPr>
        <w:t xml:space="preserve">φ-type actions for p-type reasons (where this is construed in a relatively coarse-grained way). </w:t>
      </w:r>
      <w:r w:rsidR="009F0548">
        <w:rPr>
          <w:rFonts w:ascii="TimesNewRomanPSMT" w:hAnsi="TimesNewRomanPSMT"/>
        </w:rPr>
        <w:t xml:space="preserve">The latter ability corresponds to </w:t>
      </w:r>
      <w:r w:rsidR="008A518F">
        <w:rPr>
          <w:rFonts w:ascii="TimesNewRomanPSMT" w:hAnsi="TimesNewRomanPSMT"/>
        </w:rPr>
        <w:t>an explanation for why</w:t>
      </w:r>
      <w:r w:rsidR="009F0548">
        <w:rPr>
          <w:rFonts w:ascii="TimesNewRomanPSMT" w:hAnsi="TimesNewRomanPSMT"/>
        </w:rPr>
        <w:t xml:space="preserve"> </w:t>
      </w:r>
      <w:r w:rsidR="008A518F">
        <w:rPr>
          <w:rFonts w:ascii="TimesNewRomanPSMT" w:hAnsi="TimesNewRomanPSMT"/>
        </w:rPr>
        <w:t xml:space="preserve">p is </w:t>
      </w:r>
      <w:r w:rsidR="009F0548">
        <w:rPr>
          <w:rFonts w:ascii="TimesNewRomanPSMT" w:hAnsi="TimesNewRomanPSMT"/>
        </w:rPr>
        <w:t>a reason.</w:t>
      </w:r>
      <w:r w:rsidR="009F0548">
        <w:rPr>
          <w:rFonts w:ascii="TimesNewRomanPSMT" w:hAnsi="TimesNewRomanPSMT"/>
          <w:i/>
        </w:rPr>
        <w:t xml:space="preserve"> </w:t>
      </w:r>
      <w:r w:rsidR="0067668E">
        <w:rPr>
          <w:rFonts w:ascii="TimesNewRomanPSMT" w:hAnsi="TimesNewRomanPSMT"/>
        </w:rPr>
        <w:t xml:space="preserve">Thus, </w:t>
      </w:r>
      <w:proofErr w:type="spellStart"/>
      <w:r w:rsidR="0067668E">
        <w:rPr>
          <w:rFonts w:ascii="TimesNewRomanPSMT" w:hAnsi="TimesNewRomanPSMT"/>
        </w:rPr>
        <w:t>RC</w:t>
      </w:r>
      <w:r w:rsidR="0067668E">
        <w:rPr>
          <w:rFonts w:ascii="TimesNewRomanPSMT" w:hAnsi="TimesNewRomanPSMT"/>
          <w:vertAlign w:val="subscript"/>
        </w:rPr>
        <w:t>General</w:t>
      </w:r>
      <w:proofErr w:type="spellEnd"/>
      <w:r w:rsidR="0067668E">
        <w:rPr>
          <w:rFonts w:ascii="TimesNewRomanPSMT" w:hAnsi="TimesNewRomanPSMT"/>
        </w:rPr>
        <w:t xml:space="preserve">*** is able to capture at least part of the </w:t>
      </w:r>
      <w:r w:rsidR="00D2089D">
        <w:rPr>
          <w:rFonts w:ascii="TimesNewRomanPSMT" w:hAnsi="TimesNewRomanPSMT"/>
        </w:rPr>
        <w:t>I</w:t>
      </w:r>
      <w:r w:rsidR="0067668E">
        <w:rPr>
          <w:rFonts w:ascii="TimesNewRomanPSMT" w:hAnsi="TimesNewRomanPSMT"/>
        </w:rPr>
        <w:t xml:space="preserve">ntuition: </w:t>
      </w:r>
      <w:r w:rsidR="00DE0A5B">
        <w:rPr>
          <w:rFonts w:ascii="TimesNewRomanPSMT" w:hAnsi="TimesNewRomanPSMT"/>
        </w:rPr>
        <w:t xml:space="preserve">according to the former, </w:t>
      </w:r>
      <w:r w:rsidR="001E3E0B">
        <w:rPr>
          <w:rFonts w:ascii="TimesNewRomanPSMT" w:hAnsi="TimesNewRomanPSMT"/>
        </w:rPr>
        <w:t>if</w:t>
      </w:r>
      <w:r w:rsidR="001E3BE5">
        <w:rPr>
          <w:rFonts w:ascii="TimesNewRomanPSMT" w:hAnsi="TimesNewRomanPSMT"/>
        </w:rPr>
        <w:t xml:space="preserve"> p is a reason for </w:t>
      </w:r>
      <w:r w:rsidR="001E3BE5">
        <w:rPr>
          <w:rFonts w:ascii="TimesNewRomanPSMT" w:hAnsi="TimesNewRomanPSMT"/>
          <w:i/>
        </w:rPr>
        <w:t xml:space="preserve">S </w:t>
      </w:r>
      <w:r w:rsidR="001E3BE5">
        <w:rPr>
          <w:rFonts w:ascii="TimesNewRomanPSMT" w:hAnsi="TimesNewRomanPSMT"/>
        </w:rPr>
        <w:t xml:space="preserve">to φ, then </w:t>
      </w:r>
      <w:r w:rsidR="001E3BE5">
        <w:rPr>
          <w:rFonts w:ascii="TimesNewRomanPSMT" w:hAnsi="TimesNewRomanPSMT"/>
          <w:i/>
        </w:rPr>
        <w:t xml:space="preserve">S </w:t>
      </w:r>
      <w:r w:rsidR="001E3BE5">
        <w:rPr>
          <w:rFonts w:ascii="TimesNewRomanPSMT" w:hAnsi="TimesNewRomanPSMT"/>
        </w:rPr>
        <w:t>is able to perform φ-type actions for p-type reasons</w:t>
      </w:r>
      <w:r w:rsidR="00DE0A5B">
        <w:rPr>
          <w:rFonts w:ascii="TimesNewRomanPSMT" w:hAnsi="TimesNewRomanPSMT"/>
        </w:rPr>
        <w:t>.</w:t>
      </w:r>
      <w:r w:rsidR="005D77C0">
        <w:rPr>
          <w:rFonts w:ascii="TimesNewRomanPSMT" w:hAnsi="TimesNewRomanPSMT"/>
        </w:rPr>
        <w:t xml:space="preserve"> </w:t>
      </w:r>
      <w:r w:rsidR="00DE0A5B">
        <w:rPr>
          <w:rFonts w:ascii="TimesNewRomanPSMT" w:hAnsi="TimesNewRomanPSMT"/>
        </w:rPr>
        <w:t>W</w:t>
      </w:r>
      <w:r w:rsidR="005D77C0">
        <w:rPr>
          <w:rFonts w:ascii="TimesNewRomanPSMT" w:hAnsi="TimesNewRomanPSMT"/>
        </w:rPr>
        <w:t>hen</w:t>
      </w:r>
      <w:r w:rsidR="0067668E">
        <w:rPr>
          <w:rFonts w:ascii="TimesNewRomanPSMT" w:hAnsi="TimesNewRomanPSMT"/>
        </w:rPr>
        <w:t xml:space="preserve"> </w:t>
      </w:r>
      <w:r w:rsidR="0067668E">
        <w:rPr>
          <w:rFonts w:ascii="TimesNewRomanPSMT" w:hAnsi="TimesNewRomanPSMT"/>
          <w:i/>
        </w:rPr>
        <w:t xml:space="preserve">S </w:t>
      </w:r>
      <w:r w:rsidR="0067668E">
        <w:rPr>
          <w:rFonts w:ascii="TimesNewRomanPSMT" w:hAnsi="TimesNewRomanPSMT"/>
        </w:rPr>
        <w:t>is able to perform</w:t>
      </w:r>
      <w:r w:rsidR="0067668E">
        <w:t xml:space="preserve"> </w:t>
      </w:r>
      <w:r w:rsidR="0067668E">
        <w:rPr>
          <w:rFonts w:ascii="TimesNewRomanPSMT" w:hAnsi="TimesNewRomanPSMT"/>
        </w:rPr>
        <w:t xml:space="preserve">φ-type actions for p-type reasons </w:t>
      </w:r>
      <w:r w:rsidR="003D7D15">
        <w:rPr>
          <w:rFonts w:ascii="TimesNewRomanPSMT" w:hAnsi="TimesNewRomanPSMT"/>
        </w:rPr>
        <w:t xml:space="preserve">in a relatively coarse-grained way, </w:t>
      </w:r>
      <w:r w:rsidR="003D7D15">
        <w:rPr>
          <w:rFonts w:ascii="TimesNewRomanPSMT" w:hAnsi="TimesNewRomanPSMT"/>
          <w:i/>
        </w:rPr>
        <w:t xml:space="preserve">S </w:t>
      </w:r>
      <w:r w:rsidR="003D7D15">
        <w:rPr>
          <w:rFonts w:ascii="TimesNewRomanPSMT" w:hAnsi="TimesNewRomanPSMT"/>
        </w:rPr>
        <w:t xml:space="preserve">is able to respond to p as a reason, and p satisfies the </w:t>
      </w:r>
      <w:r w:rsidR="003D7B36">
        <w:rPr>
          <w:rFonts w:ascii="TimesNewRomanPSMT" w:hAnsi="TimesNewRomanPSMT"/>
        </w:rPr>
        <w:t>I</w:t>
      </w:r>
      <w:r w:rsidR="003D7D15">
        <w:rPr>
          <w:rFonts w:ascii="TimesNewRomanPSMT" w:hAnsi="TimesNewRomanPSMT"/>
        </w:rPr>
        <w:t xml:space="preserve">ntuition. </w:t>
      </w:r>
    </w:p>
    <w:p w14:paraId="6BFB68C2" w14:textId="1E8BC0D9" w:rsidR="00057D64" w:rsidRDefault="000D42A5" w:rsidP="00057D64">
      <w:pPr>
        <w:spacing w:line="480" w:lineRule="auto"/>
        <w:ind w:firstLine="720"/>
      </w:pPr>
      <w:r>
        <w:rPr>
          <w:rFonts w:ascii="TimesNewRomanPSMT" w:hAnsi="TimesNewRomanPSMT"/>
        </w:rPr>
        <w:t xml:space="preserve">This argument is plausible, but I do not think it helps Way and Whiting’s case against a more fine-grained interpretation of </w:t>
      </w:r>
      <w:proofErr w:type="spellStart"/>
      <w:r w:rsidRPr="000D42A5">
        <w:rPr>
          <w:rFonts w:ascii="TimesNewRomanPSMT" w:hAnsi="TimesNewRomanPSMT"/>
        </w:rPr>
        <w:t>RC</w:t>
      </w:r>
      <w:r>
        <w:rPr>
          <w:rFonts w:ascii="TimesNewRomanPSMT" w:hAnsi="TimesNewRomanPSMT"/>
          <w:vertAlign w:val="subscript"/>
        </w:rPr>
        <w:t>General</w:t>
      </w:r>
      <w:proofErr w:type="spellEnd"/>
      <w:r>
        <w:rPr>
          <w:rFonts w:ascii="TimesNewRomanPSMT" w:hAnsi="TimesNewRomanPSMT"/>
        </w:rPr>
        <w:t>. The</w:t>
      </w:r>
      <w:r w:rsidR="00057D64">
        <w:rPr>
          <w:rFonts w:ascii="TimesNewRomanPSMT" w:hAnsi="TimesNewRomanPSMT"/>
        </w:rPr>
        <w:t xml:space="preserve"> first thing to notice is that </w:t>
      </w:r>
      <w:proofErr w:type="spellStart"/>
      <w:r w:rsidR="00057D64">
        <w:t>RC</w:t>
      </w:r>
      <w:r w:rsidR="00057D64">
        <w:rPr>
          <w:vertAlign w:val="subscript"/>
        </w:rPr>
        <w:t>General</w:t>
      </w:r>
      <w:proofErr w:type="spellEnd"/>
      <w:r w:rsidR="00057D64">
        <w:t xml:space="preserve">*** and </w:t>
      </w:r>
      <w:proofErr w:type="spellStart"/>
      <w:r w:rsidR="00057D64">
        <w:lastRenderedPageBreak/>
        <w:t>RC</w:t>
      </w:r>
      <w:r w:rsidR="00057D64">
        <w:rPr>
          <w:vertAlign w:val="subscript"/>
        </w:rPr>
        <w:t>General</w:t>
      </w:r>
      <w:proofErr w:type="spellEnd"/>
      <w:r w:rsidR="00057D64">
        <w:t xml:space="preserve">** are not incompatible. It is perfectly possible that the fact that p is a reason for </w:t>
      </w:r>
      <w:r w:rsidR="00057D64">
        <w:rPr>
          <w:i/>
        </w:rPr>
        <w:t xml:space="preserve">S </w:t>
      </w:r>
      <w:r w:rsidR="00057D64">
        <w:t xml:space="preserve">to </w:t>
      </w:r>
      <w:r w:rsidR="00057D64">
        <w:rPr>
          <w:rFonts w:ascii="TimesNewRomanPSMT" w:hAnsi="TimesNewRomanPSMT"/>
        </w:rPr>
        <w:t xml:space="preserve">φ requires </w:t>
      </w:r>
      <w:r w:rsidR="00057D64">
        <w:rPr>
          <w:rFonts w:ascii="TimesNewRomanPSMT" w:hAnsi="TimesNewRomanPSMT"/>
          <w:i/>
        </w:rPr>
        <w:t xml:space="preserve">both </w:t>
      </w:r>
      <w:r w:rsidR="00057D64">
        <w:rPr>
          <w:rFonts w:ascii="TimesNewRomanPSMT" w:hAnsi="TimesNewRomanPSMT"/>
        </w:rPr>
        <w:t xml:space="preserve">the general ability to follow </w:t>
      </w:r>
      <w:r w:rsidR="00057D64">
        <w:rPr>
          <w:rFonts w:ascii="TimesNewRomanPSMT" w:hAnsi="TimesNewRomanPSMT"/>
          <w:i/>
        </w:rPr>
        <w:t xml:space="preserve">general </w:t>
      </w:r>
      <w:r w:rsidR="00057D64">
        <w:rPr>
          <w:rFonts w:ascii="TimesNewRomanPSMT" w:hAnsi="TimesNewRomanPSMT"/>
        </w:rPr>
        <w:t xml:space="preserve">patterns of reasoning as well as the general ability to follow the specific pattern of reasoning that includes p as a premise. It follows from this that an argument </w:t>
      </w:r>
      <w:r w:rsidR="00057D64">
        <w:rPr>
          <w:rFonts w:ascii="TimesNewRomanPSMT" w:hAnsi="TimesNewRomanPSMT"/>
          <w:i/>
        </w:rPr>
        <w:t xml:space="preserve">for </w:t>
      </w:r>
      <w:proofErr w:type="spellStart"/>
      <w:r w:rsidR="00057D64">
        <w:t>RC</w:t>
      </w:r>
      <w:r w:rsidR="00057D64">
        <w:rPr>
          <w:vertAlign w:val="subscript"/>
        </w:rPr>
        <w:t>General</w:t>
      </w:r>
      <w:proofErr w:type="spellEnd"/>
      <w:r w:rsidR="00057D64">
        <w:t xml:space="preserve">*** is not an argument </w:t>
      </w:r>
      <w:r w:rsidR="00057D64">
        <w:rPr>
          <w:i/>
        </w:rPr>
        <w:t xml:space="preserve">against </w:t>
      </w:r>
      <w:proofErr w:type="spellStart"/>
      <w:r w:rsidR="00057D64">
        <w:t>RC</w:t>
      </w:r>
      <w:r w:rsidR="00057D64">
        <w:rPr>
          <w:vertAlign w:val="subscript"/>
        </w:rPr>
        <w:t>General</w:t>
      </w:r>
      <w:proofErr w:type="spellEnd"/>
      <w:r w:rsidR="00057D64">
        <w:t>**.</w:t>
      </w:r>
      <w:r w:rsidR="0016342C">
        <w:rPr>
          <w:rStyle w:val="FootnoteReference"/>
          <w:rFonts w:ascii="TimesNewRomanPSMT" w:hAnsi="TimesNewRomanPSMT"/>
        </w:rPr>
        <w:footnoteReference w:id="4"/>
      </w:r>
      <w:r w:rsidR="00057D64">
        <w:t xml:space="preserve"> </w:t>
      </w:r>
    </w:p>
    <w:p w14:paraId="26EEB9CA" w14:textId="211B426D" w:rsidR="00057D64" w:rsidRDefault="00057D64" w:rsidP="00057D64">
      <w:pPr>
        <w:spacing w:line="480" w:lineRule="auto"/>
        <w:ind w:firstLine="720"/>
        <w:rPr>
          <w:rFonts w:ascii="TimesNewRomanPSMT" w:hAnsi="TimesNewRomanPSMT"/>
        </w:rPr>
      </w:pPr>
      <w:r>
        <w:rPr>
          <w:rFonts w:ascii="TimesNewRomanPSMT" w:hAnsi="TimesNewRomanPSMT"/>
        </w:rPr>
        <w:t>In addition, while Way and Whiting might be correct that “φ-</w:t>
      </w:r>
      <w:proofErr w:type="spellStart"/>
      <w:r>
        <w:rPr>
          <w:rFonts w:ascii="TimesNewRomanPSMT" w:hAnsi="TimesNewRomanPSMT"/>
        </w:rPr>
        <w:t>ing</w:t>
      </w:r>
      <w:proofErr w:type="spellEnd"/>
      <w:r>
        <w:rPr>
          <w:rFonts w:ascii="TimesNewRomanPSMT" w:hAnsi="TimesNewRomanPSMT"/>
        </w:rPr>
        <w:t xml:space="preserve"> for the reason that p is not sufficient for responding to the fact that p </w:t>
      </w:r>
      <w:r>
        <w:rPr>
          <w:rFonts w:ascii="TimesNewRomanPSMT" w:hAnsi="TimesNewRomanPSMT"/>
          <w:i/>
        </w:rPr>
        <w:t xml:space="preserve">as </w:t>
      </w:r>
      <w:r>
        <w:rPr>
          <w:rFonts w:ascii="TimesNewRomanPSMT" w:hAnsi="TimesNewRomanPSMT"/>
        </w:rPr>
        <w:t>a reason to φ”</w:t>
      </w:r>
      <w:r w:rsidR="007F689F">
        <w:rPr>
          <w:rFonts w:ascii="TimesNewRomanPSMT" w:hAnsi="TimesNewRomanPSMT"/>
        </w:rPr>
        <w:t xml:space="preserve"> (Way and Whiting 2016: 226)</w:t>
      </w:r>
      <w:r w:rsidR="00C92B78">
        <w:rPr>
          <w:rFonts w:ascii="TimesNewRomanPSMT" w:hAnsi="TimesNewRomanPSMT"/>
        </w:rPr>
        <w:t>,</w:t>
      </w:r>
      <w:r>
        <w:rPr>
          <w:rFonts w:ascii="TimesNewRomanPSMT" w:hAnsi="TimesNewRomanPSMT"/>
        </w:rPr>
        <w:t xml:space="preserve"> it is </w:t>
      </w:r>
      <w:r w:rsidR="00EC6E08">
        <w:rPr>
          <w:rFonts w:ascii="TimesNewRomanPSMT" w:hAnsi="TimesNewRomanPSMT"/>
        </w:rPr>
        <w:t xml:space="preserve">arguably </w:t>
      </w:r>
      <w:r>
        <w:rPr>
          <w:rFonts w:ascii="TimesNewRomanPSMT" w:hAnsi="TimesNewRomanPSMT"/>
        </w:rPr>
        <w:t>necessary.</w:t>
      </w:r>
      <w:r w:rsidR="00BB0704">
        <w:rPr>
          <w:rFonts w:ascii="TimesNewRomanPSMT" w:hAnsi="TimesNewRomanPSMT"/>
        </w:rPr>
        <w:t xml:space="preserve"> </w:t>
      </w:r>
      <w:r w:rsidR="00453D0F">
        <w:rPr>
          <w:rFonts w:ascii="TimesNewRomanPSMT" w:hAnsi="TimesNewRomanPSMT"/>
        </w:rPr>
        <w:t>After all, i</w:t>
      </w:r>
      <w:r w:rsidR="00BB0704">
        <w:rPr>
          <w:rFonts w:ascii="TimesNewRomanPSMT" w:hAnsi="TimesNewRomanPSMT"/>
        </w:rPr>
        <w:t xml:space="preserve">f I </w:t>
      </w:r>
      <w:r w:rsidR="001E393D">
        <w:rPr>
          <w:rFonts w:ascii="TimesNewRomanPSMT" w:hAnsi="TimesNewRomanPSMT"/>
        </w:rPr>
        <w:t>did</w:t>
      </w:r>
      <w:r w:rsidR="00BB0704">
        <w:rPr>
          <w:rFonts w:ascii="TimesNewRomanPSMT" w:hAnsi="TimesNewRomanPSMT"/>
        </w:rPr>
        <w:t xml:space="preserve"> not </w:t>
      </w:r>
      <w:r w:rsidR="001E393D">
        <w:rPr>
          <w:rFonts w:ascii="TimesNewRomanPSMT" w:hAnsi="TimesNewRomanPSMT"/>
        </w:rPr>
        <w:t xml:space="preserve">have the general ability to </w:t>
      </w:r>
      <w:r w:rsidR="00BB0704">
        <w:rPr>
          <w:rFonts w:ascii="TimesNewRomanPSMT" w:hAnsi="TimesNewRomanPSMT"/>
        </w:rPr>
        <w:t xml:space="preserve">go to the store because I want milk, how could I </w:t>
      </w:r>
      <w:r w:rsidR="00C96864">
        <w:rPr>
          <w:rFonts w:ascii="TimesNewRomanPSMT" w:hAnsi="TimesNewRomanPSMT"/>
        </w:rPr>
        <w:t xml:space="preserve">have the ability to </w:t>
      </w:r>
      <w:r w:rsidR="00BB0704">
        <w:rPr>
          <w:rFonts w:ascii="TimesNewRomanPSMT" w:hAnsi="TimesNewRomanPSMT"/>
        </w:rPr>
        <w:t xml:space="preserve">respond to the fact that I want milk </w:t>
      </w:r>
      <w:r w:rsidR="00BB0704">
        <w:rPr>
          <w:rFonts w:ascii="TimesNewRomanPSMT" w:hAnsi="TimesNewRomanPSMT"/>
          <w:i/>
        </w:rPr>
        <w:t xml:space="preserve">as a reason </w:t>
      </w:r>
      <w:r w:rsidR="00BB0704">
        <w:rPr>
          <w:rFonts w:ascii="TimesNewRomanPSMT" w:hAnsi="TimesNewRomanPSMT"/>
        </w:rPr>
        <w:t>to go to the store?</w:t>
      </w:r>
      <w:r>
        <w:rPr>
          <w:rFonts w:ascii="TimesNewRomanPSMT" w:hAnsi="TimesNewRomanPSMT"/>
        </w:rPr>
        <w:t xml:space="preserve"> </w:t>
      </w:r>
      <w:r w:rsidR="00C2080B">
        <w:rPr>
          <w:rFonts w:ascii="TimesNewRomanPSMT" w:hAnsi="TimesNewRomanPSMT"/>
        </w:rPr>
        <w:t>Acting for this reason</w:t>
      </w:r>
      <w:r w:rsidR="00210B46">
        <w:rPr>
          <w:rFonts w:ascii="TimesNewRomanPSMT" w:hAnsi="TimesNewRomanPSMT"/>
        </w:rPr>
        <w:t xml:space="preserve">—i.e., </w:t>
      </w:r>
      <w:r w:rsidR="009404C9">
        <w:rPr>
          <w:rFonts w:ascii="TimesNewRomanPSMT" w:hAnsi="TimesNewRomanPSMT"/>
        </w:rPr>
        <w:t xml:space="preserve">acting </w:t>
      </w:r>
      <w:r w:rsidR="009404C9">
        <w:rPr>
          <w:rFonts w:ascii="TimesNewRomanPSMT" w:hAnsi="TimesNewRomanPSMT"/>
          <w:i/>
        </w:rPr>
        <w:t xml:space="preserve">on the basis </w:t>
      </w:r>
      <w:r w:rsidR="009404C9">
        <w:rPr>
          <w:rFonts w:ascii="TimesNewRomanPSMT" w:hAnsi="TimesNewRomanPSMT"/>
        </w:rPr>
        <w:t xml:space="preserve">of </w:t>
      </w:r>
      <w:r w:rsidR="004327EF">
        <w:rPr>
          <w:rFonts w:ascii="TimesNewRomanPSMT" w:hAnsi="TimesNewRomanPSMT"/>
        </w:rPr>
        <w:t xml:space="preserve">reasoning that includes the </w:t>
      </w:r>
      <w:r w:rsidR="00210B46">
        <w:rPr>
          <w:rFonts w:ascii="TimesNewRomanPSMT" w:hAnsi="TimesNewRomanPSMT"/>
        </w:rPr>
        <w:t>fact that I want milk as a premise—</w:t>
      </w:r>
      <w:r w:rsidR="00C2080B">
        <w:rPr>
          <w:rFonts w:ascii="TimesNewRomanPSMT" w:hAnsi="TimesNewRomanPSMT"/>
        </w:rPr>
        <w:t>is at least</w:t>
      </w:r>
      <w:r w:rsidR="00C2080B" w:rsidRPr="00A11DB8">
        <w:rPr>
          <w:rFonts w:ascii="TimesNewRomanPSMT" w:hAnsi="TimesNewRomanPSMT"/>
          <w:i/>
        </w:rPr>
        <w:t xml:space="preserve"> part</w:t>
      </w:r>
      <w:r w:rsidR="00C2080B">
        <w:rPr>
          <w:rFonts w:ascii="TimesNewRomanPSMT" w:hAnsi="TimesNewRomanPSMT"/>
        </w:rPr>
        <w:t xml:space="preserve"> of the appropriate response</w:t>
      </w:r>
      <w:r w:rsidR="00BE2571">
        <w:rPr>
          <w:rFonts w:ascii="TimesNewRomanPSMT" w:hAnsi="TimesNewRomanPSMT"/>
        </w:rPr>
        <w:t xml:space="preserve"> to the reason</w:t>
      </w:r>
      <w:r w:rsidR="006E4188">
        <w:rPr>
          <w:rFonts w:ascii="TimesNewRomanPSMT" w:hAnsi="TimesNewRomanPSMT"/>
        </w:rPr>
        <w:t xml:space="preserve"> </w:t>
      </w:r>
      <w:r w:rsidR="006E4188">
        <w:rPr>
          <w:rFonts w:ascii="TimesNewRomanPSMT" w:hAnsi="TimesNewRomanPSMT"/>
          <w:i/>
        </w:rPr>
        <w:t xml:space="preserve">as </w:t>
      </w:r>
      <w:r w:rsidR="006E4188">
        <w:rPr>
          <w:rFonts w:ascii="TimesNewRomanPSMT" w:hAnsi="TimesNewRomanPSMT"/>
        </w:rPr>
        <w:t>a reason</w:t>
      </w:r>
      <w:r w:rsidR="00C2080B">
        <w:rPr>
          <w:rFonts w:ascii="TimesNewRomanPSMT" w:hAnsi="TimesNewRomanPSMT"/>
        </w:rPr>
        <w:t>.</w:t>
      </w:r>
      <w:r w:rsidR="00286F23">
        <w:rPr>
          <w:rStyle w:val="FootnoteReference"/>
          <w:rFonts w:ascii="TimesNewRomanPSMT" w:hAnsi="TimesNewRomanPSMT"/>
        </w:rPr>
        <w:footnoteReference w:id="5"/>
      </w:r>
      <w:r w:rsidR="00C2080B">
        <w:rPr>
          <w:rFonts w:ascii="TimesNewRomanPSMT" w:hAnsi="TimesNewRomanPSMT"/>
        </w:rPr>
        <w:t xml:space="preserve"> </w:t>
      </w:r>
      <w:r>
        <w:rPr>
          <w:rFonts w:ascii="TimesNewRomanPSMT" w:hAnsi="TimesNewRomanPSMT"/>
        </w:rPr>
        <w:t xml:space="preserve">This suggests a role for a fine-grained </w:t>
      </w:r>
      <w:r w:rsidR="00081CE0">
        <w:rPr>
          <w:rFonts w:ascii="TimesNewRomanPSMT" w:hAnsi="TimesNewRomanPSMT"/>
        </w:rPr>
        <w:t xml:space="preserve">general </w:t>
      </w:r>
      <w:r>
        <w:rPr>
          <w:rFonts w:ascii="TimesNewRomanPSMT" w:hAnsi="TimesNewRomanPSMT"/>
        </w:rPr>
        <w:t>ability as a condition of the ability to respond to considerations as reasons. Together with the coarse-grained ability, this yields an account of the ability to respond to reasons as reasons that I will call “</w:t>
      </w:r>
      <w:r w:rsidR="001D43AC">
        <w:rPr>
          <w:rFonts w:ascii="TimesNewRomanPSMT" w:hAnsi="TimesNewRomanPSMT"/>
        </w:rPr>
        <w:t>R</w:t>
      </w:r>
      <w:r w:rsidR="00F569D1">
        <w:rPr>
          <w:rFonts w:ascii="TimesNewRomanPSMT" w:hAnsi="TimesNewRomanPSMT"/>
        </w:rPr>
        <w:t xml:space="preserve">espond </w:t>
      </w:r>
      <w:r w:rsidR="00CF1374">
        <w:rPr>
          <w:rFonts w:ascii="TimesNewRomanPSMT" w:hAnsi="TimesNewRomanPSMT"/>
        </w:rPr>
        <w:t xml:space="preserve">as </w:t>
      </w:r>
      <w:r w:rsidR="00F569D1">
        <w:rPr>
          <w:rFonts w:ascii="TimesNewRomanPSMT" w:hAnsi="TimesNewRomanPSMT"/>
        </w:rPr>
        <w:t>Reasons</w:t>
      </w:r>
      <w:r>
        <w:rPr>
          <w:rFonts w:ascii="TimesNewRomanPSMT" w:hAnsi="TimesNewRomanPSMT"/>
        </w:rPr>
        <w:t xml:space="preserve">” or RR: </w:t>
      </w:r>
    </w:p>
    <w:p w14:paraId="2F5A2FA8" w14:textId="77777777" w:rsidR="00057D64" w:rsidRDefault="00057D64" w:rsidP="00057D64">
      <w:pPr>
        <w:spacing w:line="480" w:lineRule="auto"/>
        <w:ind w:firstLine="720"/>
        <w:rPr>
          <w:rFonts w:ascii="TimesNewRomanPSMT" w:hAnsi="TimesNewRomanPSMT"/>
        </w:rPr>
      </w:pPr>
    </w:p>
    <w:p w14:paraId="31E31F7E" w14:textId="320AB580" w:rsidR="00057D64" w:rsidRPr="00800346" w:rsidRDefault="00057D64" w:rsidP="00057D64">
      <w:pPr>
        <w:spacing w:line="480" w:lineRule="auto"/>
        <w:ind w:left="720"/>
        <w:rPr>
          <w:rFonts w:ascii="TimesNewRomanPSMT" w:hAnsi="TimesNewRomanPSMT"/>
        </w:rPr>
      </w:pPr>
      <w:r>
        <w:rPr>
          <w:rFonts w:ascii="TimesNewRomanPSMT" w:hAnsi="TimesNewRomanPSMT"/>
        </w:rPr>
        <w:t xml:space="preserve">RR: </w:t>
      </w:r>
      <w:r>
        <w:rPr>
          <w:rFonts w:ascii="TimesNewRomanPSMT" w:hAnsi="TimesNewRomanPSMT"/>
          <w:i/>
        </w:rPr>
        <w:t xml:space="preserve">S </w:t>
      </w:r>
      <w:r w:rsidR="009C580C">
        <w:rPr>
          <w:rFonts w:ascii="TimesNewRomanPSMT" w:hAnsi="TimesNewRomanPSMT"/>
        </w:rPr>
        <w:t xml:space="preserve">is able to </w:t>
      </w:r>
      <w:r>
        <w:rPr>
          <w:rFonts w:ascii="TimesNewRomanPSMT" w:hAnsi="TimesNewRomanPSMT"/>
        </w:rPr>
        <w:t xml:space="preserve">respond to p as a reason </w:t>
      </w:r>
      <w:proofErr w:type="spellStart"/>
      <w:r>
        <w:rPr>
          <w:rFonts w:ascii="TimesNewRomanPSMT" w:hAnsi="TimesNewRomanPSMT"/>
        </w:rPr>
        <w:t>iff</w:t>
      </w:r>
      <w:proofErr w:type="spellEnd"/>
      <w:r>
        <w:rPr>
          <w:rFonts w:ascii="TimesNewRomanPSMT" w:hAnsi="TimesNewRomanPSMT"/>
        </w:rPr>
        <w:t xml:space="preserve"> (a) </w:t>
      </w:r>
      <w:r>
        <w:rPr>
          <w:rFonts w:ascii="TimesNewRomanPSMT" w:hAnsi="TimesNewRomanPSMT"/>
          <w:i/>
        </w:rPr>
        <w:t xml:space="preserve">S </w:t>
      </w:r>
      <w:r w:rsidR="009C580C">
        <w:rPr>
          <w:rFonts w:ascii="TimesNewRomanPSMT" w:hAnsi="TimesNewRomanPSMT"/>
        </w:rPr>
        <w:t>is able</w:t>
      </w:r>
      <w:r>
        <w:rPr>
          <w:rFonts w:ascii="TimesNewRomanPSMT" w:hAnsi="TimesNewRomanPSMT"/>
        </w:rPr>
        <w:t xml:space="preserve"> to</w:t>
      </w:r>
      <w:r w:rsidR="00B31FB4">
        <w:rPr>
          <w:rFonts w:ascii="TimesNewRomanPSMT" w:hAnsi="TimesNewRomanPSMT"/>
        </w:rPr>
        <w:t xml:space="preserve"> follow the specific pattern of reasoning involved in φ-</w:t>
      </w:r>
      <w:proofErr w:type="spellStart"/>
      <w:r w:rsidR="00B31FB4">
        <w:rPr>
          <w:rFonts w:ascii="TimesNewRomanPSMT" w:hAnsi="TimesNewRomanPSMT"/>
        </w:rPr>
        <w:t>ing</w:t>
      </w:r>
      <w:proofErr w:type="spellEnd"/>
      <w:r w:rsidR="00B31FB4">
        <w:rPr>
          <w:rFonts w:ascii="TimesNewRomanPSMT" w:hAnsi="TimesNewRomanPSMT"/>
        </w:rPr>
        <w:t xml:space="preserve"> for the reason that p; </w:t>
      </w:r>
      <w:r>
        <w:rPr>
          <w:rFonts w:ascii="TimesNewRomanPSMT" w:hAnsi="TimesNewRomanPSMT"/>
        </w:rPr>
        <w:t xml:space="preserve">and (b) </w:t>
      </w:r>
      <w:r>
        <w:rPr>
          <w:rFonts w:ascii="TimesNewRomanPSMT" w:hAnsi="TimesNewRomanPSMT"/>
          <w:i/>
        </w:rPr>
        <w:t xml:space="preserve">S </w:t>
      </w:r>
      <w:r w:rsidR="009C580C">
        <w:rPr>
          <w:rFonts w:ascii="TimesNewRomanPSMT" w:hAnsi="TimesNewRomanPSMT"/>
        </w:rPr>
        <w:t xml:space="preserve">is able </w:t>
      </w:r>
      <w:r>
        <w:rPr>
          <w:rFonts w:ascii="TimesNewRomanPSMT" w:hAnsi="TimesNewRomanPSMT"/>
        </w:rPr>
        <w:t>to follow the general pattern of reasoning of which φ-</w:t>
      </w:r>
      <w:proofErr w:type="spellStart"/>
      <w:r>
        <w:rPr>
          <w:rFonts w:ascii="TimesNewRomanPSMT" w:hAnsi="TimesNewRomanPSMT"/>
        </w:rPr>
        <w:t>ing</w:t>
      </w:r>
      <w:proofErr w:type="spellEnd"/>
      <w:r>
        <w:rPr>
          <w:rFonts w:ascii="TimesNewRomanPSMT" w:hAnsi="TimesNewRomanPSMT"/>
        </w:rPr>
        <w:t xml:space="preserve"> for the reason that p is a token or instance.</w:t>
      </w:r>
      <w:r w:rsidR="00CE0237">
        <w:rPr>
          <w:rStyle w:val="FootnoteReference"/>
          <w:rFonts w:ascii="TimesNewRomanPSMT" w:hAnsi="TimesNewRomanPSMT"/>
        </w:rPr>
        <w:footnoteReference w:id="6"/>
      </w:r>
      <w:r>
        <w:rPr>
          <w:rFonts w:ascii="TimesNewRomanPSMT" w:hAnsi="TimesNewRomanPSMT"/>
        </w:rPr>
        <w:t xml:space="preserve"> </w:t>
      </w:r>
    </w:p>
    <w:p w14:paraId="713BE7FB" w14:textId="77777777" w:rsidR="00057D64" w:rsidRDefault="00057D64" w:rsidP="00057D64">
      <w:pPr>
        <w:spacing w:line="480" w:lineRule="auto"/>
      </w:pPr>
    </w:p>
    <w:p w14:paraId="223F85C4" w14:textId="4B0F6944" w:rsidR="00057D64" w:rsidRPr="001D43AC" w:rsidRDefault="00057D64" w:rsidP="00057D64">
      <w:pPr>
        <w:spacing w:line="480" w:lineRule="auto"/>
      </w:pPr>
      <w:r>
        <w:lastRenderedPageBreak/>
        <w:tab/>
        <w:t xml:space="preserve">RR </w:t>
      </w:r>
      <w:r w:rsidR="00BA2AD5">
        <w:t>says that</w:t>
      </w:r>
      <w:r>
        <w:t xml:space="preserve"> that t</w:t>
      </w:r>
      <w:r w:rsidR="00D06D2C">
        <w:t>he</w:t>
      </w:r>
      <w:r>
        <w:t xml:space="preserve"> ability </w:t>
      </w:r>
      <w:r w:rsidR="00D06D2C">
        <w:t xml:space="preserve">to respond to a reason as a reason </w:t>
      </w:r>
      <w:r>
        <w:t>requires</w:t>
      </w:r>
      <w:r w:rsidR="00D06D2C">
        <w:t xml:space="preserve"> </w:t>
      </w:r>
      <w:r>
        <w:t xml:space="preserve">both a coarse-grained and a fine-grained ability. </w:t>
      </w:r>
      <w:r w:rsidR="001711FD">
        <w:t xml:space="preserve">If that’s the case, then </w:t>
      </w:r>
      <w:r w:rsidR="001711FD">
        <w:rPr>
          <w:i/>
        </w:rPr>
        <w:t xml:space="preserve">both </w:t>
      </w:r>
      <w:proofErr w:type="spellStart"/>
      <w:r w:rsidR="001711FD">
        <w:t>RC</w:t>
      </w:r>
      <w:r w:rsidR="001711FD">
        <w:rPr>
          <w:vertAlign w:val="subscript"/>
        </w:rPr>
        <w:t>General</w:t>
      </w:r>
      <w:proofErr w:type="spellEnd"/>
      <w:r w:rsidR="001711FD">
        <w:t xml:space="preserve">*** and </w:t>
      </w:r>
      <w:proofErr w:type="spellStart"/>
      <w:r w:rsidR="001711FD">
        <w:t>RC</w:t>
      </w:r>
      <w:r w:rsidR="001711FD">
        <w:rPr>
          <w:vertAlign w:val="subscript"/>
        </w:rPr>
        <w:t>General</w:t>
      </w:r>
      <w:proofErr w:type="spellEnd"/>
      <w:r w:rsidR="001711FD">
        <w:t>** are needed to capture the Intu</w:t>
      </w:r>
      <w:r w:rsidR="00AD0039">
        <w:t>i</w:t>
      </w:r>
      <w:r w:rsidR="001711FD">
        <w:t>tion</w:t>
      </w:r>
      <w:r w:rsidR="00B967D6">
        <w:t xml:space="preserve">; </w:t>
      </w:r>
      <w:r w:rsidR="001D43AC">
        <w:t>they are, in fact, complementary.</w:t>
      </w:r>
      <w:r w:rsidR="00837216">
        <w:rPr>
          <w:rStyle w:val="FootnoteReference"/>
        </w:rPr>
        <w:footnoteReference w:id="7"/>
      </w:r>
      <w:r w:rsidR="001D43AC">
        <w:t xml:space="preserve"> </w:t>
      </w:r>
      <w:r w:rsidR="00A63915">
        <w:t xml:space="preserve">But then </w:t>
      </w:r>
      <w:r w:rsidR="001D43AC">
        <w:t xml:space="preserve">elusive reasons still pose a challenge to </w:t>
      </w:r>
      <w:r w:rsidR="00A112DE">
        <w:rPr>
          <w:i/>
        </w:rPr>
        <w:t xml:space="preserve">some </w:t>
      </w:r>
      <w:r w:rsidR="00A112DE">
        <w:t xml:space="preserve">true response constraint—namely, </w:t>
      </w:r>
      <w:proofErr w:type="spellStart"/>
      <w:r w:rsidR="00A112DE">
        <w:t>RC</w:t>
      </w:r>
      <w:r w:rsidR="00A112DE">
        <w:rPr>
          <w:vertAlign w:val="subscript"/>
        </w:rPr>
        <w:t>General</w:t>
      </w:r>
      <w:proofErr w:type="spellEnd"/>
      <w:r w:rsidR="00A112DE">
        <w:t>**</w:t>
      </w:r>
      <w:r w:rsidR="00532D07">
        <w:t>—</w:t>
      </w:r>
      <w:r w:rsidR="001D43AC">
        <w:t xml:space="preserve">insofar as they are incompatible with a fine-grained ability to respond to reasons. </w:t>
      </w:r>
    </w:p>
    <w:p w14:paraId="79FB7429" w14:textId="0AA2A2E0" w:rsidR="00057D64" w:rsidRDefault="000A43C1" w:rsidP="00057D64">
      <w:pPr>
        <w:spacing w:line="480" w:lineRule="auto"/>
      </w:pPr>
      <w:r>
        <w:tab/>
        <w:t>Thus, from the fact that</w:t>
      </w:r>
      <w:r w:rsidR="00AD0039">
        <w:t xml:space="preserve"> the more coarse-grained interpretation of </w:t>
      </w:r>
      <w:proofErr w:type="spellStart"/>
      <w:r w:rsidR="00AD0039">
        <w:t>RC</w:t>
      </w:r>
      <w:r w:rsidR="00AD0039">
        <w:rPr>
          <w:vertAlign w:val="subscript"/>
        </w:rPr>
        <w:t>General</w:t>
      </w:r>
      <w:proofErr w:type="spellEnd"/>
      <w:r w:rsidR="00AD0039">
        <w:rPr>
          <w:vertAlign w:val="subscript"/>
        </w:rPr>
        <w:t xml:space="preserve"> </w:t>
      </w:r>
      <w:r w:rsidR="00AD0039">
        <w:t>helps capture the intuition that the existence of a reason implies the ability to respond to it as a reason, it does not follow that the more fine-grained interpretation is false. In fact, there is good reason to believe that the more fine-grained ability is needed in order to capture the</w:t>
      </w:r>
      <w:r w:rsidR="009F2DB6">
        <w:t xml:space="preserve"> same</w:t>
      </w:r>
      <w:r w:rsidR="00AD0039">
        <w:t xml:space="preserve"> intuition. </w:t>
      </w:r>
      <w:r w:rsidR="00543BC9">
        <w:t xml:space="preserve">And if that’s the case, then elusive reasons are still incompatible with </w:t>
      </w:r>
      <w:r w:rsidR="00543BC9">
        <w:rPr>
          <w:i/>
        </w:rPr>
        <w:t xml:space="preserve">some </w:t>
      </w:r>
      <w:r w:rsidR="00543BC9">
        <w:t xml:space="preserve">true response constraint. </w:t>
      </w:r>
    </w:p>
    <w:p w14:paraId="74F83D12" w14:textId="2711A314" w:rsidR="000E7B4C" w:rsidRPr="00A11DB8" w:rsidRDefault="00543BC9" w:rsidP="00A11DB8">
      <w:pPr>
        <w:pStyle w:val="Heading2"/>
        <w:numPr>
          <w:ilvl w:val="0"/>
          <w:numId w:val="1"/>
        </w:numPr>
        <w:rPr>
          <w:b/>
        </w:rPr>
      </w:pPr>
      <w:r w:rsidRPr="00A11DB8">
        <w:rPr>
          <w:b/>
        </w:rPr>
        <w:t>Conclusion</w:t>
      </w:r>
    </w:p>
    <w:p w14:paraId="5B0892C6" w14:textId="77777777" w:rsidR="00A11DB8" w:rsidRPr="00A11DB8" w:rsidRDefault="00A11DB8" w:rsidP="00A11DB8"/>
    <w:p w14:paraId="3E190F14" w14:textId="4E32CDBD" w:rsidR="00BA19B5" w:rsidRDefault="000E7B4C" w:rsidP="000E7B4C">
      <w:pPr>
        <w:spacing w:line="480" w:lineRule="auto"/>
        <w:ind w:firstLine="720"/>
      </w:pPr>
      <w:r>
        <w:t xml:space="preserve">In this paper, I have argued that Way and Whiting’s strategy fails to reconcile elusive reasons with the response constraint. First, </w:t>
      </w:r>
      <w:r w:rsidR="00111E92">
        <w:t xml:space="preserve">their argument that a fine-grained interpretation of </w:t>
      </w:r>
      <w:proofErr w:type="spellStart"/>
      <w:r w:rsidR="00111E92">
        <w:t>RC</w:t>
      </w:r>
      <w:r w:rsidR="00111E92">
        <w:rPr>
          <w:vertAlign w:val="subscript"/>
        </w:rPr>
        <w:t>General</w:t>
      </w:r>
      <w:proofErr w:type="spellEnd"/>
      <w:r w:rsidR="00111E92">
        <w:rPr>
          <w:vertAlign w:val="subscript"/>
        </w:rPr>
        <w:t xml:space="preserve"> </w:t>
      </w:r>
      <w:r w:rsidR="00111E92">
        <w:t>commits us to counterintuitive results in the Elliot case turned out to be false. The actual reason we get the wrong verdict in the Elliot case is Way and Whiting’s overly restrictive conception of general ability, which holds fixed the agent’s actual beliefs. Second, their positive case for the co</w:t>
      </w:r>
      <w:r w:rsidR="008B7A8E">
        <w:t>ar</w:t>
      </w:r>
      <w:r w:rsidR="00111E92">
        <w:t xml:space="preserve">se-grained interpretation of </w:t>
      </w:r>
      <w:proofErr w:type="spellStart"/>
      <w:r w:rsidR="00111E92">
        <w:t>RC</w:t>
      </w:r>
      <w:r w:rsidR="00111E92">
        <w:rPr>
          <w:vertAlign w:val="subscript"/>
        </w:rPr>
        <w:t>General</w:t>
      </w:r>
      <w:proofErr w:type="spellEnd"/>
      <w:r w:rsidR="00111E92">
        <w:t xml:space="preserve">, while plausible, did not rule out a fine-grained interpretation. Further, there is reason to think that the fine-grained interpretation is also needed to fully capture the intuition that the existence of a reason requires the ability to respond to that reason as a reason. </w:t>
      </w:r>
      <w:r w:rsidR="00AD5EEE">
        <w:t xml:space="preserve">Thus, I conclude that elusive reasons remain a serious challenge to the response constraint and similar constraints. </w:t>
      </w:r>
    </w:p>
    <w:p w14:paraId="33746B1B" w14:textId="143DA960" w:rsidR="00AD5EEE" w:rsidRDefault="00AD5EEE" w:rsidP="000E7B4C">
      <w:pPr>
        <w:spacing w:line="480" w:lineRule="auto"/>
        <w:ind w:firstLine="720"/>
      </w:pPr>
    </w:p>
    <w:p w14:paraId="3626F5D5" w14:textId="6F228D47" w:rsidR="00AD5EEE" w:rsidRPr="00D31DB6" w:rsidRDefault="00AD5EEE" w:rsidP="00952C7D">
      <w:pPr>
        <w:pStyle w:val="Heading2"/>
        <w:rPr>
          <w:b/>
        </w:rPr>
      </w:pPr>
      <w:r w:rsidRPr="00D31DB6">
        <w:rPr>
          <w:b/>
        </w:rPr>
        <w:t>References</w:t>
      </w:r>
    </w:p>
    <w:p w14:paraId="0816D8BE" w14:textId="4CF3642C" w:rsidR="00C01B1B" w:rsidRDefault="00C01B1B" w:rsidP="00BD236C">
      <w:pPr>
        <w:pStyle w:val="NormalWeb"/>
        <w:numPr>
          <w:ilvl w:val="0"/>
          <w:numId w:val="2"/>
        </w:numPr>
      </w:pPr>
      <w:r>
        <w:t xml:space="preserve">Gibbons, J. </w:t>
      </w:r>
      <w:r>
        <w:rPr>
          <w:i/>
        </w:rPr>
        <w:t xml:space="preserve">The Norms of Belief. </w:t>
      </w:r>
      <w:r>
        <w:t xml:space="preserve">Oxford: Oxford UP, 2013. </w:t>
      </w:r>
    </w:p>
    <w:p w14:paraId="76853C04" w14:textId="0D968E51" w:rsidR="00952C7D" w:rsidRDefault="00952C7D" w:rsidP="00BD236C">
      <w:pPr>
        <w:pStyle w:val="NormalWeb"/>
        <w:numPr>
          <w:ilvl w:val="0"/>
          <w:numId w:val="2"/>
        </w:numPr>
      </w:pPr>
      <w:proofErr w:type="spellStart"/>
      <w:r w:rsidRPr="00952C7D">
        <w:t>Markovits</w:t>
      </w:r>
      <w:proofErr w:type="spellEnd"/>
      <w:r w:rsidRPr="00952C7D">
        <w:t xml:space="preserve">, J. “Why Be an Internalist about Reasons?” </w:t>
      </w:r>
      <w:r w:rsidRPr="00952C7D">
        <w:rPr>
          <w:i/>
        </w:rPr>
        <w:t>Oxford Studies in Metaethics</w:t>
      </w:r>
      <w:r w:rsidRPr="00952C7D">
        <w:t>. 6 vols., Ed. R. Shafer-Landau. Oxford: Oxford UP, 2011.</w:t>
      </w:r>
    </w:p>
    <w:p w14:paraId="63DE7478" w14:textId="4ADBD12E" w:rsidR="00C01B1B" w:rsidRPr="00952C7D" w:rsidRDefault="00C01B1B" w:rsidP="00BD236C">
      <w:pPr>
        <w:pStyle w:val="NormalWeb"/>
        <w:numPr>
          <w:ilvl w:val="0"/>
          <w:numId w:val="2"/>
        </w:numPr>
      </w:pPr>
      <w:proofErr w:type="spellStart"/>
      <w:r>
        <w:t>Raz</w:t>
      </w:r>
      <w:proofErr w:type="spellEnd"/>
      <w:r>
        <w:t xml:space="preserve">, J. </w:t>
      </w:r>
      <w:r>
        <w:rPr>
          <w:i/>
        </w:rPr>
        <w:t>From Normativity to Responsibility</w:t>
      </w:r>
      <w:r>
        <w:t xml:space="preserve">. Oxford, Oxford UP, 2011. </w:t>
      </w:r>
    </w:p>
    <w:p w14:paraId="705C60DB" w14:textId="77777777" w:rsidR="00952C7D" w:rsidRPr="00AD5EEE" w:rsidRDefault="00952C7D" w:rsidP="00BD236C">
      <w:pPr>
        <w:pStyle w:val="ListParagraph"/>
        <w:numPr>
          <w:ilvl w:val="0"/>
          <w:numId w:val="2"/>
        </w:numPr>
        <w:rPr>
          <w:rFonts w:cs="Times New Roman"/>
        </w:rPr>
      </w:pPr>
      <w:r w:rsidRPr="00952C7D">
        <w:rPr>
          <w:rFonts w:cs="Times New Roman"/>
        </w:rPr>
        <w:t xml:space="preserve">Rossi, B. “Elusive Reasons and the Motivational Constraint.” </w:t>
      </w:r>
      <w:r w:rsidRPr="00952C7D">
        <w:rPr>
          <w:rFonts w:cs="Times New Roman"/>
          <w:i/>
        </w:rPr>
        <w:t xml:space="preserve">Journal of Ethics and Social Philosophy </w:t>
      </w:r>
      <w:r w:rsidRPr="00952C7D">
        <w:rPr>
          <w:rFonts w:cs="Times New Roman"/>
        </w:rPr>
        <w:t xml:space="preserve">(forthcoming). </w:t>
      </w:r>
    </w:p>
    <w:p w14:paraId="22FCB80F" w14:textId="08A9E541" w:rsidR="00952C7D" w:rsidRDefault="00952C7D" w:rsidP="00BD236C">
      <w:pPr>
        <w:pStyle w:val="NormalWeb"/>
        <w:numPr>
          <w:ilvl w:val="0"/>
          <w:numId w:val="2"/>
        </w:numPr>
      </w:pPr>
      <w:r w:rsidRPr="00952C7D">
        <w:t xml:space="preserve">Schroeder, M. </w:t>
      </w:r>
      <w:r w:rsidRPr="00952C7D">
        <w:rPr>
          <w:i/>
        </w:rPr>
        <w:t>Slaves of the Passions</w:t>
      </w:r>
      <w:r w:rsidRPr="00952C7D">
        <w:t>. Oxford: Oxford UP, 2007.</w:t>
      </w:r>
    </w:p>
    <w:p w14:paraId="78CCA9BB" w14:textId="1866B8D8" w:rsidR="00FF0800" w:rsidRPr="00952C7D" w:rsidRDefault="00FF0800" w:rsidP="00FF0800">
      <w:pPr>
        <w:pStyle w:val="NormalWeb"/>
        <w:numPr>
          <w:ilvl w:val="0"/>
          <w:numId w:val="2"/>
        </w:numPr>
      </w:pPr>
      <w:r w:rsidRPr="00FF0800">
        <w:t xml:space="preserve">Smith, M. “Reasons with Rationalism after All.” </w:t>
      </w:r>
      <w:r w:rsidRPr="00FF0800">
        <w:rPr>
          <w:i/>
        </w:rPr>
        <w:t>Analysis Reviews</w:t>
      </w:r>
      <w:r w:rsidRPr="00FF0800">
        <w:t xml:space="preserve"> 69 (2009): 521–30. </w:t>
      </w:r>
    </w:p>
    <w:p w14:paraId="542DCCB9" w14:textId="77777777" w:rsidR="00952C7D" w:rsidRPr="00952C7D" w:rsidRDefault="00952C7D" w:rsidP="00BD236C">
      <w:pPr>
        <w:pStyle w:val="NormalWeb"/>
        <w:numPr>
          <w:ilvl w:val="0"/>
          <w:numId w:val="2"/>
        </w:numPr>
      </w:pPr>
      <w:r w:rsidRPr="00952C7D">
        <w:t xml:space="preserve">Sobel, D. “Explanation, </w:t>
      </w:r>
      <w:proofErr w:type="spellStart"/>
      <w:r w:rsidRPr="00952C7D">
        <w:t>Internalism</w:t>
      </w:r>
      <w:proofErr w:type="spellEnd"/>
      <w:r w:rsidRPr="00952C7D">
        <w:t xml:space="preserve">, and Reasons for Action.” </w:t>
      </w:r>
      <w:r w:rsidRPr="00952C7D">
        <w:rPr>
          <w:i/>
        </w:rPr>
        <w:t>Social Philosophy and Policy</w:t>
      </w:r>
      <w:r w:rsidRPr="00952C7D">
        <w:t xml:space="preserve"> 18 (2001): 218–35.</w:t>
      </w:r>
    </w:p>
    <w:p w14:paraId="7C13B4AA" w14:textId="77777777" w:rsidR="00952C7D" w:rsidRPr="00952C7D" w:rsidRDefault="00952C7D" w:rsidP="00BD236C">
      <w:pPr>
        <w:pStyle w:val="ListParagraph"/>
        <w:numPr>
          <w:ilvl w:val="0"/>
          <w:numId w:val="2"/>
        </w:numPr>
        <w:rPr>
          <w:rFonts w:cs="Times New Roman"/>
        </w:rPr>
      </w:pPr>
      <w:r w:rsidRPr="00952C7D">
        <w:rPr>
          <w:rFonts w:cs="Times New Roman"/>
        </w:rPr>
        <w:t xml:space="preserve">Way, J., and D. Whiting. “Reasons and Guidance (Or, Surprise Parties and Ice Cream).” </w:t>
      </w:r>
      <w:r w:rsidRPr="00952C7D">
        <w:rPr>
          <w:rFonts w:cs="Times New Roman"/>
          <w:i/>
        </w:rPr>
        <w:t xml:space="preserve">Analytic Philosophy </w:t>
      </w:r>
      <w:r w:rsidRPr="00952C7D">
        <w:rPr>
          <w:rFonts w:cs="Times New Roman"/>
        </w:rPr>
        <w:t xml:space="preserve">57 (2016): 214-235. </w:t>
      </w:r>
    </w:p>
    <w:p w14:paraId="379FA347" w14:textId="01E4467E" w:rsidR="00AD5EEE" w:rsidRPr="00DD3352" w:rsidRDefault="00952C7D" w:rsidP="00952C7D">
      <w:pPr>
        <w:pStyle w:val="NormalWeb"/>
        <w:numPr>
          <w:ilvl w:val="0"/>
          <w:numId w:val="2"/>
        </w:numPr>
      </w:pPr>
      <w:r w:rsidRPr="00952C7D">
        <w:t xml:space="preserve">Williams, B. “Internal and External Reasons.” In </w:t>
      </w:r>
      <w:r w:rsidRPr="00952C7D">
        <w:rPr>
          <w:i/>
        </w:rPr>
        <w:t>Moral Luck</w:t>
      </w:r>
      <w:r w:rsidRPr="00952C7D">
        <w:t xml:space="preserve">. Cambridge: Cambridge UP, 1981. </w:t>
      </w:r>
    </w:p>
    <w:sectPr w:rsidR="00AD5EEE" w:rsidRPr="00DD3352" w:rsidSect="00454E8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E8DFF" w14:textId="77777777" w:rsidR="0049336F" w:rsidRDefault="0049336F" w:rsidP="005A2BAA">
      <w:r>
        <w:separator/>
      </w:r>
    </w:p>
  </w:endnote>
  <w:endnote w:type="continuationSeparator" w:id="0">
    <w:p w14:paraId="7C403A68" w14:textId="77777777" w:rsidR="0049336F" w:rsidRDefault="0049336F" w:rsidP="005A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3772977"/>
      <w:docPartObj>
        <w:docPartGallery w:val="Page Numbers (Bottom of Page)"/>
        <w:docPartUnique/>
      </w:docPartObj>
    </w:sdtPr>
    <w:sdtEndPr>
      <w:rPr>
        <w:rStyle w:val="PageNumber"/>
      </w:rPr>
    </w:sdtEndPr>
    <w:sdtContent>
      <w:p w14:paraId="6FF9FEA4" w14:textId="09E49A3C" w:rsidR="00DD3352" w:rsidRDefault="00DD3352" w:rsidP="000A33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314A3E" w14:textId="77777777" w:rsidR="00DD3352" w:rsidRDefault="00DD3352" w:rsidP="00DD33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9952908"/>
      <w:docPartObj>
        <w:docPartGallery w:val="Page Numbers (Bottom of Page)"/>
        <w:docPartUnique/>
      </w:docPartObj>
    </w:sdtPr>
    <w:sdtEndPr>
      <w:rPr>
        <w:rStyle w:val="PageNumber"/>
      </w:rPr>
    </w:sdtEndPr>
    <w:sdtContent>
      <w:p w14:paraId="168220B4" w14:textId="5D297A86" w:rsidR="00DD3352" w:rsidRDefault="00DD3352" w:rsidP="000A33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66240F" w14:textId="77777777" w:rsidR="00DD3352" w:rsidRDefault="00DD3352" w:rsidP="00DD33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5FE5E" w14:textId="77777777" w:rsidR="0049336F" w:rsidRDefault="0049336F" w:rsidP="005A2BAA">
      <w:r>
        <w:separator/>
      </w:r>
    </w:p>
  </w:footnote>
  <w:footnote w:type="continuationSeparator" w:id="0">
    <w:p w14:paraId="6A7E9C53" w14:textId="77777777" w:rsidR="0049336F" w:rsidRDefault="0049336F" w:rsidP="005A2BAA">
      <w:r>
        <w:continuationSeparator/>
      </w:r>
    </w:p>
  </w:footnote>
  <w:footnote w:id="1">
    <w:p w14:paraId="564747A9" w14:textId="69B08945" w:rsidR="002E7947" w:rsidRDefault="002E7947">
      <w:pPr>
        <w:pStyle w:val="FootnoteText"/>
      </w:pPr>
      <w:r>
        <w:rPr>
          <w:rStyle w:val="FootnoteReference"/>
        </w:rPr>
        <w:footnoteRef/>
      </w:r>
      <w:r>
        <w:t xml:space="preserve"> For discussion of this constraint, see Rossi (forthcoming); Way and Whiting (2016); Gibbons (2013); </w:t>
      </w:r>
      <w:proofErr w:type="spellStart"/>
      <w:r>
        <w:t>Raz</w:t>
      </w:r>
      <w:proofErr w:type="spellEnd"/>
      <w:r>
        <w:t xml:space="preserve"> (2011). </w:t>
      </w:r>
    </w:p>
  </w:footnote>
  <w:footnote w:id="2">
    <w:p w14:paraId="7AFDBA4B" w14:textId="69269219" w:rsidR="005A2BAA" w:rsidRPr="00A36D1D" w:rsidRDefault="005A2BAA">
      <w:pPr>
        <w:pStyle w:val="FootnoteText"/>
      </w:pPr>
      <w:r>
        <w:rPr>
          <w:rStyle w:val="FootnoteReference"/>
        </w:rPr>
        <w:footnoteRef/>
      </w:r>
      <w:r>
        <w:t xml:space="preserve"> </w:t>
      </w:r>
      <w:r w:rsidR="00820D12">
        <w:t xml:space="preserve">In other work I have called such reasons </w:t>
      </w:r>
      <w:proofErr w:type="spellStart"/>
      <w:r w:rsidR="00820D12">
        <w:rPr>
          <w:i/>
        </w:rPr>
        <w:t>blindspot</w:t>
      </w:r>
      <w:proofErr w:type="spellEnd"/>
      <w:r w:rsidR="00820D12">
        <w:rPr>
          <w:i/>
        </w:rPr>
        <w:t xml:space="preserve"> reasons</w:t>
      </w:r>
      <w:r w:rsidR="00820D12">
        <w:t xml:space="preserve">, since they are </w:t>
      </w:r>
      <w:proofErr w:type="spellStart"/>
      <w:r w:rsidR="00820D12">
        <w:t>blindspot</w:t>
      </w:r>
      <w:proofErr w:type="spellEnd"/>
      <w:r w:rsidR="00820D12">
        <w:t xml:space="preserve"> propositions for the agent whose reasons they are</w:t>
      </w:r>
      <w:r w:rsidR="00391E90">
        <w:t xml:space="preserve"> (</w:t>
      </w:r>
      <w:r w:rsidR="00DD3352">
        <w:t>redacted</w:t>
      </w:r>
      <w:r w:rsidR="00391E90">
        <w:t>)</w:t>
      </w:r>
      <w:r w:rsidR="00820D12">
        <w:t xml:space="preserve">. </w:t>
      </w:r>
      <w:r w:rsidR="00A36D1D">
        <w:t xml:space="preserve">A </w:t>
      </w:r>
      <w:proofErr w:type="spellStart"/>
      <w:r w:rsidR="00A36D1D">
        <w:t>blindspot</w:t>
      </w:r>
      <w:proofErr w:type="spellEnd"/>
      <w:r w:rsidR="00A36D1D">
        <w:t xml:space="preserve"> proposition is a proposition such that, for some agent, it is logically impossible for that agent to believe it truly. On the assumptions that (1) to act </w:t>
      </w:r>
      <w:r w:rsidR="00A36D1D" w:rsidRPr="0015154C">
        <w:t xml:space="preserve">for </w:t>
      </w:r>
      <w:r w:rsidR="00A36D1D">
        <w:t xml:space="preserve">a reason p requires believing that p and (2) reasons are true propositions or facts, </w:t>
      </w:r>
      <w:proofErr w:type="spellStart"/>
      <w:r w:rsidR="00A36D1D">
        <w:t>blindspot</w:t>
      </w:r>
      <w:proofErr w:type="spellEnd"/>
      <w:r w:rsidR="00A36D1D">
        <w:t xml:space="preserve"> reasons are impossible to act for</w:t>
      </w:r>
      <w:r w:rsidR="00CC7165">
        <w:t xml:space="preserve">. For further examples of </w:t>
      </w:r>
      <w:proofErr w:type="spellStart"/>
      <w:r w:rsidR="00CC7165">
        <w:t>blindspot</w:t>
      </w:r>
      <w:proofErr w:type="spellEnd"/>
      <w:r w:rsidR="00CC7165">
        <w:t xml:space="preserve"> reasons, see </w:t>
      </w:r>
      <w:proofErr w:type="spellStart"/>
      <w:r w:rsidR="00CC7165">
        <w:t>Markovits</w:t>
      </w:r>
      <w:proofErr w:type="spellEnd"/>
      <w:r w:rsidR="00CC7165">
        <w:t xml:space="preserve"> </w:t>
      </w:r>
      <w:r w:rsidR="00EB3EF4">
        <w:t>(</w:t>
      </w:r>
      <w:r w:rsidR="00CC7165">
        <w:t>201</w:t>
      </w:r>
      <w:r w:rsidR="0098283D">
        <w:t>1</w:t>
      </w:r>
      <w:r w:rsidR="00EB3EF4">
        <w:t>)</w:t>
      </w:r>
      <w:r w:rsidR="005E72F6">
        <w:t>;</w:t>
      </w:r>
      <w:r w:rsidR="0098283D">
        <w:t xml:space="preserve"> Smith </w:t>
      </w:r>
      <w:r w:rsidR="00EB3EF4">
        <w:t>(</w:t>
      </w:r>
      <w:r w:rsidR="0098283D">
        <w:t>2009</w:t>
      </w:r>
      <w:r w:rsidR="00EB3EF4">
        <w:t>)</w:t>
      </w:r>
      <w:r w:rsidR="005E72F6">
        <w:t xml:space="preserve">; </w:t>
      </w:r>
      <w:r w:rsidR="00C80DD7">
        <w:t xml:space="preserve">and </w:t>
      </w:r>
      <w:r w:rsidR="0098283D">
        <w:t xml:space="preserve">Sobel </w:t>
      </w:r>
      <w:r w:rsidR="00EB3EF4">
        <w:t>(</w:t>
      </w:r>
      <w:r w:rsidR="0098283D">
        <w:t>2001</w:t>
      </w:r>
      <w:r w:rsidR="00EB3EF4">
        <w:t>)</w:t>
      </w:r>
      <w:r w:rsidR="0098283D">
        <w:t xml:space="preserve">. </w:t>
      </w:r>
    </w:p>
  </w:footnote>
  <w:footnote w:id="3">
    <w:p w14:paraId="0C164961" w14:textId="6FC7EB7A" w:rsidR="00BA6EDA" w:rsidRDefault="00BA6EDA">
      <w:pPr>
        <w:pStyle w:val="FootnoteText"/>
      </w:pPr>
      <w:r>
        <w:rPr>
          <w:rStyle w:val="FootnoteReference"/>
        </w:rPr>
        <w:footnoteRef/>
      </w:r>
      <w:r>
        <w:t xml:space="preserve"> See </w:t>
      </w:r>
      <w:r w:rsidR="00603893">
        <w:t xml:space="preserve">their </w:t>
      </w:r>
      <w:r>
        <w:t xml:space="preserve">n. 21 for qualifications. </w:t>
      </w:r>
    </w:p>
  </w:footnote>
  <w:footnote w:id="4">
    <w:p w14:paraId="727202F2" w14:textId="749F602B" w:rsidR="0016342C" w:rsidRPr="00165D82" w:rsidRDefault="0016342C" w:rsidP="0016342C">
      <w:pPr>
        <w:pStyle w:val="FootnoteText"/>
      </w:pPr>
      <w:r>
        <w:rPr>
          <w:rStyle w:val="FootnoteReference"/>
        </w:rPr>
        <w:footnoteRef/>
      </w:r>
      <w:r>
        <w:t xml:space="preserve"> To be sure, Way and Whiting do not claim that the two interpretations are incompatible, so that an argument for one is an argument against the other. Rather, they claim that their positive case provides a rationale for preferring one over the other</w:t>
      </w:r>
      <w:r w:rsidR="009A0206">
        <w:t xml:space="preserve"> (Way and Whiting 2016: 225)</w:t>
      </w:r>
      <w:r>
        <w:t xml:space="preserve">. </w:t>
      </w:r>
      <w:r w:rsidR="00165D82">
        <w:t xml:space="preserve">Still, it is worth noting that accepting this rationale does not </w:t>
      </w:r>
      <w:r w:rsidR="00165D82">
        <w:rPr>
          <w:i/>
        </w:rPr>
        <w:t xml:space="preserve">commit </w:t>
      </w:r>
      <w:r w:rsidR="00165D82">
        <w:t xml:space="preserve">us to denying the other interpretation. </w:t>
      </w:r>
    </w:p>
  </w:footnote>
  <w:footnote w:id="5">
    <w:p w14:paraId="6EF8649A" w14:textId="2C57D6C9" w:rsidR="00286F23" w:rsidRDefault="00286F23">
      <w:pPr>
        <w:pStyle w:val="FootnoteText"/>
      </w:pPr>
      <w:r>
        <w:rPr>
          <w:rStyle w:val="FootnoteReference"/>
        </w:rPr>
        <w:footnoteRef/>
      </w:r>
      <w:r>
        <w:t xml:space="preserve"> Notice that this argument is not question-begging in the context. The claim is that</w:t>
      </w:r>
      <w:r w:rsidR="006A2D75">
        <w:t xml:space="preserve"> the</w:t>
      </w:r>
      <w:r>
        <w:t xml:space="preserve"> fine-grained ability</w:t>
      </w:r>
      <w:r w:rsidR="006A2D75">
        <w:t xml:space="preserve"> to </w:t>
      </w:r>
      <w:r w:rsidR="006A2D75">
        <w:rPr>
          <w:rFonts w:ascii="TimesNewRomanPSMT" w:hAnsi="TimesNewRomanPSMT"/>
        </w:rPr>
        <w:t>φ for the reason that p</w:t>
      </w:r>
      <w:r>
        <w:t xml:space="preserve"> is necessary for responding to</w:t>
      </w:r>
      <w:r w:rsidR="006A2D75">
        <w:t xml:space="preserve"> p as a reason</w:t>
      </w:r>
      <w:r>
        <w:t xml:space="preserve">, not that it is necessary for the existence of </w:t>
      </w:r>
      <w:r w:rsidR="006A2D75">
        <w:t>p as a reason</w:t>
      </w:r>
      <w:r>
        <w:t xml:space="preserve">. </w:t>
      </w:r>
    </w:p>
  </w:footnote>
  <w:footnote w:id="6">
    <w:p w14:paraId="5FE1CF42" w14:textId="5EC8446C" w:rsidR="00CE0237" w:rsidRDefault="00CE0237">
      <w:pPr>
        <w:pStyle w:val="FootnoteText"/>
      </w:pPr>
      <w:r>
        <w:rPr>
          <w:rStyle w:val="FootnoteReference"/>
        </w:rPr>
        <w:footnoteRef/>
      </w:r>
      <w:r>
        <w:t xml:space="preserve"> Note that (a) implies (b), but the converse does not hold. </w:t>
      </w:r>
    </w:p>
  </w:footnote>
  <w:footnote w:id="7">
    <w:p w14:paraId="29464473" w14:textId="544B5870" w:rsidR="00837216" w:rsidRPr="00837216" w:rsidRDefault="00837216">
      <w:pPr>
        <w:pStyle w:val="FootnoteText"/>
      </w:pPr>
      <w:r>
        <w:rPr>
          <w:rStyle w:val="FootnoteReference"/>
        </w:rPr>
        <w:footnoteRef/>
      </w:r>
      <w:r>
        <w:t xml:space="preserve"> Note that RR and Intuition jointly imply </w:t>
      </w:r>
      <w:proofErr w:type="spellStart"/>
      <w:r>
        <w:t>RC</w:t>
      </w:r>
      <w:r>
        <w:rPr>
          <w:vertAlign w:val="subscript"/>
        </w:rPr>
        <w:t>General</w:t>
      </w:r>
      <w:proofErr w:type="spellEnd"/>
      <w:r>
        <w:t xml:space="preserve">*** and </w:t>
      </w:r>
      <w:proofErr w:type="spellStart"/>
      <w:r>
        <w:t>RC</w:t>
      </w:r>
      <w:r>
        <w:rPr>
          <w:vertAlign w:val="subscript"/>
        </w:rPr>
        <w:t>General</w:t>
      </w:r>
      <w:proofErr w:type="spellEnd"/>
      <w:r>
        <w:t>**</w:t>
      </w:r>
      <w:r w:rsidR="00D06EA1">
        <w:t xml:space="preserve"> when we interpret “ability” along the lines I have suggested in the last subsection.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3EA4" w14:textId="29D17B24" w:rsidR="00254B7F" w:rsidRDefault="00254B7F">
    <w:pPr>
      <w:pStyle w:val="Header"/>
    </w:pPr>
    <w:r>
      <w:t>Way and Whiting</w:t>
    </w:r>
  </w:p>
  <w:p w14:paraId="646DD2A4" w14:textId="77777777" w:rsidR="00254B7F" w:rsidRDefault="00254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13D8F"/>
    <w:multiLevelType w:val="hybridMultilevel"/>
    <w:tmpl w:val="55A4CD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9846FD"/>
    <w:multiLevelType w:val="multilevel"/>
    <w:tmpl w:val="E0BC13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64"/>
    <w:rsid w:val="00033EF8"/>
    <w:rsid w:val="000512F9"/>
    <w:rsid w:val="00057D64"/>
    <w:rsid w:val="0007263F"/>
    <w:rsid w:val="00081CE0"/>
    <w:rsid w:val="00095A6F"/>
    <w:rsid w:val="00096653"/>
    <w:rsid w:val="000A43C1"/>
    <w:rsid w:val="000D42A5"/>
    <w:rsid w:val="000E732F"/>
    <w:rsid w:val="000E7B4C"/>
    <w:rsid w:val="00111E92"/>
    <w:rsid w:val="00130F42"/>
    <w:rsid w:val="0015154C"/>
    <w:rsid w:val="0015313C"/>
    <w:rsid w:val="0016342C"/>
    <w:rsid w:val="00165D82"/>
    <w:rsid w:val="001711FD"/>
    <w:rsid w:val="001A05CA"/>
    <w:rsid w:val="001C6A50"/>
    <w:rsid w:val="001D43AC"/>
    <w:rsid w:val="001D7B86"/>
    <w:rsid w:val="001E393D"/>
    <w:rsid w:val="001E3BE5"/>
    <w:rsid w:val="001E3E0B"/>
    <w:rsid w:val="001E71B0"/>
    <w:rsid w:val="00210B46"/>
    <w:rsid w:val="0022149E"/>
    <w:rsid w:val="00223D80"/>
    <w:rsid w:val="00254B7F"/>
    <w:rsid w:val="00286F23"/>
    <w:rsid w:val="00290CCC"/>
    <w:rsid w:val="002C280F"/>
    <w:rsid w:val="002E4EC8"/>
    <w:rsid w:val="002E65A7"/>
    <w:rsid w:val="002E7947"/>
    <w:rsid w:val="002F715C"/>
    <w:rsid w:val="003059B1"/>
    <w:rsid w:val="003809A6"/>
    <w:rsid w:val="00391E90"/>
    <w:rsid w:val="003B3043"/>
    <w:rsid w:val="003C1FC4"/>
    <w:rsid w:val="003D7B36"/>
    <w:rsid w:val="003D7D15"/>
    <w:rsid w:val="003F7D54"/>
    <w:rsid w:val="004327EF"/>
    <w:rsid w:val="00447455"/>
    <w:rsid w:val="00453D0F"/>
    <w:rsid w:val="00454E86"/>
    <w:rsid w:val="00455374"/>
    <w:rsid w:val="0049336F"/>
    <w:rsid w:val="004E42EF"/>
    <w:rsid w:val="004F5A14"/>
    <w:rsid w:val="00516F51"/>
    <w:rsid w:val="00532D07"/>
    <w:rsid w:val="00543BC9"/>
    <w:rsid w:val="0056026A"/>
    <w:rsid w:val="005606E3"/>
    <w:rsid w:val="005947CC"/>
    <w:rsid w:val="005A2BAA"/>
    <w:rsid w:val="005D77C0"/>
    <w:rsid w:val="005E72F6"/>
    <w:rsid w:val="00603893"/>
    <w:rsid w:val="00627C26"/>
    <w:rsid w:val="00633506"/>
    <w:rsid w:val="00651D12"/>
    <w:rsid w:val="0067668E"/>
    <w:rsid w:val="006867F5"/>
    <w:rsid w:val="00696D7C"/>
    <w:rsid w:val="006A2D75"/>
    <w:rsid w:val="006D1D45"/>
    <w:rsid w:val="006D4C77"/>
    <w:rsid w:val="006D50F8"/>
    <w:rsid w:val="006E4188"/>
    <w:rsid w:val="0070064A"/>
    <w:rsid w:val="0071175A"/>
    <w:rsid w:val="007125DB"/>
    <w:rsid w:val="00713DF1"/>
    <w:rsid w:val="00717315"/>
    <w:rsid w:val="007443DA"/>
    <w:rsid w:val="007900C6"/>
    <w:rsid w:val="007936C4"/>
    <w:rsid w:val="007A3967"/>
    <w:rsid w:val="007F689F"/>
    <w:rsid w:val="00804C31"/>
    <w:rsid w:val="008054EB"/>
    <w:rsid w:val="00820D12"/>
    <w:rsid w:val="00837216"/>
    <w:rsid w:val="008406C6"/>
    <w:rsid w:val="00840B1B"/>
    <w:rsid w:val="00854352"/>
    <w:rsid w:val="00862329"/>
    <w:rsid w:val="00886458"/>
    <w:rsid w:val="00891D77"/>
    <w:rsid w:val="008A518F"/>
    <w:rsid w:val="008B7A8E"/>
    <w:rsid w:val="008D0C08"/>
    <w:rsid w:val="008D2155"/>
    <w:rsid w:val="009142D4"/>
    <w:rsid w:val="00933A9C"/>
    <w:rsid w:val="009404C9"/>
    <w:rsid w:val="00952C7D"/>
    <w:rsid w:val="0096713F"/>
    <w:rsid w:val="0098283D"/>
    <w:rsid w:val="00986433"/>
    <w:rsid w:val="009946CA"/>
    <w:rsid w:val="009A0206"/>
    <w:rsid w:val="009C580C"/>
    <w:rsid w:val="009D2E3C"/>
    <w:rsid w:val="009D664C"/>
    <w:rsid w:val="009D6E8C"/>
    <w:rsid w:val="009F0548"/>
    <w:rsid w:val="009F2DB6"/>
    <w:rsid w:val="00A077B3"/>
    <w:rsid w:val="00A112DE"/>
    <w:rsid w:val="00A11DB8"/>
    <w:rsid w:val="00A22974"/>
    <w:rsid w:val="00A36D1D"/>
    <w:rsid w:val="00A429EA"/>
    <w:rsid w:val="00A53F1F"/>
    <w:rsid w:val="00A63915"/>
    <w:rsid w:val="00A701B2"/>
    <w:rsid w:val="00A7287D"/>
    <w:rsid w:val="00A742EA"/>
    <w:rsid w:val="00A83AD3"/>
    <w:rsid w:val="00A852E2"/>
    <w:rsid w:val="00AA1002"/>
    <w:rsid w:val="00AC4E2E"/>
    <w:rsid w:val="00AD0039"/>
    <w:rsid w:val="00AD5EEE"/>
    <w:rsid w:val="00AE1592"/>
    <w:rsid w:val="00AF0EBF"/>
    <w:rsid w:val="00AF4619"/>
    <w:rsid w:val="00B171C4"/>
    <w:rsid w:val="00B21E64"/>
    <w:rsid w:val="00B23458"/>
    <w:rsid w:val="00B31FB4"/>
    <w:rsid w:val="00B3622C"/>
    <w:rsid w:val="00B7523E"/>
    <w:rsid w:val="00B75980"/>
    <w:rsid w:val="00B937A6"/>
    <w:rsid w:val="00B967D6"/>
    <w:rsid w:val="00BA2AD5"/>
    <w:rsid w:val="00BA6EDA"/>
    <w:rsid w:val="00BB0704"/>
    <w:rsid w:val="00BD25AC"/>
    <w:rsid w:val="00BE044D"/>
    <w:rsid w:val="00BE2571"/>
    <w:rsid w:val="00BF6EE3"/>
    <w:rsid w:val="00C01499"/>
    <w:rsid w:val="00C01B1B"/>
    <w:rsid w:val="00C076D4"/>
    <w:rsid w:val="00C160E5"/>
    <w:rsid w:val="00C177C1"/>
    <w:rsid w:val="00C2080B"/>
    <w:rsid w:val="00C2496B"/>
    <w:rsid w:val="00C47B21"/>
    <w:rsid w:val="00C62A8A"/>
    <w:rsid w:val="00C712FF"/>
    <w:rsid w:val="00C80DD7"/>
    <w:rsid w:val="00C92B78"/>
    <w:rsid w:val="00C96864"/>
    <w:rsid w:val="00CB7073"/>
    <w:rsid w:val="00CC4D30"/>
    <w:rsid w:val="00CC7165"/>
    <w:rsid w:val="00CE0237"/>
    <w:rsid w:val="00CF1374"/>
    <w:rsid w:val="00D06D2C"/>
    <w:rsid w:val="00D06EA1"/>
    <w:rsid w:val="00D2089D"/>
    <w:rsid w:val="00D20AB8"/>
    <w:rsid w:val="00D31DB6"/>
    <w:rsid w:val="00D51300"/>
    <w:rsid w:val="00D73CC9"/>
    <w:rsid w:val="00D77CE3"/>
    <w:rsid w:val="00D947C7"/>
    <w:rsid w:val="00DA38D2"/>
    <w:rsid w:val="00DC450F"/>
    <w:rsid w:val="00DD3352"/>
    <w:rsid w:val="00DE0A5B"/>
    <w:rsid w:val="00E20181"/>
    <w:rsid w:val="00E359E2"/>
    <w:rsid w:val="00E47E7C"/>
    <w:rsid w:val="00E7508E"/>
    <w:rsid w:val="00E81351"/>
    <w:rsid w:val="00E961BC"/>
    <w:rsid w:val="00EB3EF4"/>
    <w:rsid w:val="00EC6E08"/>
    <w:rsid w:val="00F32ED6"/>
    <w:rsid w:val="00F426E6"/>
    <w:rsid w:val="00F44F9F"/>
    <w:rsid w:val="00F569D1"/>
    <w:rsid w:val="00F64C27"/>
    <w:rsid w:val="00F92728"/>
    <w:rsid w:val="00FA4A41"/>
    <w:rsid w:val="00FB2EBD"/>
    <w:rsid w:val="00FB5717"/>
    <w:rsid w:val="00FC6B6D"/>
    <w:rsid w:val="00FF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557EA7"/>
  <w14:defaultImageDpi w14:val="32767"/>
  <w15:chartTrackingRefBased/>
  <w15:docId w15:val="{01AA308F-BF51-4B41-8DD1-2DC1E504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7D64"/>
    <w:rPr>
      <w:rFonts w:ascii="Times New Roman" w:hAnsi="Times New Roman"/>
    </w:rPr>
  </w:style>
  <w:style w:type="paragraph" w:styleId="Heading1">
    <w:name w:val="heading 1"/>
    <w:basedOn w:val="Normal"/>
    <w:next w:val="Normal"/>
    <w:link w:val="Heading1Char"/>
    <w:uiPriority w:val="9"/>
    <w:qFormat/>
    <w:rsid w:val="00B937A6"/>
    <w:pPr>
      <w:keepNext/>
      <w:keepLines/>
      <w:spacing w:before="240" w:after="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B937A6"/>
    <w:pPr>
      <w:keepNext/>
      <w:keepLines/>
      <w:spacing w:before="240" w:after="240"/>
      <w:jc w:val="center"/>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057D64"/>
    <w:pPr>
      <w:keepNext/>
      <w:keepLines/>
      <w:spacing w:before="40"/>
      <w:outlineLvl w:val="2"/>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7A6"/>
    <w:rPr>
      <w:rFonts w:ascii="Times New Roman" w:eastAsiaTheme="majorEastAsia" w:hAnsi="Times New Roman" w:cstheme="majorBidi"/>
      <w:color w:val="000000" w:themeColor="text1"/>
      <w:sz w:val="32"/>
      <w:szCs w:val="32"/>
    </w:rPr>
  </w:style>
  <w:style w:type="character" w:customStyle="1" w:styleId="Heading2Char">
    <w:name w:val="Heading 2 Char"/>
    <w:basedOn w:val="DefaultParagraphFont"/>
    <w:link w:val="Heading2"/>
    <w:uiPriority w:val="9"/>
    <w:rsid w:val="00B937A6"/>
    <w:rPr>
      <w:rFonts w:ascii="Times New Roman" w:eastAsiaTheme="majorEastAsia" w:hAnsi="Times New Roman" w:cstheme="majorBidi"/>
      <w:color w:val="000000" w:themeColor="text1"/>
      <w:sz w:val="28"/>
      <w:szCs w:val="26"/>
    </w:rPr>
  </w:style>
  <w:style w:type="character" w:customStyle="1" w:styleId="Heading3Char">
    <w:name w:val="Heading 3 Char"/>
    <w:basedOn w:val="DefaultParagraphFont"/>
    <w:link w:val="Heading3"/>
    <w:uiPriority w:val="9"/>
    <w:rsid w:val="00057D64"/>
    <w:rPr>
      <w:rFonts w:ascii="Times New Roman" w:eastAsiaTheme="majorEastAsia" w:hAnsi="Times New Roman" w:cstheme="majorBidi"/>
      <w:color w:val="000000" w:themeColor="text1"/>
    </w:rPr>
  </w:style>
  <w:style w:type="paragraph" w:styleId="NormalWeb">
    <w:name w:val="Normal (Web)"/>
    <w:basedOn w:val="Normal"/>
    <w:uiPriority w:val="99"/>
    <w:unhideWhenUsed/>
    <w:rsid w:val="00057D64"/>
    <w:pPr>
      <w:spacing w:before="100" w:beforeAutospacing="1" w:after="100" w:afterAutospacing="1"/>
    </w:pPr>
    <w:rPr>
      <w:rFonts w:eastAsia="Times New Roman" w:cs="Times New Roman"/>
    </w:rPr>
  </w:style>
  <w:style w:type="paragraph" w:styleId="ListParagraph">
    <w:name w:val="List Paragraph"/>
    <w:basedOn w:val="Normal"/>
    <w:uiPriority w:val="34"/>
    <w:qFormat/>
    <w:rsid w:val="00057D64"/>
    <w:pPr>
      <w:ind w:left="720"/>
      <w:contextualSpacing/>
    </w:pPr>
  </w:style>
  <w:style w:type="paragraph" w:styleId="FootnoteText">
    <w:name w:val="footnote text"/>
    <w:basedOn w:val="Normal"/>
    <w:link w:val="FootnoteTextChar"/>
    <w:uiPriority w:val="99"/>
    <w:semiHidden/>
    <w:unhideWhenUsed/>
    <w:rsid w:val="005A2BAA"/>
    <w:rPr>
      <w:sz w:val="20"/>
      <w:szCs w:val="20"/>
    </w:rPr>
  </w:style>
  <w:style w:type="character" w:customStyle="1" w:styleId="FootnoteTextChar">
    <w:name w:val="Footnote Text Char"/>
    <w:basedOn w:val="DefaultParagraphFont"/>
    <w:link w:val="FootnoteText"/>
    <w:uiPriority w:val="99"/>
    <w:semiHidden/>
    <w:rsid w:val="005A2BAA"/>
    <w:rPr>
      <w:rFonts w:ascii="Times New Roman" w:hAnsi="Times New Roman"/>
      <w:sz w:val="20"/>
      <w:szCs w:val="20"/>
    </w:rPr>
  </w:style>
  <w:style w:type="character" w:styleId="FootnoteReference">
    <w:name w:val="footnote reference"/>
    <w:basedOn w:val="DefaultParagraphFont"/>
    <w:uiPriority w:val="99"/>
    <w:semiHidden/>
    <w:unhideWhenUsed/>
    <w:rsid w:val="005A2BAA"/>
    <w:rPr>
      <w:vertAlign w:val="superscript"/>
    </w:rPr>
  </w:style>
  <w:style w:type="table" w:styleId="TableGrid">
    <w:name w:val="Table Grid"/>
    <w:basedOn w:val="TableNormal"/>
    <w:uiPriority w:val="39"/>
    <w:rsid w:val="00952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3352"/>
    <w:pPr>
      <w:tabs>
        <w:tab w:val="center" w:pos="4680"/>
        <w:tab w:val="right" w:pos="9360"/>
      </w:tabs>
    </w:pPr>
  </w:style>
  <w:style w:type="character" w:customStyle="1" w:styleId="FooterChar">
    <w:name w:val="Footer Char"/>
    <w:basedOn w:val="DefaultParagraphFont"/>
    <w:link w:val="Footer"/>
    <w:uiPriority w:val="99"/>
    <w:rsid w:val="00DD3352"/>
    <w:rPr>
      <w:rFonts w:ascii="Times New Roman" w:hAnsi="Times New Roman"/>
    </w:rPr>
  </w:style>
  <w:style w:type="character" w:styleId="PageNumber">
    <w:name w:val="page number"/>
    <w:basedOn w:val="DefaultParagraphFont"/>
    <w:uiPriority w:val="99"/>
    <w:semiHidden/>
    <w:unhideWhenUsed/>
    <w:rsid w:val="00DD3352"/>
  </w:style>
  <w:style w:type="paragraph" w:styleId="Header">
    <w:name w:val="header"/>
    <w:basedOn w:val="Normal"/>
    <w:link w:val="HeaderChar"/>
    <w:uiPriority w:val="99"/>
    <w:unhideWhenUsed/>
    <w:rsid w:val="00254B7F"/>
    <w:pPr>
      <w:tabs>
        <w:tab w:val="center" w:pos="4680"/>
        <w:tab w:val="right" w:pos="9360"/>
      </w:tabs>
    </w:pPr>
  </w:style>
  <w:style w:type="character" w:customStyle="1" w:styleId="HeaderChar">
    <w:name w:val="Header Char"/>
    <w:basedOn w:val="DefaultParagraphFont"/>
    <w:link w:val="Header"/>
    <w:uiPriority w:val="99"/>
    <w:rsid w:val="00254B7F"/>
    <w:rPr>
      <w:rFonts w:ascii="Times New Roman" w:hAnsi="Times New Roman"/>
    </w:rPr>
  </w:style>
  <w:style w:type="paragraph" w:styleId="EndnoteText">
    <w:name w:val="endnote text"/>
    <w:basedOn w:val="Normal"/>
    <w:link w:val="EndnoteTextChar"/>
    <w:uiPriority w:val="99"/>
    <w:semiHidden/>
    <w:unhideWhenUsed/>
    <w:rsid w:val="00CE0237"/>
    <w:rPr>
      <w:sz w:val="20"/>
      <w:szCs w:val="20"/>
    </w:rPr>
  </w:style>
  <w:style w:type="character" w:customStyle="1" w:styleId="EndnoteTextChar">
    <w:name w:val="Endnote Text Char"/>
    <w:basedOn w:val="DefaultParagraphFont"/>
    <w:link w:val="EndnoteText"/>
    <w:uiPriority w:val="99"/>
    <w:semiHidden/>
    <w:rsid w:val="00CE0237"/>
    <w:rPr>
      <w:rFonts w:ascii="Times New Roman" w:hAnsi="Times New Roman"/>
      <w:sz w:val="20"/>
      <w:szCs w:val="20"/>
    </w:rPr>
  </w:style>
  <w:style w:type="character" w:styleId="EndnoteReference">
    <w:name w:val="endnote reference"/>
    <w:basedOn w:val="DefaultParagraphFont"/>
    <w:uiPriority w:val="99"/>
    <w:semiHidden/>
    <w:unhideWhenUsed/>
    <w:rsid w:val="00CE02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27146">
      <w:bodyDiv w:val="1"/>
      <w:marLeft w:val="0"/>
      <w:marRight w:val="0"/>
      <w:marTop w:val="0"/>
      <w:marBottom w:val="0"/>
      <w:divBdr>
        <w:top w:val="none" w:sz="0" w:space="0" w:color="auto"/>
        <w:left w:val="none" w:sz="0" w:space="0" w:color="auto"/>
        <w:bottom w:val="none" w:sz="0" w:space="0" w:color="auto"/>
        <w:right w:val="none" w:sz="0" w:space="0" w:color="auto"/>
      </w:divBdr>
      <w:divsChild>
        <w:div w:id="1034694917">
          <w:marLeft w:val="0"/>
          <w:marRight w:val="0"/>
          <w:marTop w:val="0"/>
          <w:marBottom w:val="0"/>
          <w:divBdr>
            <w:top w:val="none" w:sz="0" w:space="0" w:color="auto"/>
            <w:left w:val="none" w:sz="0" w:space="0" w:color="auto"/>
            <w:bottom w:val="none" w:sz="0" w:space="0" w:color="auto"/>
            <w:right w:val="none" w:sz="0" w:space="0" w:color="auto"/>
          </w:divBdr>
          <w:divsChild>
            <w:div w:id="94448057">
              <w:marLeft w:val="0"/>
              <w:marRight w:val="0"/>
              <w:marTop w:val="0"/>
              <w:marBottom w:val="0"/>
              <w:divBdr>
                <w:top w:val="none" w:sz="0" w:space="0" w:color="auto"/>
                <w:left w:val="none" w:sz="0" w:space="0" w:color="auto"/>
                <w:bottom w:val="none" w:sz="0" w:space="0" w:color="auto"/>
                <w:right w:val="none" w:sz="0" w:space="0" w:color="auto"/>
              </w:divBdr>
              <w:divsChild>
                <w:div w:id="3843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21739">
      <w:bodyDiv w:val="1"/>
      <w:marLeft w:val="0"/>
      <w:marRight w:val="0"/>
      <w:marTop w:val="0"/>
      <w:marBottom w:val="0"/>
      <w:divBdr>
        <w:top w:val="none" w:sz="0" w:space="0" w:color="auto"/>
        <w:left w:val="none" w:sz="0" w:space="0" w:color="auto"/>
        <w:bottom w:val="none" w:sz="0" w:space="0" w:color="auto"/>
        <w:right w:val="none" w:sz="0" w:space="0" w:color="auto"/>
      </w:divBdr>
      <w:divsChild>
        <w:div w:id="192767874">
          <w:marLeft w:val="0"/>
          <w:marRight w:val="0"/>
          <w:marTop w:val="0"/>
          <w:marBottom w:val="0"/>
          <w:divBdr>
            <w:top w:val="none" w:sz="0" w:space="0" w:color="auto"/>
            <w:left w:val="none" w:sz="0" w:space="0" w:color="auto"/>
            <w:bottom w:val="none" w:sz="0" w:space="0" w:color="auto"/>
            <w:right w:val="none" w:sz="0" w:space="0" w:color="auto"/>
          </w:divBdr>
          <w:divsChild>
            <w:div w:id="1429622713">
              <w:marLeft w:val="0"/>
              <w:marRight w:val="0"/>
              <w:marTop w:val="0"/>
              <w:marBottom w:val="0"/>
              <w:divBdr>
                <w:top w:val="none" w:sz="0" w:space="0" w:color="auto"/>
                <w:left w:val="none" w:sz="0" w:space="0" w:color="auto"/>
                <w:bottom w:val="none" w:sz="0" w:space="0" w:color="auto"/>
                <w:right w:val="none" w:sz="0" w:space="0" w:color="auto"/>
              </w:divBdr>
              <w:divsChild>
                <w:div w:id="237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8492">
      <w:bodyDiv w:val="1"/>
      <w:marLeft w:val="0"/>
      <w:marRight w:val="0"/>
      <w:marTop w:val="0"/>
      <w:marBottom w:val="0"/>
      <w:divBdr>
        <w:top w:val="none" w:sz="0" w:space="0" w:color="auto"/>
        <w:left w:val="none" w:sz="0" w:space="0" w:color="auto"/>
        <w:bottom w:val="none" w:sz="0" w:space="0" w:color="auto"/>
        <w:right w:val="none" w:sz="0" w:space="0" w:color="auto"/>
      </w:divBdr>
      <w:divsChild>
        <w:div w:id="178197516">
          <w:marLeft w:val="0"/>
          <w:marRight w:val="0"/>
          <w:marTop w:val="0"/>
          <w:marBottom w:val="0"/>
          <w:divBdr>
            <w:top w:val="none" w:sz="0" w:space="0" w:color="auto"/>
            <w:left w:val="none" w:sz="0" w:space="0" w:color="auto"/>
            <w:bottom w:val="none" w:sz="0" w:space="0" w:color="auto"/>
            <w:right w:val="none" w:sz="0" w:space="0" w:color="auto"/>
          </w:divBdr>
          <w:divsChild>
            <w:div w:id="1517577664">
              <w:marLeft w:val="0"/>
              <w:marRight w:val="0"/>
              <w:marTop w:val="0"/>
              <w:marBottom w:val="0"/>
              <w:divBdr>
                <w:top w:val="none" w:sz="0" w:space="0" w:color="auto"/>
                <w:left w:val="none" w:sz="0" w:space="0" w:color="auto"/>
                <w:bottom w:val="none" w:sz="0" w:space="0" w:color="auto"/>
                <w:right w:val="none" w:sz="0" w:space="0" w:color="auto"/>
              </w:divBdr>
              <w:divsChild>
                <w:div w:id="20138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6223">
      <w:bodyDiv w:val="1"/>
      <w:marLeft w:val="0"/>
      <w:marRight w:val="0"/>
      <w:marTop w:val="0"/>
      <w:marBottom w:val="0"/>
      <w:divBdr>
        <w:top w:val="none" w:sz="0" w:space="0" w:color="auto"/>
        <w:left w:val="none" w:sz="0" w:space="0" w:color="auto"/>
        <w:bottom w:val="none" w:sz="0" w:space="0" w:color="auto"/>
        <w:right w:val="none" w:sz="0" w:space="0" w:color="auto"/>
      </w:divBdr>
      <w:divsChild>
        <w:div w:id="1715929526">
          <w:marLeft w:val="0"/>
          <w:marRight w:val="0"/>
          <w:marTop w:val="0"/>
          <w:marBottom w:val="0"/>
          <w:divBdr>
            <w:top w:val="none" w:sz="0" w:space="0" w:color="auto"/>
            <w:left w:val="none" w:sz="0" w:space="0" w:color="auto"/>
            <w:bottom w:val="none" w:sz="0" w:space="0" w:color="auto"/>
            <w:right w:val="none" w:sz="0" w:space="0" w:color="auto"/>
          </w:divBdr>
          <w:divsChild>
            <w:div w:id="1170440030">
              <w:marLeft w:val="0"/>
              <w:marRight w:val="0"/>
              <w:marTop w:val="0"/>
              <w:marBottom w:val="0"/>
              <w:divBdr>
                <w:top w:val="none" w:sz="0" w:space="0" w:color="auto"/>
                <w:left w:val="none" w:sz="0" w:space="0" w:color="auto"/>
                <w:bottom w:val="none" w:sz="0" w:space="0" w:color="auto"/>
                <w:right w:val="none" w:sz="0" w:space="0" w:color="auto"/>
              </w:divBdr>
              <w:divsChild>
                <w:div w:id="11732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61366">
      <w:bodyDiv w:val="1"/>
      <w:marLeft w:val="0"/>
      <w:marRight w:val="0"/>
      <w:marTop w:val="0"/>
      <w:marBottom w:val="0"/>
      <w:divBdr>
        <w:top w:val="none" w:sz="0" w:space="0" w:color="auto"/>
        <w:left w:val="none" w:sz="0" w:space="0" w:color="auto"/>
        <w:bottom w:val="none" w:sz="0" w:space="0" w:color="auto"/>
        <w:right w:val="none" w:sz="0" w:space="0" w:color="auto"/>
      </w:divBdr>
      <w:divsChild>
        <w:div w:id="981542186">
          <w:marLeft w:val="0"/>
          <w:marRight w:val="0"/>
          <w:marTop w:val="0"/>
          <w:marBottom w:val="0"/>
          <w:divBdr>
            <w:top w:val="none" w:sz="0" w:space="0" w:color="auto"/>
            <w:left w:val="none" w:sz="0" w:space="0" w:color="auto"/>
            <w:bottom w:val="none" w:sz="0" w:space="0" w:color="auto"/>
            <w:right w:val="none" w:sz="0" w:space="0" w:color="auto"/>
          </w:divBdr>
          <w:divsChild>
            <w:div w:id="1350520145">
              <w:marLeft w:val="0"/>
              <w:marRight w:val="0"/>
              <w:marTop w:val="0"/>
              <w:marBottom w:val="0"/>
              <w:divBdr>
                <w:top w:val="none" w:sz="0" w:space="0" w:color="auto"/>
                <w:left w:val="none" w:sz="0" w:space="0" w:color="auto"/>
                <w:bottom w:val="none" w:sz="0" w:space="0" w:color="auto"/>
                <w:right w:val="none" w:sz="0" w:space="0" w:color="auto"/>
              </w:divBdr>
              <w:divsChild>
                <w:div w:id="3164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12</Pages>
  <Words>2994</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Benjamin Rossi</cp:lastModifiedBy>
  <cp:revision>186</cp:revision>
  <dcterms:created xsi:type="dcterms:W3CDTF">2020-07-15T12:44:00Z</dcterms:created>
  <dcterms:modified xsi:type="dcterms:W3CDTF">2020-12-07T06:09:00Z</dcterms:modified>
  <cp:category/>
</cp:coreProperties>
</file>