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36E3D" w14:textId="48737EE1" w:rsidR="00B47A1C" w:rsidRPr="00B47A1C" w:rsidRDefault="00B47A1C" w:rsidP="00B47A1C">
      <w:pPr>
        <w:spacing w:line="360" w:lineRule="auto"/>
        <w:jc w:val="both"/>
        <w:rPr>
          <w:szCs w:val="20"/>
        </w:rPr>
      </w:pPr>
      <w:r w:rsidRPr="00B47A1C">
        <w:rPr>
          <w:szCs w:val="20"/>
        </w:rPr>
        <w:t xml:space="preserve">The aim of this short piece is to emphasise a point about the conflict between libertarianism and compatibilism, </w:t>
      </w:r>
      <w:r w:rsidR="00251B40">
        <w:rPr>
          <w:szCs w:val="20"/>
        </w:rPr>
        <w:t xml:space="preserve">that </w:t>
      </w:r>
      <w:r w:rsidRPr="00B47A1C">
        <w:rPr>
          <w:szCs w:val="20"/>
        </w:rPr>
        <w:t xml:space="preserve">that human experience </w:t>
      </w:r>
      <w:r w:rsidR="00251B40">
        <w:rPr>
          <w:szCs w:val="20"/>
        </w:rPr>
        <w:t>of ch</w:t>
      </w:r>
      <w:r w:rsidR="00CD2AC6">
        <w:rPr>
          <w:szCs w:val="20"/>
        </w:rPr>
        <w:t>o</w:t>
      </w:r>
      <w:r w:rsidR="00251B40">
        <w:rPr>
          <w:szCs w:val="20"/>
        </w:rPr>
        <w:t>osing</w:t>
      </w:r>
      <w:r w:rsidRPr="00B47A1C">
        <w:rPr>
          <w:szCs w:val="20"/>
        </w:rPr>
        <w:t xml:space="preserve"> is neutral between the two. There cannot be a plausible ‘argument from experience’ for libertarianism. Think about the following case, which is meant to favour libertarianism, from a leading proponent.</w:t>
      </w:r>
      <w:r w:rsidR="00EC6A33">
        <w:rPr>
          <w:szCs w:val="20"/>
        </w:rPr>
        <w:t xml:space="preserve"> It is offered by</w:t>
      </w:r>
      <w:r w:rsidRPr="00B47A1C">
        <w:rPr>
          <w:szCs w:val="20"/>
        </w:rPr>
        <w:t xml:space="preserve"> the libertarian Robert Kane. </w:t>
      </w:r>
      <w:r w:rsidR="00EC6A33">
        <w:rPr>
          <w:szCs w:val="20"/>
        </w:rPr>
        <w:t>He is countering the frequently-</w:t>
      </w:r>
      <w:r w:rsidRPr="00B47A1C">
        <w:rPr>
          <w:szCs w:val="20"/>
        </w:rPr>
        <w:t xml:space="preserve">made criticism made by compatibilists that such libertarianism is indistinguishable from randomness or whimsy.  </w:t>
      </w:r>
      <w:r w:rsidR="00EC6A33">
        <w:rPr>
          <w:szCs w:val="20"/>
        </w:rPr>
        <w:t xml:space="preserve">He supposes a woman driving to work who meets an accident and realizes that if she stops she will be late, but </w:t>
      </w:r>
      <w:r w:rsidR="00251B40">
        <w:rPr>
          <w:szCs w:val="20"/>
        </w:rPr>
        <w:t xml:space="preserve">if she does stop she </w:t>
      </w:r>
      <w:r w:rsidR="00EC6A33">
        <w:rPr>
          <w:szCs w:val="20"/>
        </w:rPr>
        <w:t>may nevertheless be able to lessen the distress of those involved in the accident</w:t>
      </w:r>
      <w:r w:rsidR="00EC6A33">
        <w:rPr>
          <w:rFonts w:eastAsia="Times New Roman" w:cs="Times New Roman"/>
          <w:szCs w:val="20"/>
          <w:shd w:val="clear" w:color="auto" w:fill="FFFFFF"/>
          <w:lang w:val="en-GB" w:eastAsia="en-US"/>
        </w:rPr>
        <w:t xml:space="preserve">. </w:t>
      </w:r>
      <w:r w:rsidRPr="00B47A1C">
        <w:rPr>
          <w:szCs w:val="20"/>
        </w:rPr>
        <w:t>Kane says</w:t>
      </w:r>
    </w:p>
    <w:p w14:paraId="49F8BFD9" w14:textId="77777777" w:rsidR="00B47A1C" w:rsidRPr="00B47A1C" w:rsidRDefault="00B47A1C" w:rsidP="00B47A1C">
      <w:pPr>
        <w:spacing w:line="360" w:lineRule="auto"/>
        <w:jc w:val="both"/>
        <w:rPr>
          <w:szCs w:val="20"/>
        </w:rPr>
      </w:pPr>
    </w:p>
    <w:p w14:paraId="66E4CFAE" w14:textId="77777777" w:rsidR="00B47A1C" w:rsidRDefault="00B47A1C" w:rsidP="00B47A1C">
      <w:pPr>
        <w:spacing w:line="360" w:lineRule="auto"/>
        <w:ind w:left="567" w:right="362"/>
        <w:jc w:val="both"/>
        <w:rPr>
          <w:rFonts w:eastAsia="Times New Roman" w:cs="Times New Roman"/>
          <w:szCs w:val="20"/>
          <w:shd w:val="clear" w:color="auto" w:fill="FFFFFF"/>
          <w:lang w:val="en-GB" w:eastAsia="en-US"/>
        </w:rPr>
      </w:pPr>
      <w:r w:rsidRPr="00B47A1C">
        <w:rPr>
          <w:rFonts w:eastAsia="Times New Roman" w:cs="Times New Roman"/>
          <w:color w:val="000000"/>
          <w:szCs w:val="20"/>
          <w:shd w:val="clear" w:color="auto" w:fill="FFFFFF"/>
          <w:lang w:val="en-GB" w:eastAsia="en-US"/>
        </w:rPr>
        <w:t>[U]nder such conditions, the choice the woman might make either way will not be “inadvertent,” “accidental,” “capricious,” or “merely random” (as critics of indeterminism say) because the choice will be </w:t>
      </w:r>
      <w:r w:rsidRPr="00B47A1C">
        <w:rPr>
          <w:rFonts w:eastAsia="Times New Roman" w:cs="Times New Roman"/>
          <w:i/>
          <w:iCs/>
          <w:color w:val="000000"/>
          <w:szCs w:val="20"/>
          <w:shd w:val="clear" w:color="auto" w:fill="FFFFFF"/>
          <w:lang w:val="en-GB" w:eastAsia="en-US"/>
        </w:rPr>
        <w:t>willed</w:t>
      </w:r>
      <w:r w:rsidRPr="00B47A1C">
        <w:rPr>
          <w:rFonts w:eastAsia="Times New Roman" w:cs="Times New Roman"/>
          <w:color w:val="000000"/>
          <w:szCs w:val="20"/>
          <w:shd w:val="clear" w:color="auto" w:fill="FFFFFF"/>
          <w:lang w:val="en-GB" w:eastAsia="en-US"/>
        </w:rPr>
        <w:t> by the woman either way when it is made, and it will be done for</w:t>
      </w:r>
      <w:r w:rsidRPr="00B47A1C">
        <w:rPr>
          <w:rFonts w:eastAsia="Times New Roman" w:cs="Times New Roman"/>
          <w:i/>
          <w:iCs/>
          <w:color w:val="000000"/>
          <w:szCs w:val="20"/>
          <w:shd w:val="clear" w:color="auto" w:fill="FFFFFF"/>
          <w:lang w:val="en-GB" w:eastAsia="en-US"/>
        </w:rPr>
        <w:t> reasons</w:t>
      </w:r>
      <w:r w:rsidRPr="00B47A1C">
        <w:rPr>
          <w:rFonts w:eastAsia="Times New Roman" w:cs="Times New Roman"/>
          <w:color w:val="000000"/>
          <w:szCs w:val="20"/>
          <w:shd w:val="clear" w:color="auto" w:fill="FFFFFF"/>
          <w:lang w:val="en-GB" w:eastAsia="en-US"/>
        </w:rPr>
        <w:t> either way—reasons that she then and there </w:t>
      </w:r>
      <w:r w:rsidRPr="00B47A1C">
        <w:rPr>
          <w:rFonts w:eastAsia="Times New Roman" w:cs="Times New Roman"/>
          <w:i/>
          <w:iCs/>
          <w:color w:val="000000"/>
          <w:szCs w:val="20"/>
          <w:shd w:val="clear" w:color="auto" w:fill="FFFFFF"/>
          <w:lang w:val="en-GB" w:eastAsia="en-US"/>
        </w:rPr>
        <w:t>endorses</w:t>
      </w:r>
      <w:r w:rsidRPr="00B47A1C">
        <w:rPr>
          <w:rFonts w:eastAsia="Times New Roman" w:cs="Times New Roman"/>
          <w:color w:val="000000"/>
          <w:szCs w:val="20"/>
          <w:shd w:val="clear" w:color="auto" w:fill="FFFFFF"/>
          <w:lang w:val="en-GB" w:eastAsia="en-US"/>
        </w:rPr>
        <w:t>…So when she decides, she endorses one set of competing reasons over the other as the one she will act on. But </w:t>
      </w:r>
      <w:r w:rsidRPr="00B47A1C">
        <w:rPr>
          <w:rFonts w:eastAsia="Times New Roman" w:cs="Times New Roman"/>
          <w:i/>
          <w:iCs/>
          <w:color w:val="000000"/>
          <w:szCs w:val="20"/>
          <w:shd w:val="clear" w:color="auto" w:fill="FFFFFF"/>
          <w:lang w:val="en-GB" w:eastAsia="en-US"/>
        </w:rPr>
        <w:t>willing</w:t>
      </w:r>
      <w:r w:rsidRPr="00B47A1C">
        <w:rPr>
          <w:rFonts w:eastAsia="Times New Roman" w:cs="Times New Roman"/>
          <w:color w:val="000000"/>
          <w:szCs w:val="20"/>
          <w:shd w:val="clear" w:color="auto" w:fill="FFFFFF"/>
          <w:lang w:val="en-GB" w:eastAsia="en-US"/>
        </w:rPr>
        <w:t> what you do in this way, and doing it for </w:t>
      </w:r>
      <w:r w:rsidRPr="00B47A1C">
        <w:rPr>
          <w:rFonts w:eastAsia="Times New Roman" w:cs="Times New Roman"/>
          <w:i/>
          <w:iCs/>
          <w:color w:val="000000"/>
          <w:szCs w:val="20"/>
          <w:shd w:val="clear" w:color="auto" w:fill="FFFFFF"/>
          <w:lang w:val="en-GB" w:eastAsia="en-US"/>
        </w:rPr>
        <w:t xml:space="preserve">reasons </w:t>
      </w:r>
      <w:r w:rsidRPr="00B47A1C">
        <w:rPr>
          <w:rFonts w:eastAsia="Times New Roman" w:cs="Times New Roman"/>
          <w:color w:val="000000"/>
          <w:szCs w:val="20"/>
          <w:shd w:val="clear" w:color="auto" w:fill="FFFFFF"/>
          <w:lang w:val="en-GB" w:eastAsia="en-US"/>
        </w:rPr>
        <w:t xml:space="preserve">that you endorse, are conditions usually required to say something is done “on purpose,” rather than accidentally, capriciously, or merely by chance. </w:t>
      </w:r>
      <w:r w:rsidRPr="00B47A1C">
        <w:rPr>
          <w:rFonts w:eastAsia="Times New Roman" w:cs="Times New Roman"/>
          <w:szCs w:val="20"/>
          <w:shd w:val="clear" w:color="auto" w:fill="FFFFFF"/>
          <w:lang w:val="en-GB" w:eastAsia="en-US"/>
        </w:rPr>
        <w:t>Robert Kane,  ‘Libertarianism’, in J.M. Fischer, R. Kane, D. Pereboom, &amp; M. Vargas (eds) </w:t>
      </w:r>
      <w:r w:rsidRPr="00B47A1C">
        <w:rPr>
          <w:rFonts w:eastAsia="Times New Roman" w:cs="Times New Roman"/>
          <w:i/>
          <w:iCs/>
          <w:szCs w:val="20"/>
          <w:shd w:val="clear" w:color="auto" w:fill="FFFFFF"/>
          <w:lang w:val="en-GB" w:eastAsia="en-US"/>
        </w:rPr>
        <w:t>Four Views on Free Will</w:t>
      </w:r>
      <w:r w:rsidRPr="00B47A1C">
        <w:rPr>
          <w:rFonts w:eastAsia="Times New Roman" w:cs="Times New Roman"/>
          <w:szCs w:val="20"/>
          <w:shd w:val="clear" w:color="auto" w:fill="FFFFFF"/>
          <w:lang w:val="en-GB" w:eastAsia="en-US"/>
        </w:rPr>
        <w:t> (Oxford: Blackwell Publishing), 5-43. (29, emphases in the original)</w:t>
      </w:r>
    </w:p>
    <w:p w14:paraId="73003CF8" w14:textId="77777777" w:rsidR="00B47A1C" w:rsidRDefault="00B47A1C" w:rsidP="00B47A1C">
      <w:pPr>
        <w:spacing w:line="360" w:lineRule="auto"/>
        <w:ind w:left="567" w:right="362"/>
        <w:jc w:val="both"/>
        <w:rPr>
          <w:rFonts w:eastAsia="Times New Roman" w:cs="Times New Roman"/>
          <w:szCs w:val="20"/>
          <w:shd w:val="clear" w:color="auto" w:fill="FFFFFF"/>
          <w:lang w:val="en-GB" w:eastAsia="en-US"/>
        </w:rPr>
      </w:pPr>
    </w:p>
    <w:p w14:paraId="6B2FF279" w14:textId="2D42D98B" w:rsidR="00B47A1C" w:rsidRDefault="00CD2AC6" w:rsidP="00B47A1C">
      <w:pPr>
        <w:spacing w:line="360" w:lineRule="auto"/>
        <w:ind w:right="362"/>
        <w:jc w:val="both"/>
        <w:rPr>
          <w:rFonts w:eastAsia="Times New Roman" w:cs="Times New Roman"/>
          <w:szCs w:val="20"/>
          <w:shd w:val="clear" w:color="auto" w:fill="FFFFFF"/>
          <w:lang w:val="en-GB" w:eastAsia="en-US"/>
        </w:rPr>
      </w:pPr>
      <w:r>
        <w:rPr>
          <w:rFonts w:eastAsia="Times New Roman" w:cs="Times New Roman"/>
          <w:szCs w:val="20"/>
          <w:shd w:val="clear" w:color="auto" w:fill="FFFFFF"/>
          <w:lang w:val="en-GB" w:eastAsia="en-US"/>
        </w:rPr>
        <w:t>Some of t</w:t>
      </w:r>
      <w:r w:rsidR="00B47A1C">
        <w:rPr>
          <w:rFonts w:eastAsia="Times New Roman" w:cs="Times New Roman"/>
          <w:szCs w:val="20"/>
          <w:shd w:val="clear" w:color="auto" w:fill="FFFFFF"/>
          <w:lang w:val="en-GB" w:eastAsia="en-US"/>
        </w:rPr>
        <w:t>his is reminiscent of the late C.A. Campbell’s view of contra-causal freedom, a free act being one that is done from duty and against the causal flow of desire. I won’t go into that view here.</w:t>
      </w:r>
      <w:r w:rsidR="007F3641">
        <w:rPr>
          <w:rFonts w:eastAsia="Times New Roman" w:cs="Times New Roman"/>
          <w:szCs w:val="20"/>
          <w:shd w:val="clear" w:color="auto" w:fill="FFFFFF"/>
          <w:lang w:val="en-GB" w:eastAsia="en-US"/>
        </w:rPr>
        <w:t xml:space="preserve">  </w:t>
      </w:r>
      <w:r w:rsidR="00251B40">
        <w:rPr>
          <w:rFonts w:eastAsia="Times New Roman" w:cs="Times New Roman"/>
          <w:szCs w:val="20"/>
          <w:shd w:val="clear" w:color="auto" w:fill="FFFFFF"/>
          <w:lang w:val="en-GB" w:eastAsia="en-US"/>
        </w:rPr>
        <w:t>(When the situat</w:t>
      </w:r>
      <w:r>
        <w:rPr>
          <w:rFonts w:eastAsia="Times New Roman" w:cs="Times New Roman"/>
          <w:szCs w:val="20"/>
          <w:shd w:val="clear" w:color="auto" w:fill="FFFFFF"/>
          <w:lang w:val="en-GB" w:eastAsia="en-US"/>
        </w:rPr>
        <w:t>ion is described as one having reasons or</w:t>
      </w:r>
      <w:r w:rsidR="00EC6A33">
        <w:rPr>
          <w:rFonts w:eastAsia="Times New Roman" w:cs="Times New Roman"/>
          <w:szCs w:val="20"/>
          <w:shd w:val="clear" w:color="auto" w:fill="FFFFFF"/>
          <w:lang w:val="en-GB" w:eastAsia="en-US"/>
        </w:rPr>
        <w:t xml:space="preserve"> condit</w:t>
      </w:r>
      <w:r w:rsidR="00251B40">
        <w:rPr>
          <w:rFonts w:eastAsia="Times New Roman" w:cs="Times New Roman"/>
          <w:szCs w:val="20"/>
          <w:shd w:val="clear" w:color="auto" w:fill="FFFFFF"/>
          <w:lang w:val="en-GB" w:eastAsia="en-US"/>
        </w:rPr>
        <w:t>i</w:t>
      </w:r>
      <w:r w:rsidR="00EC6A33">
        <w:rPr>
          <w:rFonts w:eastAsia="Times New Roman" w:cs="Times New Roman"/>
          <w:szCs w:val="20"/>
          <w:shd w:val="clear" w:color="auto" w:fill="FFFFFF"/>
          <w:lang w:val="en-GB" w:eastAsia="en-US"/>
        </w:rPr>
        <w:t xml:space="preserve">ons the compatibilist freely claps his hands with glee). </w:t>
      </w:r>
      <w:r>
        <w:rPr>
          <w:rFonts w:eastAsia="Times New Roman" w:cs="Times New Roman"/>
          <w:szCs w:val="20"/>
          <w:shd w:val="clear" w:color="auto" w:fill="FFFFFF"/>
          <w:lang w:val="en-GB" w:eastAsia="en-US"/>
        </w:rPr>
        <w:t xml:space="preserve"> I</w:t>
      </w:r>
      <w:r w:rsidR="007F3641">
        <w:rPr>
          <w:rFonts w:eastAsia="Times New Roman" w:cs="Times New Roman"/>
          <w:szCs w:val="20"/>
          <w:shd w:val="clear" w:color="auto" w:fill="FFFFFF"/>
          <w:lang w:val="en-GB" w:eastAsia="en-US"/>
        </w:rPr>
        <w:t>t is easy to see that the situation as described by Kane is easily incorporated into compatibilism</w:t>
      </w:r>
      <w:r>
        <w:rPr>
          <w:rFonts w:eastAsia="Times New Roman" w:cs="Times New Roman"/>
          <w:szCs w:val="20"/>
          <w:shd w:val="clear" w:color="auto" w:fill="FFFFFF"/>
          <w:lang w:val="en-GB" w:eastAsia="en-US"/>
        </w:rPr>
        <w:t>. For compatibilism</w:t>
      </w:r>
      <w:r w:rsidR="007F3641">
        <w:rPr>
          <w:rFonts w:eastAsia="Times New Roman" w:cs="Times New Roman"/>
          <w:szCs w:val="20"/>
          <w:shd w:val="clear" w:color="auto" w:fill="FFFFFF"/>
          <w:lang w:val="en-GB" w:eastAsia="en-US"/>
        </w:rPr>
        <w:t xml:space="preserve"> has no difficulty </w:t>
      </w:r>
      <w:r w:rsidR="00251B40">
        <w:rPr>
          <w:rFonts w:eastAsia="Times New Roman" w:cs="Times New Roman"/>
          <w:szCs w:val="20"/>
          <w:shd w:val="clear" w:color="auto" w:fill="FFFFFF"/>
          <w:lang w:val="en-GB" w:eastAsia="en-US"/>
        </w:rPr>
        <w:t xml:space="preserve">at all </w:t>
      </w:r>
      <w:r w:rsidR="007F3641">
        <w:rPr>
          <w:rFonts w:eastAsia="Times New Roman" w:cs="Times New Roman"/>
          <w:szCs w:val="20"/>
          <w:shd w:val="clear" w:color="auto" w:fill="FFFFFF"/>
          <w:lang w:val="en-GB" w:eastAsia="en-US"/>
        </w:rPr>
        <w:t xml:space="preserve">in allowing </w:t>
      </w:r>
      <w:r>
        <w:rPr>
          <w:rFonts w:eastAsia="Times New Roman" w:cs="Times New Roman"/>
          <w:szCs w:val="20"/>
          <w:shd w:val="clear" w:color="auto" w:fill="FFFFFF"/>
          <w:lang w:val="en-GB" w:eastAsia="en-US"/>
        </w:rPr>
        <w:t xml:space="preserve">for </w:t>
      </w:r>
      <w:r w:rsidR="007F3641">
        <w:rPr>
          <w:rFonts w:eastAsia="Times New Roman" w:cs="Times New Roman"/>
          <w:szCs w:val="20"/>
          <w:shd w:val="clear" w:color="auto" w:fill="FFFFFF"/>
          <w:lang w:val="en-GB" w:eastAsia="en-US"/>
        </w:rPr>
        <w:t>conflicts in the self between one set of desires and another, or of a stalemate between the two</w:t>
      </w:r>
      <w:r>
        <w:rPr>
          <w:rFonts w:eastAsia="Times New Roman" w:cs="Times New Roman"/>
          <w:szCs w:val="20"/>
          <w:shd w:val="clear" w:color="auto" w:fill="FFFFFF"/>
          <w:lang w:val="en-GB" w:eastAsia="en-US"/>
        </w:rPr>
        <w:t xml:space="preserve"> settled by the preference for one of them</w:t>
      </w:r>
      <w:r w:rsidR="007F3641">
        <w:rPr>
          <w:rFonts w:eastAsia="Times New Roman" w:cs="Times New Roman"/>
          <w:szCs w:val="20"/>
          <w:shd w:val="clear" w:color="auto" w:fill="FFFFFF"/>
          <w:lang w:val="en-GB" w:eastAsia="en-US"/>
        </w:rPr>
        <w:t xml:space="preserve">; </w:t>
      </w:r>
      <w:r>
        <w:rPr>
          <w:rFonts w:eastAsia="Times New Roman" w:cs="Times New Roman"/>
          <w:szCs w:val="20"/>
          <w:shd w:val="clear" w:color="auto" w:fill="FFFFFF"/>
          <w:lang w:val="en-GB" w:eastAsia="en-US"/>
        </w:rPr>
        <w:t xml:space="preserve">of willing what one does as a result of settling the claims of competing reasons; </w:t>
      </w:r>
      <w:r w:rsidR="007F3641">
        <w:rPr>
          <w:rFonts w:eastAsia="Times New Roman" w:cs="Times New Roman"/>
          <w:szCs w:val="20"/>
          <w:shd w:val="clear" w:color="auto" w:fill="FFFFFF"/>
          <w:lang w:val="en-GB" w:eastAsia="en-US"/>
        </w:rPr>
        <w:t>of sudden decisions following periods of hesitancy and even of decisions which when the decision is</w:t>
      </w:r>
      <w:r w:rsidR="00251B40">
        <w:rPr>
          <w:rFonts w:eastAsia="Times New Roman" w:cs="Times New Roman"/>
          <w:szCs w:val="20"/>
          <w:shd w:val="clear" w:color="auto" w:fill="FFFFFF"/>
          <w:lang w:val="en-GB" w:eastAsia="en-US"/>
        </w:rPr>
        <w:t xml:space="preserve"> made, surprise the agent. All t</w:t>
      </w:r>
      <w:r>
        <w:rPr>
          <w:rFonts w:eastAsia="Times New Roman" w:cs="Times New Roman"/>
          <w:szCs w:val="20"/>
          <w:shd w:val="clear" w:color="auto" w:fill="FFFFFF"/>
          <w:lang w:val="en-GB" w:eastAsia="en-US"/>
        </w:rPr>
        <w:t>hese are what</w:t>
      </w:r>
      <w:r w:rsidR="007F3641">
        <w:rPr>
          <w:rFonts w:eastAsia="Times New Roman" w:cs="Times New Roman"/>
          <w:szCs w:val="20"/>
          <w:shd w:val="clear" w:color="auto" w:fill="FFFFFF"/>
          <w:lang w:val="en-GB" w:eastAsia="en-US"/>
        </w:rPr>
        <w:t xml:space="preserve"> we may call the phenomena of conscious </w:t>
      </w:r>
      <w:r w:rsidR="007F3641">
        <w:rPr>
          <w:rFonts w:eastAsia="Times New Roman" w:cs="Times New Roman"/>
          <w:szCs w:val="20"/>
          <w:shd w:val="clear" w:color="auto" w:fill="FFFFFF"/>
          <w:lang w:val="en-GB" w:eastAsia="en-US"/>
        </w:rPr>
        <w:lastRenderedPageBreak/>
        <w:t>choice</w:t>
      </w:r>
      <w:r>
        <w:rPr>
          <w:rFonts w:eastAsia="Times New Roman" w:cs="Times New Roman"/>
          <w:szCs w:val="20"/>
          <w:shd w:val="clear" w:color="auto" w:fill="FFFFFF"/>
          <w:lang w:val="en-GB" w:eastAsia="en-US"/>
        </w:rPr>
        <w:t xml:space="preserve">, cannot be used as an argument in favour of libertarianism. They </w:t>
      </w:r>
      <w:r w:rsidR="007F3641">
        <w:rPr>
          <w:rFonts w:eastAsia="Times New Roman" w:cs="Times New Roman"/>
          <w:szCs w:val="20"/>
          <w:shd w:val="clear" w:color="auto" w:fill="FFFFFF"/>
          <w:lang w:val="en-GB" w:eastAsia="en-US"/>
        </w:rPr>
        <w:t xml:space="preserve"> are equally open to the compatib</w:t>
      </w:r>
      <w:r w:rsidR="00251B40">
        <w:rPr>
          <w:rFonts w:eastAsia="Times New Roman" w:cs="Times New Roman"/>
          <w:szCs w:val="20"/>
          <w:shd w:val="clear" w:color="auto" w:fill="FFFFFF"/>
          <w:lang w:val="en-GB" w:eastAsia="en-US"/>
        </w:rPr>
        <w:t>il</w:t>
      </w:r>
      <w:r w:rsidR="007F3641">
        <w:rPr>
          <w:rFonts w:eastAsia="Times New Roman" w:cs="Times New Roman"/>
          <w:szCs w:val="20"/>
          <w:shd w:val="clear" w:color="auto" w:fill="FFFFFF"/>
          <w:lang w:val="en-GB" w:eastAsia="en-US"/>
        </w:rPr>
        <w:t xml:space="preserve">ist and the libertarian; but when they are described as Kane describes them above </w:t>
      </w:r>
      <w:r w:rsidR="00251B40">
        <w:rPr>
          <w:rFonts w:eastAsia="Times New Roman" w:cs="Times New Roman"/>
          <w:szCs w:val="20"/>
          <w:shd w:val="clear" w:color="auto" w:fill="FFFFFF"/>
          <w:lang w:val="en-GB" w:eastAsia="en-US"/>
        </w:rPr>
        <w:t xml:space="preserve">then </w:t>
      </w:r>
      <w:r w:rsidR="007F3641">
        <w:rPr>
          <w:rFonts w:eastAsia="Times New Roman" w:cs="Times New Roman"/>
          <w:szCs w:val="20"/>
          <w:shd w:val="clear" w:color="auto" w:fill="FFFFFF"/>
          <w:lang w:val="en-GB" w:eastAsia="en-US"/>
        </w:rPr>
        <w:t xml:space="preserve">this is </w:t>
      </w:r>
      <w:r w:rsidR="007F3641" w:rsidRPr="005A5EC6">
        <w:rPr>
          <w:rFonts w:eastAsia="Times New Roman" w:cs="Times New Roman"/>
          <w:i/>
          <w:szCs w:val="20"/>
          <w:shd w:val="clear" w:color="auto" w:fill="FFFFFF"/>
          <w:lang w:val="en-GB" w:eastAsia="en-US"/>
        </w:rPr>
        <w:t>obvious</w:t>
      </w:r>
      <w:r w:rsidR="007F3641">
        <w:rPr>
          <w:rFonts w:eastAsia="Times New Roman" w:cs="Times New Roman"/>
          <w:szCs w:val="20"/>
          <w:shd w:val="clear" w:color="auto" w:fill="FFFFFF"/>
          <w:lang w:val="en-GB" w:eastAsia="en-US"/>
        </w:rPr>
        <w:t xml:space="preserve">.  </w:t>
      </w:r>
    </w:p>
    <w:p w14:paraId="2975F9E1" w14:textId="77777777" w:rsidR="005A5EC6" w:rsidRDefault="005A5EC6" w:rsidP="00B47A1C">
      <w:pPr>
        <w:spacing w:line="360" w:lineRule="auto"/>
        <w:ind w:right="362"/>
        <w:jc w:val="both"/>
        <w:rPr>
          <w:rFonts w:eastAsia="Times New Roman" w:cs="Times New Roman"/>
          <w:szCs w:val="20"/>
          <w:shd w:val="clear" w:color="auto" w:fill="FFFFFF"/>
          <w:lang w:val="en-GB" w:eastAsia="en-US"/>
        </w:rPr>
      </w:pPr>
    </w:p>
    <w:p w14:paraId="78A06B0E" w14:textId="3331A755" w:rsidR="00CD2AC6" w:rsidRDefault="00CD2AC6" w:rsidP="00251B40">
      <w:pPr>
        <w:spacing w:line="360" w:lineRule="auto"/>
        <w:ind w:right="362"/>
        <w:jc w:val="both"/>
        <w:rPr>
          <w:rFonts w:eastAsia="Times New Roman" w:cs="Times New Roman"/>
          <w:szCs w:val="20"/>
          <w:shd w:val="clear" w:color="auto" w:fill="FFFFFF"/>
          <w:lang w:val="en-GB" w:eastAsia="en-US"/>
        </w:rPr>
      </w:pPr>
      <w:r>
        <w:rPr>
          <w:rFonts w:eastAsia="Times New Roman" w:cs="Times New Roman"/>
          <w:szCs w:val="20"/>
          <w:shd w:val="clear" w:color="auto" w:fill="FFFFFF"/>
          <w:lang w:val="en-GB" w:eastAsia="en-US"/>
        </w:rPr>
        <w:t>But there is more. Libertarianism has the following it has because it is claimed that it provides a clear criterion of human responsibility, a necessary and sufficient condition of it. The usefulness of this criterion for that purpose</w:t>
      </w:r>
      <w:r w:rsidR="00C43662">
        <w:rPr>
          <w:rFonts w:eastAsia="Times New Roman" w:cs="Times New Roman"/>
          <w:szCs w:val="20"/>
          <w:shd w:val="clear" w:color="auto" w:fill="FFFFFF"/>
          <w:lang w:val="en-GB" w:eastAsia="en-US"/>
        </w:rPr>
        <w:t>, establishing that he is morally responsible and what he is responsible for,</w:t>
      </w:r>
      <w:r>
        <w:rPr>
          <w:rFonts w:eastAsia="Times New Roman" w:cs="Times New Roman"/>
          <w:szCs w:val="20"/>
          <w:shd w:val="clear" w:color="auto" w:fill="FFFFFF"/>
          <w:lang w:val="en-GB" w:eastAsia="en-US"/>
        </w:rPr>
        <w:t xml:space="preserve"> is in fact impossibly difficult.</w:t>
      </w:r>
      <w:r w:rsidR="00C43662">
        <w:rPr>
          <w:rFonts w:eastAsia="Times New Roman" w:cs="Times New Roman"/>
          <w:szCs w:val="20"/>
          <w:shd w:val="clear" w:color="auto" w:fill="FFFFFF"/>
          <w:lang w:val="en-GB" w:eastAsia="en-US"/>
        </w:rPr>
        <w:t xml:space="preserve"> </w:t>
      </w:r>
      <w:r w:rsidR="00C43662">
        <w:rPr>
          <w:rFonts w:eastAsia="Times New Roman" w:cs="Times New Roman"/>
          <w:szCs w:val="20"/>
          <w:shd w:val="clear" w:color="auto" w:fill="FFFFFF"/>
          <w:lang w:val="en-GB" w:eastAsia="en-US"/>
        </w:rPr>
        <w:t xml:space="preserve">Such a choice is weird. It is that human beings have the power in a situation in which A is preferred to choose B instead of A, </w:t>
      </w:r>
      <w:r w:rsidR="00C43662" w:rsidRPr="005A5EC6">
        <w:rPr>
          <w:rFonts w:eastAsia="Times New Roman" w:cs="Times New Roman"/>
          <w:i/>
          <w:szCs w:val="20"/>
          <w:shd w:val="clear" w:color="auto" w:fill="FFFFFF"/>
          <w:lang w:val="en-GB" w:eastAsia="en-US"/>
        </w:rPr>
        <w:t>all other states of affairs being exactly unchanged</w:t>
      </w:r>
      <w:r w:rsidR="00C43662">
        <w:rPr>
          <w:rFonts w:eastAsia="Times New Roman" w:cs="Times New Roman"/>
          <w:szCs w:val="20"/>
          <w:shd w:val="clear" w:color="auto" w:fill="FFFFFF"/>
          <w:lang w:val="en-GB" w:eastAsia="en-US"/>
        </w:rPr>
        <w:t>. Claims of this type are empirically unverifiable and unfalsifiable and require us to believe that each of us possesses and exercises such a power when not the least piece of empirical evidence is produced for it.</w:t>
      </w:r>
    </w:p>
    <w:p w14:paraId="26DE24F9" w14:textId="77777777" w:rsidR="00CD2AC6" w:rsidRDefault="00CD2AC6" w:rsidP="00251B40">
      <w:pPr>
        <w:spacing w:line="360" w:lineRule="auto"/>
        <w:ind w:right="362"/>
        <w:jc w:val="both"/>
        <w:rPr>
          <w:rFonts w:eastAsia="Times New Roman" w:cs="Times New Roman"/>
          <w:szCs w:val="20"/>
          <w:shd w:val="clear" w:color="auto" w:fill="FFFFFF"/>
          <w:lang w:val="en-GB" w:eastAsia="en-US"/>
        </w:rPr>
      </w:pPr>
    </w:p>
    <w:p w14:paraId="2DFFF233" w14:textId="12ED3BF4" w:rsidR="005A5EC6" w:rsidRDefault="005A5EC6" w:rsidP="00251B40">
      <w:pPr>
        <w:spacing w:line="360" w:lineRule="auto"/>
        <w:ind w:right="362"/>
        <w:jc w:val="both"/>
        <w:rPr>
          <w:rFonts w:eastAsia="Times New Roman" w:cs="Times New Roman"/>
          <w:szCs w:val="20"/>
          <w:shd w:val="clear" w:color="auto" w:fill="FFFFFF"/>
          <w:lang w:val="en-GB" w:eastAsia="en-US"/>
        </w:rPr>
      </w:pPr>
      <w:r>
        <w:rPr>
          <w:rFonts w:eastAsia="Times New Roman" w:cs="Times New Roman"/>
          <w:szCs w:val="20"/>
          <w:shd w:val="clear" w:color="auto" w:fill="FFFFFF"/>
          <w:lang w:val="en-GB" w:eastAsia="en-US"/>
        </w:rPr>
        <w:t xml:space="preserve">This is to underline the point that indeterminism </w:t>
      </w:r>
      <w:r w:rsidR="00251B40">
        <w:rPr>
          <w:rFonts w:eastAsia="Times New Roman" w:cs="Times New Roman"/>
          <w:szCs w:val="20"/>
          <w:shd w:val="clear" w:color="auto" w:fill="FFFFFF"/>
          <w:lang w:val="en-GB" w:eastAsia="en-US"/>
        </w:rPr>
        <w:t xml:space="preserve">either lapses into  an account easily dealt with by the compatibilist, </w:t>
      </w:r>
      <w:r w:rsidR="00C43662">
        <w:rPr>
          <w:rFonts w:eastAsia="Times New Roman" w:cs="Times New Roman"/>
          <w:szCs w:val="20"/>
          <w:shd w:val="clear" w:color="auto" w:fill="FFFFFF"/>
          <w:lang w:val="en-GB" w:eastAsia="en-US"/>
        </w:rPr>
        <w:t xml:space="preserve">and </w:t>
      </w:r>
      <w:r>
        <w:rPr>
          <w:rFonts w:eastAsia="Times New Roman" w:cs="Times New Roman"/>
          <w:szCs w:val="20"/>
          <w:shd w:val="clear" w:color="auto" w:fill="FFFFFF"/>
          <w:lang w:val="en-GB" w:eastAsia="en-US"/>
        </w:rPr>
        <w:t xml:space="preserve">is not an empirical theory, verified by an appeal to human experience, but postulates </w:t>
      </w:r>
      <w:r w:rsidR="00251B40">
        <w:rPr>
          <w:rFonts w:eastAsia="Times New Roman" w:cs="Times New Roman"/>
          <w:szCs w:val="20"/>
          <w:shd w:val="clear" w:color="auto" w:fill="FFFFFF"/>
          <w:lang w:val="en-GB" w:eastAsia="en-US"/>
        </w:rPr>
        <w:t xml:space="preserve">an </w:t>
      </w:r>
      <w:r>
        <w:rPr>
          <w:rFonts w:eastAsia="Times New Roman" w:cs="Times New Roman"/>
          <w:szCs w:val="20"/>
          <w:shd w:val="clear" w:color="auto" w:fill="FFFFFF"/>
          <w:lang w:val="en-GB" w:eastAsia="en-US"/>
        </w:rPr>
        <w:t xml:space="preserve">indeterministic choice as a metaphysical postulate. </w:t>
      </w:r>
    </w:p>
    <w:p w14:paraId="4EFB509D" w14:textId="77777777" w:rsidR="007F3641" w:rsidRDefault="007F3641" w:rsidP="00B47A1C">
      <w:pPr>
        <w:spacing w:line="360" w:lineRule="auto"/>
        <w:ind w:right="362"/>
        <w:jc w:val="both"/>
        <w:rPr>
          <w:rFonts w:eastAsia="Times New Roman" w:cs="Times New Roman"/>
          <w:szCs w:val="20"/>
          <w:shd w:val="clear" w:color="auto" w:fill="FFFFFF"/>
          <w:lang w:val="en-GB" w:eastAsia="en-US"/>
        </w:rPr>
      </w:pPr>
    </w:p>
    <w:p w14:paraId="1A5078D2" w14:textId="065987B6" w:rsidR="007F3641" w:rsidRDefault="007F3641" w:rsidP="00B47A1C">
      <w:pPr>
        <w:spacing w:line="360" w:lineRule="auto"/>
        <w:ind w:right="362"/>
        <w:jc w:val="both"/>
        <w:rPr>
          <w:rFonts w:eastAsia="Times New Roman" w:cs="Times New Roman"/>
          <w:szCs w:val="20"/>
          <w:shd w:val="clear" w:color="auto" w:fill="FFFFFF"/>
          <w:lang w:val="en-GB" w:eastAsia="en-US"/>
        </w:rPr>
      </w:pPr>
      <w:r>
        <w:rPr>
          <w:rFonts w:eastAsia="Times New Roman" w:cs="Times New Roman"/>
          <w:szCs w:val="20"/>
          <w:shd w:val="clear" w:color="auto" w:fill="FFFFFF"/>
          <w:lang w:val="en-GB" w:eastAsia="en-US"/>
        </w:rPr>
        <w:t xml:space="preserve">So Jerry Walls </w:t>
      </w:r>
      <w:r w:rsidR="00251B40">
        <w:rPr>
          <w:rFonts w:eastAsia="Times New Roman" w:cs="Times New Roman"/>
          <w:szCs w:val="20"/>
          <w:shd w:val="clear" w:color="auto" w:fill="FFFFFF"/>
          <w:lang w:val="en-GB" w:eastAsia="en-US"/>
        </w:rPr>
        <w:t xml:space="preserve">(who is </w:t>
      </w:r>
      <w:r>
        <w:rPr>
          <w:rFonts w:eastAsia="Times New Roman" w:cs="Times New Roman"/>
          <w:szCs w:val="20"/>
          <w:shd w:val="clear" w:color="auto" w:fill="FFFFFF"/>
          <w:lang w:val="en-GB" w:eastAsia="en-US"/>
        </w:rPr>
        <w:t>not a friend</w:t>
      </w:r>
      <w:r w:rsidR="00956152">
        <w:rPr>
          <w:rFonts w:eastAsia="Times New Roman" w:cs="Times New Roman"/>
          <w:szCs w:val="20"/>
          <w:shd w:val="clear" w:color="auto" w:fill="FFFFFF"/>
          <w:lang w:val="en-GB" w:eastAsia="en-US"/>
        </w:rPr>
        <w:t xml:space="preserve"> of compatibilism any more than</w:t>
      </w:r>
      <w:r w:rsidR="00251B40">
        <w:rPr>
          <w:rFonts w:eastAsia="Times New Roman" w:cs="Times New Roman"/>
          <w:szCs w:val="20"/>
          <w:shd w:val="clear" w:color="auto" w:fill="FFFFFF"/>
          <w:lang w:val="en-GB" w:eastAsia="en-US"/>
        </w:rPr>
        <w:t xml:space="preserve"> he </w:t>
      </w:r>
      <w:r w:rsidR="00956152">
        <w:rPr>
          <w:rFonts w:eastAsia="Times New Roman" w:cs="Times New Roman"/>
          <w:szCs w:val="20"/>
          <w:shd w:val="clear" w:color="auto" w:fill="FFFFFF"/>
          <w:lang w:val="en-GB" w:eastAsia="en-US"/>
        </w:rPr>
        <w:t xml:space="preserve">is </w:t>
      </w:r>
      <w:r w:rsidR="00251B40">
        <w:rPr>
          <w:rFonts w:eastAsia="Times New Roman" w:cs="Times New Roman"/>
          <w:szCs w:val="20"/>
          <w:shd w:val="clear" w:color="auto" w:fill="FFFFFF"/>
          <w:lang w:val="en-GB" w:eastAsia="en-US"/>
        </w:rPr>
        <w:t xml:space="preserve">a friend </w:t>
      </w:r>
      <w:r>
        <w:rPr>
          <w:rFonts w:eastAsia="Times New Roman" w:cs="Times New Roman"/>
          <w:szCs w:val="20"/>
          <w:shd w:val="clear" w:color="auto" w:fill="FFFFFF"/>
          <w:lang w:val="en-GB" w:eastAsia="en-US"/>
        </w:rPr>
        <w:t>of Calvinism</w:t>
      </w:r>
      <w:r w:rsidR="00251B40">
        <w:rPr>
          <w:rFonts w:eastAsia="Times New Roman" w:cs="Times New Roman"/>
          <w:szCs w:val="20"/>
          <w:shd w:val="clear" w:color="auto" w:fill="FFFFFF"/>
          <w:lang w:val="en-GB" w:eastAsia="en-US"/>
        </w:rPr>
        <w:t>)</w:t>
      </w:r>
      <w:r>
        <w:rPr>
          <w:rFonts w:eastAsia="Times New Roman" w:cs="Times New Roman"/>
          <w:szCs w:val="20"/>
          <w:shd w:val="clear" w:color="auto" w:fill="FFFFFF"/>
          <w:lang w:val="en-GB" w:eastAsia="en-US"/>
        </w:rPr>
        <w:t xml:space="preserve"> has observed</w:t>
      </w:r>
      <w:r w:rsidR="00251B40">
        <w:rPr>
          <w:rFonts w:eastAsia="Times New Roman" w:cs="Times New Roman"/>
          <w:szCs w:val="20"/>
          <w:shd w:val="clear" w:color="auto" w:fill="FFFFFF"/>
          <w:lang w:val="en-GB" w:eastAsia="en-US"/>
        </w:rPr>
        <w:t>:</w:t>
      </w:r>
    </w:p>
    <w:p w14:paraId="17E6B755" w14:textId="77777777" w:rsidR="00956152" w:rsidRDefault="00956152" w:rsidP="00B47A1C">
      <w:pPr>
        <w:spacing w:line="360" w:lineRule="auto"/>
        <w:ind w:right="362"/>
        <w:jc w:val="both"/>
        <w:rPr>
          <w:rFonts w:eastAsia="Times New Roman" w:cs="Times New Roman"/>
          <w:szCs w:val="20"/>
          <w:shd w:val="clear" w:color="auto" w:fill="FFFFFF"/>
          <w:lang w:val="en-GB" w:eastAsia="en-US"/>
        </w:rPr>
      </w:pPr>
    </w:p>
    <w:p w14:paraId="3221AB7A" w14:textId="77777777" w:rsidR="00C43662" w:rsidRDefault="007F3641" w:rsidP="00251B40">
      <w:pPr>
        <w:spacing w:line="360" w:lineRule="auto"/>
        <w:ind w:left="709" w:right="503"/>
        <w:jc w:val="both"/>
        <w:rPr>
          <w:rFonts w:eastAsia="Times New Roman" w:cs="Times New Roman"/>
          <w:szCs w:val="20"/>
          <w:shd w:val="clear" w:color="auto" w:fill="FFFFFF"/>
          <w:lang w:val="en-GB" w:eastAsia="en-US"/>
        </w:rPr>
      </w:pPr>
      <w:r w:rsidRPr="00251B40">
        <w:rPr>
          <w:rFonts w:eastAsia="Times New Roman" w:cs="Times New Roman"/>
          <w:color w:val="000000"/>
          <w:szCs w:val="20"/>
          <w:shd w:val="clear" w:color="auto" w:fill="FFFFFF"/>
          <w:lang w:val="en-GB" w:eastAsia="en-US"/>
        </w:rPr>
        <w:t>Compatibilists, moreover, like Pharoah’s magicians, seem capable of duplicating in their own terms every power and abili</w:t>
      </w:r>
      <w:r w:rsidR="00365BBE">
        <w:rPr>
          <w:rFonts w:eastAsia="Times New Roman" w:cs="Times New Roman"/>
          <w:color w:val="000000"/>
          <w:szCs w:val="20"/>
          <w:shd w:val="clear" w:color="auto" w:fill="FFFFFF"/>
          <w:lang w:val="en-GB" w:eastAsia="en-US"/>
        </w:rPr>
        <w:t xml:space="preserve">ty that libertarians claim </w:t>
      </w:r>
      <w:r w:rsidRPr="00251B40">
        <w:rPr>
          <w:rFonts w:eastAsia="Times New Roman" w:cs="Times New Roman"/>
          <w:color w:val="000000"/>
          <w:szCs w:val="20"/>
          <w:shd w:val="clear" w:color="auto" w:fill="FFFFFF"/>
          <w:lang w:val="en-GB" w:eastAsia="en-US"/>
        </w:rPr>
        <w:t xml:space="preserve">their </w:t>
      </w:r>
      <w:r w:rsidR="00365BBE">
        <w:rPr>
          <w:rFonts w:eastAsia="Times New Roman" w:cs="Times New Roman"/>
          <w:color w:val="000000"/>
          <w:szCs w:val="20"/>
          <w:shd w:val="clear" w:color="auto" w:fill="FFFFFF"/>
          <w:lang w:val="en-GB" w:eastAsia="en-US"/>
        </w:rPr>
        <w:t xml:space="preserve">view </w:t>
      </w:r>
      <w:r w:rsidRPr="00251B40">
        <w:rPr>
          <w:rFonts w:eastAsia="Times New Roman" w:cs="Times New Roman"/>
          <w:color w:val="000000"/>
          <w:szCs w:val="20"/>
          <w:shd w:val="clear" w:color="auto" w:fill="FFFFFF"/>
          <w:lang w:val="en-GB" w:eastAsia="en-US"/>
        </w:rPr>
        <w:t xml:space="preserve">distinctively grants to agents. </w:t>
      </w:r>
      <w:r w:rsidR="00956152">
        <w:rPr>
          <w:rFonts w:eastAsia="Times New Roman" w:cs="Times New Roman"/>
          <w:color w:val="000000"/>
          <w:szCs w:val="20"/>
          <w:shd w:val="clear" w:color="auto" w:fill="FFFFFF"/>
          <w:lang w:val="en-GB" w:eastAsia="en-US"/>
        </w:rPr>
        <w:t>(</w:t>
      </w:r>
      <w:r w:rsidR="00956152" w:rsidRPr="00251B40">
        <w:rPr>
          <w:szCs w:val="20"/>
        </w:rPr>
        <w:t xml:space="preserve">Jerry </w:t>
      </w:r>
      <w:r w:rsidR="00956152" w:rsidRPr="00251B40">
        <w:rPr>
          <w:rFonts w:eastAsia="Times New Roman" w:cs="Times New Roman"/>
          <w:szCs w:val="20"/>
          <w:shd w:val="clear" w:color="auto" w:fill="FFFFFF"/>
          <w:lang w:val="en-GB" w:eastAsia="en-US"/>
        </w:rPr>
        <w:t xml:space="preserve">Walls ‘Why No Classical Theist, Let Alone Orthodox Christian, Should Ever Be a Compatibilist’, </w:t>
      </w:r>
      <w:r w:rsidR="00956152" w:rsidRPr="00251B40">
        <w:rPr>
          <w:rFonts w:eastAsia="Times New Roman" w:cs="Times New Roman"/>
          <w:i/>
          <w:szCs w:val="20"/>
          <w:shd w:val="clear" w:color="auto" w:fill="FFFFFF"/>
          <w:lang w:val="en-GB" w:eastAsia="en-US"/>
        </w:rPr>
        <w:t>PhilosophIa Christi</w:t>
      </w:r>
      <w:r w:rsidR="00956152" w:rsidRPr="00251B40">
        <w:rPr>
          <w:rFonts w:eastAsia="Times New Roman" w:cs="Times New Roman"/>
          <w:szCs w:val="20"/>
          <w:shd w:val="clear" w:color="auto" w:fill="FFFFFF"/>
          <w:lang w:val="en-GB" w:eastAsia="en-US"/>
        </w:rPr>
        <w:t>, 13, no.1 (2011)</w:t>
      </w:r>
      <w:r w:rsidR="00365BBE">
        <w:rPr>
          <w:rFonts w:eastAsia="Times New Roman" w:cs="Times New Roman"/>
          <w:szCs w:val="20"/>
          <w:shd w:val="clear" w:color="auto" w:fill="FFFFFF"/>
          <w:lang w:val="en-GB" w:eastAsia="en-US"/>
        </w:rPr>
        <w:t>, 75-104.</w:t>
      </w:r>
      <w:r w:rsidR="00956152" w:rsidRPr="00251B40">
        <w:rPr>
          <w:rFonts w:eastAsia="Times New Roman" w:cs="Times New Roman"/>
          <w:szCs w:val="20"/>
          <w:shd w:val="clear" w:color="auto" w:fill="FFFFFF"/>
          <w:lang w:val="en-GB" w:eastAsia="en-US"/>
        </w:rPr>
        <w:t xml:space="preserve"> On page 77 Walls cites Stewart Goetz</w:t>
      </w:r>
      <w:r w:rsidR="00365BBE">
        <w:rPr>
          <w:rFonts w:eastAsia="Times New Roman" w:cs="Times New Roman"/>
          <w:szCs w:val="20"/>
          <w:shd w:val="clear" w:color="auto" w:fill="FFFFFF"/>
          <w:lang w:val="en-GB" w:eastAsia="en-US"/>
        </w:rPr>
        <w:t xml:space="preserve"> with approval</w:t>
      </w:r>
      <w:r w:rsidR="00956152" w:rsidRPr="00251B40">
        <w:rPr>
          <w:rFonts w:eastAsia="Times New Roman" w:cs="Times New Roman"/>
          <w:szCs w:val="20"/>
          <w:shd w:val="clear" w:color="auto" w:fill="FFFFFF"/>
          <w:lang w:val="en-GB" w:eastAsia="en-US"/>
        </w:rPr>
        <w:t xml:space="preserve">, ‘Stump on Libertarianism and the Principle of Alternative Possibilities’ </w:t>
      </w:r>
      <w:r w:rsidR="00956152" w:rsidRPr="00251B40">
        <w:rPr>
          <w:rFonts w:eastAsia="Times New Roman" w:cs="Times New Roman"/>
          <w:i/>
          <w:szCs w:val="20"/>
          <w:shd w:val="clear" w:color="auto" w:fill="FFFFFF"/>
          <w:lang w:val="en-GB" w:eastAsia="en-US"/>
        </w:rPr>
        <w:t xml:space="preserve">Faith and Philosophy, </w:t>
      </w:r>
      <w:r w:rsidR="00956152" w:rsidRPr="00251B40">
        <w:rPr>
          <w:rFonts w:eastAsia="Times New Roman" w:cs="Times New Roman"/>
          <w:szCs w:val="20"/>
          <w:shd w:val="clear" w:color="auto" w:fill="FFFFFF"/>
          <w:lang w:val="en-GB" w:eastAsia="en-US"/>
        </w:rPr>
        <w:t>18 (2001) pp. 93-191.</w:t>
      </w:r>
      <w:r w:rsidR="00365BBE">
        <w:rPr>
          <w:rFonts w:eastAsia="Times New Roman" w:cs="Times New Roman"/>
          <w:szCs w:val="20"/>
          <w:shd w:val="clear" w:color="auto" w:fill="FFFFFF"/>
          <w:lang w:val="en-GB" w:eastAsia="en-US"/>
        </w:rPr>
        <w:t xml:space="preserve">) </w:t>
      </w:r>
    </w:p>
    <w:p w14:paraId="5CDB2494" w14:textId="77777777" w:rsidR="00C43662" w:rsidRDefault="00C43662" w:rsidP="00251B40">
      <w:pPr>
        <w:spacing w:line="360" w:lineRule="auto"/>
        <w:ind w:left="709" w:right="503"/>
        <w:jc w:val="both"/>
        <w:rPr>
          <w:rFonts w:eastAsia="Times New Roman" w:cs="Times New Roman"/>
          <w:szCs w:val="20"/>
          <w:shd w:val="clear" w:color="auto" w:fill="FFFFFF"/>
          <w:lang w:val="en-GB" w:eastAsia="en-US"/>
        </w:rPr>
      </w:pPr>
    </w:p>
    <w:p w14:paraId="3263389D" w14:textId="50BC24C3" w:rsidR="00303783" w:rsidRDefault="00956152" w:rsidP="00C43662">
      <w:pPr>
        <w:spacing w:line="360" w:lineRule="auto"/>
        <w:ind w:left="-142" w:right="503"/>
        <w:jc w:val="both"/>
        <w:rPr>
          <w:rFonts w:eastAsia="Times New Roman" w:cs="Times New Roman"/>
          <w:szCs w:val="20"/>
          <w:shd w:val="clear" w:color="auto" w:fill="FFFFFF"/>
          <w:lang w:val="en-GB" w:eastAsia="en-US"/>
        </w:rPr>
      </w:pPr>
      <w:r w:rsidRPr="00251B40">
        <w:rPr>
          <w:rFonts w:eastAsia="Times New Roman" w:cs="Times New Roman"/>
          <w:szCs w:val="20"/>
          <w:shd w:val="clear" w:color="auto" w:fill="FFFFFF"/>
          <w:lang w:val="en-GB" w:eastAsia="en-US"/>
        </w:rPr>
        <w:t xml:space="preserve">The presumption that libertarianism is </w:t>
      </w:r>
      <w:r>
        <w:rPr>
          <w:rFonts w:eastAsia="Times New Roman" w:cs="Times New Roman"/>
          <w:szCs w:val="20"/>
          <w:shd w:val="clear" w:color="auto" w:fill="FFFFFF"/>
          <w:lang w:val="en-GB" w:eastAsia="en-US"/>
        </w:rPr>
        <w:t xml:space="preserve">nevertheless </w:t>
      </w:r>
      <w:r w:rsidRPr="00251B40">
        <w:rPr>
          <w:rFonts w:eastAsia="Times New Roman" w:cs="Times New Roman"/>
          <w:szCs w:val="20"/>
          <w:shd w:val="clear" w:color="auto" w:fill="FFFFFF"/>
          <w:lang w:val="en-GB" w:eastAsia="en-US"/>
        </w:rPr>
        <w:t xml:space="preserve">the default position, so common in current philosophy of religion, is clearly visible here. Compatibilists are </w:t>
      </w:r>
      <w:r>
        <w:rPr>
          <w:rFonts w:eastAsia="Times New Roman" w:cs="Times New Roman"/>
          <w:szCs w:val="20"/>
          <w:shd w:val="clear" w:color="auto" w:fill="FFFFFF"/>
          <w:lang w:val="en-GB" w:eastAsia="en-US"/>
        </w:rPr>
        <w:t xml:space="preserve">said to be </w:t>
      </w:r>
      <w:r w:rsidRPr="00251B40">
        <w:rPr>
          <w:rFonts w:eastAsia="Times New Roman" w:cs="Times New Roman"/>
          <w:szCs w:val="20"/>
          <w:shd w:val="clear" w:color="auto" w:fill="FFFFFF"/>
          <w:lang w:val="en-GB" w:eastAsia="en-US"/>
        </w:rPr>
        <w:t xml:space="preserve">like </w:t>
      </w:r>
      <w:r>
        <w:rPr>
          <w:rFonts w:eastAsia="Times New Roman" w:cs="Times New Roman"/>
          <w:szCs w:val="20"/>
          <w:shd w:val="clear" w:color="auto" w:fill="FFFFFF"/>
          <w:lang w:val="en-GB" w:eastAsia="en-US"/>
        </w:rPr>
        <w:t xml:space="preserve">hard-hearted </w:t>
      </w:r>
      <w:r w:rsidRPr="00251B40">
        <w:rPr>
          <w:rFonts w:eastAsia="Times New Roman" w:cs="Times New Roman"/>
          <w:szCs w:val="20"/>
          <w:shd w:val="clear" w:color="auto" w:fill="FFFFFF"/>
          <w:lang w:val="en-GB" w:eastAsia="en-US"/>
        </w:rPr>
        <w:t>Pharoah’s magicians, not the friends of the people of God, wh</w:t>
      </w:r>
      <w:r w:rsidR="00365BBE">
        <w:rPr>
          <w:rFonts w:eastAsia="Times New Roman" w:cs="Times New Roman"/>
          <w:szCs w:val="20"/>
          <w:shd w:val="clear" w:color="auto" w:fill="FFFFFF"/>
          <w:lang w:val="en-GB" w:eastAsia="en-US"/>
        </w:rPr>
        <w:t>ile indeterminists are like God-fearing Moses, presumably.</w:t>
      </w:r>
    </w:p>
    <w:p w14:paraId="39B60B92" w14:textId="77777777" w:rsidR="00956152" w:rsidRDefault="00956152" w:rsidP="00251B40">
      <w:pPr>
        <w:spacing w:line="360" w:lineRule="auto"/>
        <w:ind w:left="709" w:right="503"/>
        <w:jc w:val="both"/>
        <w:rPr>
          <w:rFonts w:eastAsia="Times New Roman" w:cs="Times New Roman"/>
          <w:color w:val="000000"/>
          <w:szCs w:val="20"/>
          <w:shd w:val="clear" w:color="auto" w:fill="FFFFFF"/>
          <w:lang w:val="en-GB" w:eastAsia="en-US"/>
        </w:rPr>
      </w:pPr>
    </w:p>
    <w:p w14:paraId="7F38EE07" w14:textId="0B7F9CFB" w:rsidR="00251B40" w:rsidRDefault="00956152" w:rsidP="00251B40">
      <w:pPr>
        <w:spacing w:line="360" w:lineRule="auto"/>
        <w:ind w:right="503"/>
        <w:jc w:val="both"/>
        <w:rPr>
          <w:rFonts w:eastAsia="Times New Roman" w:cs="Times New Roman"/>
          <w:color w:val="000000"/>
          <w:szCs w:val="20"/>
          <w:shd w:val="clear" w:color="auto" w:fill="FFFFFF"/>
          <w:lang w:val="en-GB" w:eastAsia="en-US"/>
        </w:rPr>
      </w:pPr>
      <w:r>
        <w:rPr>
          <w:rFonts w:eastAsia="Times New Roman" w:cs="Times New Roman"/>
          <w:color w:val="000000"/>
          <w:szCs w:val="20"/>
          <w:shd w:val="clear" w:color="auto" w:fill="FFFFFF"/>
          <w:lang w:val="en-GB" w:eastAsia="en-US"/>
        </w:rPr>
        <w:t>I agree with Walls. Another way of putting this is to say that libertarians cannot give an example of libertarian choice without falling into compatibilism.</w:t>
      </w:r>
    </w:p>
    <w:p w14:paraId="761DB875" w14:textId="77777777" w:rsidR="00303783" w:rsidRDefault="00303783" w:rsidP="00251B40">
      <w:pPr>
        <w:spacing w:line="360" w:lineRule="auto"/>
        <w:ind w:right="503"/>
        <w:jc w:val="both"/>
        <w:rPr>
          <w:rFonts w:eastAsia="Times New Roman" w:cs="Times New Roman"/>
          <w:color w:val="000000"/>
          <w:szCs w:val="20"/>
          <w:shd w:val="clear" w:color="auto" w:fill="FFFFFF"/>
          <w:lang w:val="en-GB" w:eastAsia="en-US"/>
        </w:rPr>
      </w:pPr>
    </w:p>
    <w:p w14:paraId="6D3A5A8F" w14:textId="21262180" w:rsidR="00303783" w:rsidRDefault="00303783" w:rsidP="00251B40">
      <w:pPr>
        <w:spacing w:line="360" w:lineRule="auto"/>
        <w:ind w:right="503"/>
        <w:jc w:val="both"/>
        <w:rPr>
          <w:rFonts w:eastAsia="Times New Roman" w:cs="Times New Roman"/>
          <w:color w:val="000000"/>
          <w:szCs w:val="20"/>
          <w:shd w:val="clear" w:color="auto" w:fill="FFFFFF"/>
          <w:lang w:val="en-GB" w:eastAsia="en-US"/>
        </w:rPr>
      </w:pPr>
      <w:r>
        <w:rPr>
          <w:rFonts w:eastAsia="Times New Roman" w:cs="Times New Roman"/>
          <w:color w:val="000000"/>
          <w:szCs w:val="20"/>
          <w:shd w:val="clear" w:color="auto" w:fill="FFFFFF"/>
          <w:lang w:val="en-GB" w:eastAsia="en-US"/>
        </w:rPr>
        <w:t xml:space="preserve">The argument for libertarianism is supported by the claim that only absolute alternativity can provide a sufficiently strong notion of contingency. </w:t>
      </w:r>
    </w:p>
    <w:p w14:paraId="03A42A26" w14:textId="77777777" w:rsidR="00303783" w:rsidRDefault="00303783" w:rsidP="00251B40">
      <w:pPr>
        <w:spacing w:line="360" w:lineRule="auto"/>
        <w:ind w:right="503"/>
        <w:jc w:val="both"/>
        <w:rPr>
          <w:rFonts w:eastAsia="Times New Roman" w:cs="Times New Roman"/>
          <w:color w:val="000000"/>
          <w:szCs w:val="20"/>
          <w:shd w:val="clear" w:color="auto" w:fill="FFFFFF"/>
          <w:lang w:val="en-GB" w:eastAsia="en-US"/>
        </w:rPr>
      </w:pPr>
    </w:p>
    <w:p w14:paraId="3D20C0CB" w14:textId="222B2148" w:rsidR="00303783" w:rsidRPr="00303783" w:rsidRDefault="00303783" w:rsidP="00303783">
      <w:pPr>
        <w:spacing w:line="360" w:lineRule="auto"/>
        <w:jc w:val="both"/>
        <w:rPr>
          <w:szCs w:val="20"/>
        </w:rPr>
      </w:pPr>
      <w:r w:rsidRPr="00303783">
        <w:rPr>
          <w:szCs w:val="20"/>
        </w:rPr>
        <w:t xml:space="preserve">Human actions may have these properties too, the property of being brought about by unforeseen factors and so of being capable of surprising us. </w:t>
      </w:r>
      <w:r>
        <w:rPr>
          <w:szCs w:val="20"/>
        </w:rPr>
        <w:t>S</w:t>
      </w:r>
      <w:r w:rsidRPr="00303783">
        <w:rPr>
          <w:szCs w:val="20"/>
        </w:rPr>
        <w:t>uch ‘contingency’, hiddenness, is necessary for the contemplation and execution of human decisions to a</w:t>
      </w:r>
      <w:r>
        <w:rPr>
          <w:szCs w:val="20"/>
        </w:rPr>
        <w:t>ct. If the action is to be spont</w:t>
      </w:r>
      <w:r w:rsidRPr="00303783">
        <w:rPr>
          <w:szCs w:val="20"/>
        </w:rPr>
        <w:t xml:space="preserve">aneous, free from external coercion, as compatibilists affirm, </w:t>
      </w:r>
      <w:r w:rsidRPr="00303783">
        <w:rPr>
          <w:szCs w:val="20"/>
          <w:highlight w:val="yellow"/>
        </w:rPr>
        <w:t>then</w:t>
      </w:r>
      <w:r w:rsidRPr="00303783">
        <w:rPr>
          <w:szCs w:val="20"/>
        </w:rPr>
        <w:t xml:space="preserve"> </w:t>
      </w:r>
      <w:r w:rsidRPr="00303783">
        <w:rPr>
          <w:szCs w:val="20"/>
          <w:highlight w:val="yellow"/>
        </w:rPr>
        <w:t>if</w:t>
      </w:r>
      <w:r w:rsidRPr="00303783">
        <w:rPr>
          <w:szCs w:val="20"/>
        </w:rPr>
        <w:t xml:space="preserve"> it is deliberated then it must be undertaken in the presence of a veil of ignorance as to what a person will decide to do at that point.</w:t>
      </w:r>
    </w:p>
    <w:p w14:paraId="0495421F" w14:textId="77777777" w:rsidR="00303783" w:rsidRDefault="00303783" w:rsidP="00303783">
      <w:pPr>
        <w:spacing w:line="360" w:lineRule="auto"/>
        <w:jc w:val="both"/>
        <w:rPr>
          <w:szCs w:val="20"/>
        </w:rPr>
      </w:pPr>
    </w:p>
    <w:p w14:paraId="378022FB" w14:textId="7DC8348F" w:rsidR="00303783" w:rsidRPr="00303783" w:rsidRDefault="00303783" w:rsidP="00303783">
      <w:pPr>
        <w:spacing w:line="360" w:lineRule="auto"/>
        <w:jc w:val="both"/>
        <w:rPr>
          <w:szCs w:val="20"/>
        </w:rPr>
      </w:pPr>
      <w:r w:rsidRPr="00303783">
        <w:rPr>
          <w:szCs w:val="20"/>
        </w:rPr>
        <w:t xml:space="preserve">In such a case the individual’s ignorance may not only be a feature of a person’s lack of knowledge only of </w:t>
      </w:r>
      <w:r w:rsidRPr="00303783">
        <w:rPr>
          <w:i/>
          <w:szCs w:val="20"/>
        </w:rPr>
        <w:t>others’</w:t>
      </w:r>
      <w:r w:rsidRPr="00303783">
        <w:rPr>
          <w:szCs w:val="20"/>
        </w:rPr>
        <w:t xml:space="preserve"> actions, but someone will encounter such a lack of knowledge regarding </w:t>
      </w:r>
      <w:r w:rsidRPr="00303783">
        <w:rPr>
          <w:i/>
          <w:szCs w:val="20"/>
        </w:rPr>
        <w:t>his own</w:t>
      </w:r>
      <w:r w:rsidRPr="00303783">
        <w:rPr>
          <w:szCs w:val="20"/>
        </w:rPr>
        <w:t xml:space="preserve"> actions. We are frequently unable to tell for sure how we are going to make up our minds. Until we do so, we do not know what we will do until the point of choice. Some way off that point the decision may, as far as we are concerned, go either way; it may be a choice of A if at that point there’s a predominating reason for A, or a choice of B if it is preferred. It is not until we have finally and irrevocably made up our minds that we ourselves can be said to </w:t>
      </w:r>
      <w:r w:rsidRPr="00303783">
        <w:rPr>
          <w:i/>
          <w:szCs w:val="20"/>
        </w:rPr>
        <w:t>know</w:t>
      </w:r>
      <w:r w:rsidRPr="00303783">
        <w:rPr>
          <w:szCs w:val="20"/>
        </w:rPr>
        <w:t xml:space="preserve"> what we have decided to do; and the decision may be surprising to us. Even actions that we ourselves may consider doing, and do, may be like this too. So Joe may decide to wear his new tie this morning, and be rather surprised by his decision.</w:t>
      </w:r>
    </w:p>
    <w:p w14:paraId="121651A2" w14:textId="77777777" w:rsidR="00303783" w:rsidRPr="00303783" w:rsidRDefault="00303783" w:rsidP="00303783">
      <w:pPr>
        <w:spacing w:line="360" w:lineRule="auto"/>
        <w:jc w:val="both"/>
        <w:rPr>
          <w:szCs w:val="20"/>
        </w:rPr>
      </w:pPr>
    </w:p>
    <w:p w14:paraId="7D465C3C" w14:textId="77777777" w:rsidR="00303783" w:rsidRPr="00303783" w:rsidRDefault="00303783" w:rsidP="00303783">
      <w:pPr>
        <w:spacing w:line="360" w:lineRule="auto"/>
        <w:jc w:val="both"/>
        <w:rPr>
          <w:szCs w:val="20"/>
        </w:rPr>
      </w:pPr>
      <w:r w:rsidRPr="00303783">
        <w:rPr>
          <w:szCs w:val="20"/>
        </w:rPr>
        <w:t>As we engage in new deliberations and new choices there are new indeterminacies until these choices have been made, and our minds are irrevocably made up.  As we have suggested, the choices made may surprise us, even if they are our own choices, and we have a sufficient reason for them. The epistemic openness of compatibilism throws light on the intelligibility and freedom of the agent’s action, and distinguishes the determinism  of compatibilism from that of fatalism and of course of openness, even if there is no detectable difference in practice between logical indeterminacy and epistemic openness.</w:t>
      </w:r>
    </w:p>
    <w:p w14:paraId="0F4D6655" w14:textId="77777777" w:rsidR="00303783" w:rsidRPr="00303783" w:rsidRDefault="00303783" w:rsidP="00303783">
      <w:pPr>
        <w:spacing w:line="360" w:lineRule="auto"/>
        <w:jc w:val="both"/>
        <w:rPr>
          <w:szCs w:val="20"/>
        </w:rPr>
      </w:pPr>
    </w:p>
    <w:p w14:paraId="7B6A41F8" w14:textId="4BE6ACDC" w:rsidR="00303783" w:rsidRDefault="00303783" w:rsidP="00303783">
      <w:pPr>
        <w:spacing w:line="360" w:lineRule="auto"/>
        <w:jc w:val="both"/>
        <w:rPr>
          <w:szCs w:val="20"/>
        </w:rPr>
      </w:pPr>
      <w:r>
        <w:rPr>
          <w:szCs w:val="20"/>
        </w:rPr>
        <w:t>The decree of God and human agency</w:t>
      </w:r>
    </w:p>
    <w:p w14:paraId="6D164F97" w14:textId="77777777" w:rsidR="00303783" w:rsidRPr="00303783" w:rsidRDefault="00303783" w:rsidP="00303783">
      <w:pPr>
        <w:spacing w:line="360" w:lineRule="auto"/>
        <w:jc w:val="both"/>
        <w:rPr>
          <w:szCs w:val="20"/>
          <w:highlight w:val="yellow"/>
        </w:rPr>
      </w:pPr>
    </w:p>
    <w:p w14:paraId="3671C772" w14:textId="77777777" w:rsidR="00303783" w:rsidRPr="00303783" w:rsidRDefault="00303783" w:rsidP="00303783">
      <w:pPr>
        <w:spacing w:line="360" w:lineRule="auto"/>
        <w:jc w:val="both"/>
        <w:rPr>
          <w:szCs w:val="20"/>
        </w:rPr>
      </w:pPr>
      <w:r w:rsidRPr="00303783">
        <w:rPr>
          <w:szCs w:val="20"/>
        </w:rPr>
        <w:t xml:space="preserve">The operation of a divine decree such as Calvinists maintain does not take away such powers of choice with respect to creaturely causes, because the decreer also decrees that the end should come about by the person making his mind up for himself in a state of ignorance as to what his choice may turn out to be. </w:t>
      </w:r>
    </w:p>
    <w:p w14:paraId="45FD4019" w14:textId="77777777" w:rsidR="00303783" w:rsidRPr="00303783" w:rsidRDefault="00303783" w:rsidP="00303783">
      <w:pPr>
        <w:spacing w:line="360" w:lineRule="auto"/>
        <w:jc w:val="both"/>
        <w:rPr>
          <w:szCs w:val="20"/>
        </w:rPr>
      </w:pPr>
    </w:p>
    <w:p w14:paraId="1F90D733" w14:textId="77777777" w:rsidR="00303783" w:rsidRPr="00303783" w:rsidRDefault="00303783" w:rsidP="00303783">
      <w:pPr>
        <w:spacing w:line="360" w:lineRule="auto"/>
        <w:jc w:val="both"/>
        <w:rPr>
          <w:szCs w:val="20"/>
        </w:rPr>
      </w:pPr>
      <w:r w:rsidRPr="00303783">
        <w:rPr>
          <w:szCs w:val="20"/>
        </w:rPr>
        <w:t xml:space="preserve"> It may surprise some than no less authentic a Calvinist than John Calvin himself says this:</w:t>
      </w:r>
    </w:p>
    <w:p w14:paraId="129C8A62" w14:textId="77777777" w:rsidR="00303783" w:rsidRPr="00303783" w:rsidRDefault="00303783" w:rsidP="00303783">
      <w:pPr>
        <w:spacing w:line="360" w:lineRule="auto"/>
        <w:jc w:val="both"/>
        <w:rPr>
          <w:szCs w:val="20"/>
        </w:rPr>
      </w:pPr>
    </w:p>
    <w:p w14:paraId="1A7596B0" w14:textId="77777777" w:rsidR="00303783" w:rsidRPr="00303783" w:rsidRDefault="00303783" w:rsidP="00303783">
      <w:pPr>
        <w:spacing w:line="360" w:lineRule="auto"/>
        <w:ind w:left="567" w:right="362"/>
        <w:jc w:val="both"/>
        <w:rPr>
          <w:szCs w:val="20"/>
        </w:rPr>
      </w:pPr>
      <w:r w:rsidRPr="00303783">
        <w:rPr>
          <w:szCs w:val="20"/>
        </w:rPr>
        <w:t>Hence as to future time, because the issue of all things is hidden from us, each ought to so apply himself to his office, as though nothing were determined about any part.</w:t>
      </w:r>
      <w:r w:rsidRPr="00303783">
        <w:rPr>
          <w:rStyle w:val="FootnoteReference"/>
          <w:szCs w:val="20"/>
        </w:rPr>
        <w:footnoteReference w:id="1"/>
      </w:r>
      <w:r w:rsidRPr="00303783">
        <w:rPr>
          <w:szCs w:val="20"/>
        </w:rPr>
        <w:t xml:space="preserve"> </w:t>
      </w:r>
    </w:p>
    <w:p w14:paraId="2C22A38C" w14:textId="77777777" w:rsidR="00303783" w:rsidRPr="00303783" w:rsidRDefault="00303783" w:rsidP="00303783">
      <w:pPr>
        <w:spacing w:line="360" w:lineRule="auto"/>
        <w:jc w:val="both"/>
        <w:rPr>
          <w:szCs w:val="20"/>
        </w:rPr>
      </w:pPr>
    </w:p>
    <w:p w14:paraId="47E901E2" w14:textId="0D1A5A48" w:rsidR="00303783" w:rsidRDefault="00303783" w:rsidP="00303783">
      <w:pPr>
        <w:spacing w:line="360" w:lineRule="auto"/>
        <w:jc w:val="both"/>
        <w:rPr>
          <w:szCs w:val="20"/>
        </w:rPr>
      </w:pPr>
      <w:r w:rsidRPr="00303783">
        <w:rPr>
          <w:szCs w:val="20"/>
        </w:rPr>
        <w:t xml:space="preserve">The basic idea here is that the divine decree does not smother or collapse or override the distinction between causes that are forced and causes that are </w:t>
      </w:r>
      <w:r w:rsidR="00810294">
        <w:rPr>
          <w:szCs w:val="20"/>
        </w:rPr>
        <w:t xml:space="preserve">ingredients in </w:t>
      </w:r>
      <w:r w:rsidRPr="00303783">
        <w:rPr>
          <w:szCs w:val="20"/>
        </w:rPr>
        <w:t>free choices. So that while all things that are decreed are necessitated by the decree, for the agent they involve the r</w:t>
      </w:r>
      <w:r w:rsidR="00810294">
        <w:rPr>
          <w:szCs w:val="20"/>
        </w:rPr>
        <w:t xml:space="preserve">esolving of a state of personal </w:t>
      </w:r>
      <w:r w:rsidRPr="00303783">
        <w:rPr>
          <w:szCs w:val="20"/>
        </w:rPr>
        <w:t>indecision.</w:t>
      </w:r>
    </w:p>
    <w:p w14:paraId="47063ADF" w14:textId="77777777" w:rsidR="00810294" w:rsidRDefault="00810294" w:rsidP="00303783">
      <w:pPr>
        <w:spacing w:line="360" w:lineRule="auto"/>
        <w:jc w:val="both"/>
        <w:rPr>
          <w:szCs w:val="20"/>
        </w:rPr>
      </w:pPr>
    </w:p>
    <w:p w14:paraId="550D5820" w14:textId="42BDD95C" w:rsidR="00810294" w:rsidRPr="00303783" w:rsidRDefault="00810294" w:rsidP="00303783">
      <w:pPr>
        <w:spacing w:line="360" w:lineRule="auto"/>
        <w:jc w:val="both"/>
        <w:rPr>
          <w:szCs w:val="20"/>
        </w:rPr>
      </w:pPr>
      <w:r>
        <w:rPr>
          <w:szCs w:val="20"/>
        </w:rPr>
        <w:t xml:space="preserve">This is part of the story why the phenomena of choice  cannot distinguish the libertarianism from compatibilist. </w:t>
      </w:r>
    </w:p>
    <w:p w14:paraId="50FA14A4" w14:textId="77777777" w:rsidR="00303783" w:rsidRDefault="00303783" w:rsidP="00303783">
      <w:pPr>
        <w:spacing w:line="360" w:lineRule="auto"/>
        <w:jc w:val="both"/>
        <w:rPr>
          <w:sz w:val="24"/>
        </w:rPr>
      </w:pPr>
    </w:p>
    <w:p w14:paraId="4BF1B48B" w14:textId="77777777" w:rsidR="00303783" w:rsidRPr="00251B40" w:rsidRDefault="00303783" w:rsidP="00251B40">
      <w:pPr>
        <w:spacing w:line="360" w:lineRule="auto"/>
        <w:ind w:right="503"/>
        <w:jc w:val="both"/>
        <w:rPr>
          <w:rFonts w:eastAsia="Times New Roman" w:cs="Times New Roman"/>
          <w:color w:val="000000"/>
          <w:szCs w:val="20"/>
          <w:shd w:val="clear" w:color="auto" w:fill="FFFFFF"/>
          <w:lang w:val="en-GB" w:eastAsia="en-US"/>
        </w:rPr>
      </w:pPr>
    </w:p>
    <w:p w14:paraId="1827A579" w14:textId="77777777" w:rsidR="007F3641" w:rsidRPr="00B47A1C" w:rsidRDefault="007F3641" w:rsidP="00B47A1C">
      <w:pPr>
        <w:spacing w:line="360" w:lineRule="auto"/>
        <w:ind w:right="362"/>
        <w:jc w:val="both"/>
        <w:rPr>
          <w:rFonts w:eastAsia="Times New Roman" w:cs="Times New Roman"/>
          <w:szCs w:val="20"/>
          <w:shd w:val="clear" w:color="auto" w:fill="FFFFFF"/>
          <w:lang w:val="en-GB" w:eastAsia="en-US"/>
        </w:rPr>
      </w:pPr>
    </w:p>
    <w:p w14:paraId="4403C2B0" w14:textId="77777777" w:rsidR="00B47A1C" w:rsidRPr="00B47A1C" w:rsidRDefault="00B47A1C" w:rsidP="00B47A1C">
      <w:pPr>
        <w:spacing w:line="360" w:lineRule="auto"/>
        <w:ind w:right="362" w:hanging="567"/>
        <w:jc w:val="both"/>
        <w:rPr>
          <w:rFonts w:eastAsia="Times New Roman" w:cs="Times New Roman"/>
          <w:color w:val="000000"/>
          <w:szCs w:val="20"/>
          <w:shd w:val="clear" w:color="auto" w:fill="FFFFFF"/>
          <w:lang w:val="en-GB" w:eastAsia="en-US"/>
        </w:rPr>
      </w:pPr>
    </w:p>
    <w:p w14:paraId="5F50A876" w14:textId="77777777" w:rsidR="00B47A1C" w:rsidRPr="00B47A1C" w:rsidRDefault="00B47A1C" w:rsidP="00B47A1C">
      <w:pPr>
        <w:spacing w:line="360" w:lineRule="auto"/>
        <w:ind w:right="362" w:hanging="567"/>
        <w:jc w:val="both"/>
        <w:rPr>
          <w:rFonts w:eastAsia="Times New Roman" w:cs="Times New Roman"/>
          <w:color w:val="000000"/>
          <w:szCs w:val="20"/>
          <w:shd w:val="clear" w:color="auto" w:fill="FFFFFF"/>
          <w:lang w:val="en-GB" w:eastAsia="en-US"/>
        </w:rPr>
      </w:pPr>
    </w:p>
    <w:p w14:paraId="345B9E7E" w14:textId="77777777" w:rsidR="00B47A1C" w:rsidRPr="00B47A1C" w:rsidRDefault="00B47A1C" w:rsidP="00B47A1C">
      <w:pPr>
        <w:spacing w:line="360" w:lineRule="auto"/>
        <w:ind w:hanging="567"/>
        <w:jc w:val="both"/>
        <w:rPr>
          <w:szCs w:val="20"/>
        </w:rPr>
      </w:pPr>
    </w:p>
    <w:sectPr w:rsidR="00B47A1C" w:rsidRPr="00B47A1C" w:rsidSect="00955682">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BEF5B" w14:textId="77777777" w:rsidR="00CD2AC6" w:rsidRDefault="00CD2AC6" w:rsidP="00B47A1C">
      <w:r>
        <w:separator/>
      </w:r>
    </w:p>
  </w:endnote>
  <w:endnote w:type="continuationSeparator" w:id="0">
    <w:p w14:paraId="31DF312E" w14:textId="77777777" w:rsidR="00CD2AC6" w:rsidRDefault="00CD2AC6" w:rsidP="00B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7D66B" w14:textId="77777777" w:rsidR="00CD2AC6" w:rsidRDefault="00CD2AC6" w:rsidP="005A5E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9BD68" w14:textId="77777777" w:rsidR="00CD2AC6" w:rsidRDefault="00CD2A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85E5" w14:textId="77777777" w:rsidR="00CD2AC6" w:rsidRDefault="00CD2AC6" w:rsidP="005A5E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662">
      <w:rPr>
        <w:rStyle w:val="PageNumber"/>
        <w:noProof/>
      </w:rPr>
      <w:t>1</w:t>
    </w:r>
    <w:r>
      <w:rPr>
        <w:rStyle w:val="PageNumber"/>
      </w:rPr>
      <w:fldChar w:fldCharType="end"/>
    </w:r>
  </w:p>
  <w:p w14:paraId="05098CD1" w14:textId="77777777" w:rsidR="00CD2AC6" w:rsidRDefault="00CD2A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C29A1" w14:textId="77777777" w:rsidR="00CD2AC6" w:rsidRDefault="00CD2AC6" w:rsidP="00B47A1C">
      <w:r>
        <w:separator/>
      </w:r>
    </w:p>
  </w:footnote>
  <w:footnote w:type="continuationSeparator" w:id="0">
    <w:p w14:paraId="050D1C73" w14:textId="77777777" w:rsidR="00CD2AC6" w:rsidRDefault="00CD2AC6" w:rsidP="00B47A1C">
      <w:r>
        <w:continuationSeparator/>
      </w:r>
    </w:p>
  </w:footnote>
  <w:footnote w:id="1">
    <w:p w14:paraId="275A4389" w14:textId="77777777" w:rsidR="00CD2AC6" w:rsidRDefault="00CD2AC6" w:rsidP="00303783">
      <w:pPr>
        <w:pStyle w:val="FootnoteText"/>
        <w:spacing w:line="360" w:lineRule="auto"/>
        <w:jc w:val="both"/>
      </w:pPr>
      <w:r>
        <w:rPr>
          <w:rStyle w:val="FootnoteReference"/>
        </w:rPr>
        <w:footnoteRef/>
      </w:r>
      <w:r>
        <w:t xml:space="preserve">  John Calvin, </w:t>
      </w:r>
      <w:r w:rsidRPr="009A0F31">
        <w:rPr>
          <w:i/>
        </w:rPr>
        <w:t>Concerning the Eternal Predestination of God</w:t>
      </w:r>
      <w:r>
        <w:t xml:space="preserve">, (1552) </w:t>
      </w:r>
      <w:bookmarkStart w:id="0" w:name="_GoBack"/>
      <w:bookmarkEnd w:id="0"/>
      <w:r>
        <w:t>trans. J.K.S. Reid, (London, James Clarke &amp; Co. 1961,  171)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1C"/>
    <w:rsid w:val="00251B40"/>
    <w:rsid w:val="00303783"/>
    <w:rsid w:val="00365BBE"/>
    <w:rsid w:val="00554A33"/>
    <w:rsid w:val="005A5EC6"/>
    <w:rsid w:val="007C3B07"/>
    <w:rsid w:val="007F3641"/>
    <w:rsid w:val="00810294"/>
    <w:rsid w:val="008D707B"/>
    <w:rsid w:val="00955682"/>
    <w:rsid w:val="00956152"/>
    <w:rsid w:val="00AA66CD"/>
    <w:rsid w:val="00B4078D"/>
    <w:rsid w:val="00B47A1C"/>
    <w:rsid w:val="00C43662"/>
    <w:rsid w:val="00CD2AC6"/>
    <w:rsid w:val="00EC6A3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916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33"/>
    <w:rPr>
      <w:rFonts w:ascii="Geneva" w:hAnsi="Genev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47A1C"/>
    <w:rPr>
      <w:sz w:val="24"/>
    </w:rPr>
  </w:style>
  <w:style w:type="character" w:customStyle="1" w:styleId="FootnoteTextChar">
    <w:name w:val="Footnote Text Char"/>
    <w:basedOn w:val="DefaultParagraphFont"/>
    <w:link w:val="FootnoteText"/>
    <w:rsid w:val="00B47A1C"/>
    <w:rPr>
      <w:rFonts w:ascii="Geneva" w:hAnsi="Geneva"/>
      <w:sz w:val="24"/>
      <w:szCs w:val="24"/>
    </w:rPr>
  </w:style>
  <w:style w:type="character" w:styleId="FootnoteReference">
    <w:name w:val="footnote reference"/>
    <w:basedOn w:val="DefaultParagraphFont"/>
    <w:unhideWhenUsed/>
    <w:rsid w:val="00B47A1C"/>
    <w:rPr>
      <w:vertAlign w:val="superscript"/>
    </w:rPr>
  </w:style>
  <w:style w:type="paragraph" w:styleId="Footer">
    <w:name w:val="footer"/>
    <w:basedOn w:val="Normal"/>
    <w:link w:val="FooterChar"/>
    <w:uiPriority w:val="99"/>
    <w:unhideWhenUsed/>
    <w:rsid w:val="005A5EC6"/>
    <w:pPr>
      <w:tabs>
        <w:tab w:val="center" w:pos="4320"/>
        <w:tab w:val="right" w:pos="8640"/>
      </w:tabs>
    </w:pPr>
  </w:style>
  <w:style w:type="character" w:customStyle="1" w:styleId="FooterChar">
    <w:name w:val="Footer Char"/>
    <w:basedOn w:val="DefaultParagraphFont"/>
    <w:link w:val="Footer"/>
    <w:uiPriority w:val="99"/>
    <w:rsid w:val="005A5EC6"/>
    <w:rPr>
      <w:rFonts w:ascii="Geneva" w:hAnsi="Geneva"/>
      <w:szCs w:val="24"/>
    </w:rPr>
  </w:style>
  <w:style w:type="character" w:styleId="PageNumber">
    <w:name w:val="page number"/>
    <w:basedOn w:val="DefaultParagraphFont"/>
    <w:uiPriority w:val="99"/>
    <w:semiHidden/>
    <w:unhideWhenUsed/>
    <w:rsid w:val="005A5E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A33"/>
    <w:rPr>
      <w:rFonts w:ascii="Geneva" w:hAnsi="Genev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47A1C"/>
    <w:rPr>
      <w:sz w:val="24"/>
    </w:rPr>
  </w:style>
  <w:style w:type="character" w:customStyle="1" w:styleId="FootnoteTextChar">
    <w:name w:val="Footnote Text Char"/>
    <w:basedOn w:val="DefaultParagraphFont"/>
    <w:link w:val="FootnoteText"/>
    <w:rsid w:val="00B47A1C"/>
    <w:rPr>
      <w:rFonts w:ascii="Geneva" w:hAnsi="Geneva"/>
      <w:sz w:val="24"/>
      <w:szCs w:val="24"/>
    </w:rPr>
  </w:style>
  <w:style w:type="character" w:styleId="FootnoteReference">
    <w:name w:val="footnote reference"/>
    <w:basedOn w:val="DefaultParagraphFont"/>
    <w:unhideWhenUsed/>
    <w:rsid w:val="00B47A1C"/>
    <w:rPr>
      <w:vertAlign w:val="superscript"/>
    </w:rPr>
  </w:style>
  <w:style w:type="paragraph" w:styleId="Footer">
    <w:name w:val="footer"/>
    <w:basedOn w:val="Normal"/>
    <w:link w:val="FooterChar"/>
    <w:uiPriority w:val="99"/>
    <w:unhideWhenUsed/>
    <w:rsid w:val="005A5EC6"/>
    <w:pPr>
      <w:tabs>
        <w:tab w:val="center" w:pos="4320"/>
        <w:tab w:val="right" w:pos="8640"/>
      </w:tabs>
    </w:pPr>
  </w:style>
  <w:style w:type="character" w:customStyle="1" w:styleId="FooterChar">
    <w:name w:val="Footer Char"/>
    <w:basedOn w:val="DefaultParagraphFont"/>
    <w:link w:val="Footer"/>
    <w:uiPriority w:val="99"/>
    <w:rsid w:val="005A5EC6"/>
    <w:rPr>
      <w:rFonts w:ascii="Geneva" w:hAnsi="Geneva"/>
      <w:szCs w:val="24"/>
    </w:rPr>
  </w:style>
  <w:style w:type="character" w:styleId="PageNumber">
    <w:name w:val="page number"/>
    <w:basedOn w:val="DefaultParagraphFont"/>
    <w:uiPriority w:val="99"/>
    <w:semiHidden/>
    <w:unhideWhenUsed/>
    <w:rsid w:val="005A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1200</Words>
  <Characters>6842</Characters>
  <Application>Microsoft Macintosh Word</Application>
  <DocSecurity>0</DocSecurity>
  <Lines>57</Lines>
  <Paragraphs>16</Paragraphs>
  <ScaleCrop>false</ScaleCrop>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5</cp:revision>
  <dcterms:created xsi:type="dcterms:W3CDTF">2015-09-04T04:38:00Z</dcterms:created>
  <dcterms:modified xsi:type="dcterms:W3CDTF">2016-01-17T03:56:00Z</dcterms:modified>
</cp:coreProperties>
</file>