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98394" w14:textId="1365DA44" w:rsidR="00E709E3" w:rsidRPr="0096780D" w:rsidRDefault="00025457" w:rsidP="00E709E3">
      <w:pPr>
        <w:pStyle w:val="Standard"/>
        <w:spacing w:line="240" w:lineRule="auto"/>
        <w:jc w:val="center"/>
        <w:rPr>
          <w:snapToGrid w:val="0"/>
          <w:sz w:val="28"/>
          <w:szCs w:val="28"/>
        </w:rPr>
      </w:pPr>
      <w:r w:rsidRPr="0096780D">
        <w:rPr>
          <w:snapToGrid w:val="0"/>
          <w:sz w:val="28"/>
          <w:szCs w:val="28"/>
        </w:rPr>
        <w:t>Group Minds and Natural Kinds</w:t>
      </w:r>
      <w:r w:rsidR="0096780D" w:rsidRPr="0096780D">
        <w:rPr>
          <w:rStyle w:val="FootnoteReference"/>
          <w:snapToGrid w:val="0"/>
          <w:sz w:val="28"/>
          <w:szCs w:val="28"/>
        </w:rPr>
        <w:footnoteReference w:customMarkFollows="1" w:id="1"/>
        <w:sym w:font="Symbol" w:char="F02A"/>
      </w:r>
    </w:p>
    <w:p w14:paraId="50820732" w14:textId="49F7F08D" w:rsidR="002B05F2" w:rsidRDefault="00AB38DC" w:rsidP="00E709E3">
      <w:pPr>
        <w:pStyle w:val="Standard"/>
        <w:spacing w:line="240" w:lineRule="auto"/>
        <w:jc w:val="center"/>
        <w:rPr>
          <w:snapToGrid w:val="0"/>
        </w:rPr>
      </w:pPr>
      <w:r>
        <w:rPr>
          <w:snapToGrid w:val="0"/>
        </w:rPr>
        <w:t>Rob</w:t>
      </w:r>
      <w:r w:rsidR="0096780D">
        <w:rPr>
          <w:snapToGrid w:val="0"/>
        </w:rPr>
        <w:t>ert D.</w:t>
      </w:r>
      <w:r>
        <w:rPr>
          <w:snapToGrid w:val="0"/>
        </w:rPr>
        <w:t xml:space="preserve"> Rupert, U. of Colorado, Boulder</w:t>
      </w:r>
    </w:p>
    <w:p w14:paraId="1430AF56" w14:textId="6F555605" w:rsidR="00B42692" w:rsidRPr="0007654D" w:rsidRDefault="0007654D" w:rsidP="00B42692">
      <w:pPr>
        <w:pStyle w:val="Standard"/>
        <w:spacing w:line="240" w:lineRule="auto"/>
        <w:jc w:val="center"/>
        <w:rPr>
          <w:snapToGrid w:val="0"/>
        </w:rPr>
      </w:pPr>
      <w:r>
        <w:rPr>
          <w:snapToGrid w:val="0"/>
        </w:rPr>
        <w:t>Forthcoming in</w:t>
      </w:r>
      <w:r w:rsidRPr="0007654D">
        <w:rPr>
          <w:snapToGrid w:val="0"/>
        </w:rPr>
        <w:t xml:space="preserve"> </w:t>
      </w:r>
      <w:r w:rsidRPr="0007654D">
        <w:rPr>
          <w:i/>
          <w:snapToGrid w:val="0"/>
        </w:rPr>
        <w:t>Avant</w:t>
      </w:r>
      <w:r>
        <w:rPr>
          <w:i/>
          <w:snapToGrid w:val="0"/>
        </w:rPr>
        <w:t>: Trends in Interdisciplinary Studies</w:t>
      </w:r>
      <w:r>
        <w:rPr>
          <w:snapToGrid w:val="0"/>
        </w:rPr>
        <w:t>, in a special issue on social cognition</w:t>
      </w:r>
      <w:bookmarkStart w:id="0" w:name="_GoBack"/>
      <w:bookmarkEnd w:id="0"/>
    </w:p>
    <w:p w14:paraId="4469AD1F" w14:textId="58D02819" w:rsidR="00DC4C33" w:rsidRDefault="00DC4C33" w:rsidP="009815D1">
      <w:pPr>
        <w:pStyle w:val="Standard"/>
        <w:jc w:val="center"/>
      </w:pPr>
    </w:p>
    <w:p w14:paraId="30626814" w14:textId="7DA1D4B2" w:rsidR="009815D1" w:rsidRDefault="009815D1" w:rsidP="009815D1">
      <w:pPr>
        <w:pStyle w:val="Standard"/>
        <w:jc w:val="center"/>
      </w:pPr>
      <w:r>
        <w:t>I. Introduction</w:t>
      </w:r>
    </w:p>
    <w:p w14:paraId="4A3F88C1" w14:textId="156FA6AB" w:rsidR="000246FE" w:rsidRPr="0001237F" w:rsidRDefault="00B71778" w:rsidP="00B730DB">
      <w:pPr>
        <w:pStyle w:val="Standard"/>
      </w:pPr>
      <w:r>
        <w:t>T</w:t>
      </w:r>
      <w:r w:rsidR="008C42BF">
        <w:t xml:space="preserve">his essay </w:t>
      </w:r>
      <w:r w:rsidR="00DC32FF">
        <w:t>address</w:t>
      </w:r>
      <w:r w:rsidR="00025457">
        <w:t>es the question</w:t>
      </w:r>
      <w:r w:rsidR="00A12719">
        <w:t xml:space="preserve"> whether groups of individual humans – for instance, courts, corporations, or unions – have </w:t>
      </w:r>
      <w:r w:rsidR="002D56E1">
        <w:t>me</w:t>
      </w:r>
      <w:r w:rsidR="005B6757">
        <w:t>ntal states of their own</w:t>
      </w:r>
      <w:r w:rsidR="00B24581">
        <w:t>, over and above those of their members</w:t>
      </w:r>
      <w:r w:rsidR="005B6757">
        <w:t xml:space="preserve">. </w:t>
      </w:r>
      <w:r w:rsidR="00B24581">
        <w:t>My methodological orientation is naturalistic,</w:t>
      </w:r>
      <w:r w:rsidR="00825C62">
        <w:t xml:space="preserve"> and thus</w:t>
      </w:r>
      <w:r w:rsidR="00B24581">
        <w:t xml:space="preserve"> I</w:t>
      </w:r>
      <w:r w:rsidR="00825C62">
        <w:t xml:space="preserve"> </w:t>
      </w:r>
      <w:r w:rsidR="00B24581">
        <w:t>treat the matter as a question in philosophy of science,</w:t>
      </w:r>
      <w:r w:rsidR="007842EF">
        <w:t xml:space="preserve"> primarily</w:t>
      </w:r>
      <w:r w:rsidR="00B24581">
        <w:t xml:space="preserve"> in the philosophy of cognitive science</w:t>
      </w:r>
      <w:r w:rsidR="00C7603C">
        <w:t>.</w:t>
      </w:r>
      <w:r w:rsidR="00AD6485">
        <w:rPr>
          <w:rStyle w:val="FootnoteReference"/>
        </w:rPr>
        <w:footnoteReference w:id="2"/>
      </w:r>
      <w:r w:rsidR="00C7603C">
        <w:t xml:space="preserve"> </w:t>
      </w:r>
      <w:r w:rsidR="007842EF">
        <w:t xml:space="preserve">Accordingly, </w:t>
      </w:r>
      <w:r w:rsidR="00B24581">
        <w:t>I focus on such questions as</w:t>
      </w:r>
      <w:r w:rsidR="00025457">
        <w:t xml:space="preserve"> </w:t>
      </w:r>
      <w:r w:rsidR="009464C1">
        <w:t>“</w:t>
      </w:r>
      <w:r w:rsidR="00537ECB">
        <w:t>In virtue of what is</w:t>
      </w:r>
      <w:r w:rsidR="00DC32FF">
        <w:t xml:space="preserve"> a state or process cognitive?</w:t>
      </w:r>
      <w:r w:rsidR="00537ECB">
        <w:t>” and “What kind of evidence would support the claim that groups</w:t>
      </w:r>
      <w:r w:rsidR="00B24581">
        <w:t xml:space="preserve"> have cognitive states or</w:t>
      </w:r>
      <w:r w:rsidR="00537ECB">
        <w:t xml:space="preserve"> engage in cognitive</w:t>
      </w:r>
      <w:r w:rsidR="00A12719">
        <w:t xml:space="preserve"> processing</w:t>
      </w:r>
      <w:r w:rsidR="000A5355">
        <w:t xml:space="preserve">?” With regard to the latter question, I </w:t>
      </w:r>
      <w:r w:rsidR="00951DDB">
        <w:t>take particular interest</w:t>
      </w:r>
      <w:r w:rsidR="002D56E1">
        <w:t xml:space="preserve"> </w:t>
      </w:r>
      <w:r w:rsidR="00951DDB">
        <w:t xml:space="preserve">in </w:t>
      </w:r>
      <w:r w:rsidR="002D56E1">
        <w:t>case</w:t>
      </w:r>
      <w:r w:rsidR="000A5355">
        <w:t>s</w:t>
      </w:r>
      <w:r w:rsidR="002D56E1">
        <w:t xml:space="preserve"> in which group processing differs significantly from processing in individual human</w:t>
      </w:r>
      <w:r w:rsidR="0001237F">
        <w:t>s, asking what sameness of kind amount</w:t>
      </w:r>
      <w:r w:rsidR="00211C23">
        <w:t>s</w:t>
      </w:r>
      <w:r w:rsidR="0001237F">
        <w:t xml:space="preserve"> to</w:t>
      </w:r>
      <w:r w:rsidR="00211C23">
        <w:t xml:space="preserve"> – or</w:t>
      </w:r>
      <w:r w:rsidR="000A1804">
        <w:t>, rather,</w:t>
      </w:r>
      <w:r w:rsidR="00211C23">
        <w:t xml:space="preserve"> what sort of evidence would support the claim</w:t>
      </w:r>
      <w:r w:rsidR="00471F56">
        <w:t xml:space="preserve"> to</w:t>
      </w:r>
      <w:r w:rsidR="00211C23">
        <w:t xml:space="preserve"> sameness of kind –</w:t>
      </w:r>
      <w:r w:rsidR="0001237F">
        <w:t xml:space="preserve"> across such differences.</w:t>
      </w:r>
    </w:p>
    <w:p w14:paraId="78116E7B" w14:textId="7F3E1DA0" w:rsidR="00D66049" w:rsidRDefault="00D66049" w:rsidP="00D66049">
      <w:pPr>
        <w:pStyle w:val="Standard"/>
      </w:pPr>
      <w:r>
        <w:lastRenderedPageBreak/>
        <w:tab/>
        <w:t>Certain trends in the cognitive and social sciences frame th</w:t>
      </w:r>
      <w:r w:rsidR="00C7603C">
        <w:t>e</w:t>
      </w:r>
      <w:r>
        <w:t xml:space="preserve"> discussion. Over the past three decades or so, it has become increasingly clear that distributed collections of</w:t>
      </w:r>
      <w:r w:rsidR="00DC69E1">
        <w:t xml:space="preserve"> </w:t>
      </w:r>
      <w:r>
        <w:t>processes produce</w:t>
      </w:r>
      <w:r w:rsidR="002D56E1">
        <w:t xml:space="preserve"> a substantial</w:t>
      </w:r>
      <w:r>
        <w:t xml:space="preserve"> portion of intelligent human behavior (Dennett 1991, Brooks 1999, Gendler 2008, Evans and Frankish 2009, Clark 1997). During roughly the same period,</w:t>
      </w:r>
      <w:r w:rsidR="002D56E1">
        <w:t xml:space="preserve"> an increasing number of</w:t>
      </w:r>
      <w:r>
        <w:t xml:space="preserve"> researchers working in the cognitive and social sciences, as well as in empirically oriented philosophy of mind, have </w:t>
      </w:r>
      <w:r w:rsidR="00B24581">
        <w:t xml:space="preserve">argued </w:t>
      </w:r>
      <w:r>
        <w:t>that</w:t>
      </w:r>
      <w:r w:rsidR="00471F56">
        <w:t xml:space="preserve"> some </w:t>
      </w:r>
      <w:r w:rsidR="00DC69E1">
        <w:t xml:space="preserve">extant </w:t>
      </w:r>
      <w:r>
        <w:t>groups of individual</w:t>
      </w:r>
      <w:r w:rsidR="009C2F84">
        <w:t xml:space="preserve"> humans</w:t>
      </w:r>
      <w:r>
        <w:t xml:space="preserve"> have mental or cognitive states of their own (Huebner </w:t>
      </w:r>
      <w:r w:rsidR="001F70F1">
        <w:t>201</w:t>
      </w:r>
      <w:r w:rsidR="00B24581">
        <w:t>3</w:t>
      </w:r>
      <w:r w:rsidR="002D56E1">
        <w:t>, Hutchins 1995</w:t>
      </w:r>
      <w:r>
        <w:t xml:space="preserve">, Goldstone and Gureckis 2009, Goldstone and </w:t>
      </w:r>
      <w:proofErr w:type="spellStart"/>
      <w:r>
        <w:t>Theiner</w:t>
      </w:r>
      <w:proofErr w:type="spellEnd"/>
      <w:r>
        <w:t xml:space="preserve"> 2017, </w:t>
      </w:r>
      <w:proofErr w:type="spellStart"/>
      <w:r w:rsidR="00DC69E1">
        <w:t>Theiner</w:t>
      </w:r>
      <w:proofErr w:type="spellEnd"/>
      <w:r w:rsidR="00DC69E1">
        <w:t xml:space="preserve"> and O’Connor 2010, </w:t>
      </w:r>
      <w:r>
        <w:t>Barnier et al. 2008</w:t>
      </w:r>
      <w:r w:rsidR="002D56E1">
        <w:t>,</w:t>
      </w:r>
      <w:r>
        <w:t xml:space="preserve"> List and Pe</w:t>
      </w:r>
      <w:r w:rsidR="00A951BF">
        <w:t>t</w:t>
      </w:r>
      <w:r>
        <w:t>tit 2011</w:t>
      </w:r>
      <w:r w:rsidR="00FD0F26">
        <w:t>, Schwitzgebel 2015</w:t>
      </w:r>
      <w:r>
        <w:t xml:space="preserve">). This appears to be no coincidence; recognition of the decentralized nature of human cognitive processing lends an increased air of plausibility to the thought that such </w:t>
      </w:r>
      <w:r w:rsidR="00DC69E1">
        <w:t xml:space="preserve">distributed </w:t>
      </w:r>
      <w:r>
        <w:t>entities as courts, corporations, and citizenries</w:t>
      </w:r>
      <w:r w:rsidR="000A5355">
        <w:t xml:space="preserve"> might be in</w:t>
      </w:r>
      <w:r w:rsidR="00C7603C">
        <w:t xml:space="preserve"> genuine</w:t>
      </w:r>
      <w:r w:rsidR="000A5355">
        <w:t xml:space="preserve"> cognitive states</w:t>
      </w:r>
      <w:r>
        <w:t xml:space="preserve">. In fact, </w:t>
      </w:r>
      <w:r w:rsidR="00C7603C">
        <w:t xml:space="preserve">some authors </w:t>
      </w:r>
      <w:r>
        <w:t>discuss</w:t>
      </w:r>
      <w:r w:rsidR="00C7603C">
        <w:t xml:space="preserve"> the two questions</w:t>
      </w:r>
      <w:r>
        <w:t xml:space="preserve"> explicitly in tandem (Hutchins 1995,</w:t>
      </w:r>
      <w:r w:rsidR="00C668FB">
        <w:t xml:space="preserve"> Wilson 2004,</w:t>
      </w:r>
      <w:r>
        <w:t xml:space="preserve"> </w:t>
      </w:r>
      <w:proofErr w:type="spellStart"/>
      <w:r w:rsidR="00286DE4">
        <w:t>Tollefsen</w:t>
      </w:r>
      <w:proofErr w:type="spellEnd"/>
      <w:r w:rsidR="00286DE4">
        <w:t xml:space="preserve"> 2006, </w:t>
      </w:r>
      <w:proofErr w:type="spellStart"/>
      <w:r w:rsidR="00C668FB">
        <w:t>Theiner</w:t>
      </w:r>
      <w:proofErr w:type="spellEnd"/>
      <w:r w:rsidR="00C668FB">
        <w:t>, Allen, and Goldstone 2010</w:t>
      </w:r>
      <w:r>
        <w:t>).</w:t>
      </w:r>
    </w:p>
    <w:p w14:paraId="4FC84FE8" w14:textId="4FA9BB25" w:rsidR="00D66049" w:rsidRDefault="00D66049" w:rsidP="00D66049">
      <w:pPr>
        <w:pStyle w:val="Standard"/>
      </w:pPr>
      <w:r>
        <w:tab/>
        <w:t>The question naturally arises, then, whether these two lines of research</w:t>
      </w:r>
      <w:r w:rsidR="0000243A">
        <w:t xml:space="preserve"> – on distributed cognition in individual humans</w:t>
      </w:r>
      <w:r w:rsidR="00AD6485">
        <w:t>, on the one hand,</w:t>
      </w:r>
      <w:r w:rsidR="0000243A">
        <w:t xml:space="preserve"> and on group</w:t>
      </w:r>
      <w:r w:rsidR="00E305BF">
        <w:t xml:space="preserve"> processes</w:t>
      </w:r>
      <w:r w:rsidR="00AD6485">
        <w:t>, on the other</w:t>
      </w:r>
      <w:r w:rsidR="0000243A">
        <w:t xml:space="preserve"> –</w:t>
      </w:r>
      <w:r>
        <w:t xml:space="preserve"> </w:t>
      </w:r>
      <w:r w:rsidR="0000243A">
        <w:t>i</w:t>
      </w:r>
      <w:r>
        <w:t>nvestigate the same natural kinds</w:t>
      </w:r>
      <w:r w:rsidR="0000243A">
        <w:t>, states, properties, or processes</w:t>
      </w:r>
      <w:r>
        <w:t>,</w:t>
      </w:r>
      <w:r w:rsidR="00E305BF">
        <w:rPr>
          <w:rStyle w:val="FootnoteReference"/>
        </w:rPr>
        <w:footnoteReference w:id="3"/>
      </w:r>
      <w:r>
        <w:t xml:space="preserve"> </w:t>
      </w:r>
      <w:r w:rsidR="00BE20F1">
        <w:t>for example</w:t>
      </w:r>
      <w:r>
        <w:t xml:space="preserve">, </w:t>
      </w:r>
      <w:r w:rsidRPr="00036C20">
        <w:rPr>
          <w:i/>
        </w:rPr>
        <w:t>belief</w:t>
      </w:r>
      <w:r>
        <w:t xml:space="preserve">, </w:t>
      </w:r>
      <w:r w:rsidRPr="00036C20">
        <w:rPr>
          <w:i/>
        </w:rPr>
        <w:t>memory</w:t>
      </w:r>
      <w:r>
        <w:t xml:space="preserve">, and </w:t>
      </w:r>
      <w:r w:rsidRPr="00036C20">
        <w:rPr>
          <w:i/>
        </w:rPr>
        <w:t>cognition</w:t>
      </w:r>
      <w:r w:rsidR="009C2F84">
        <w:t>.</w:t>
      </w:r>
      <w:r w:rsidR="00BE20F1">
        <w:t xml:space="preserve"> If there is group-level memory, is it the same </w:t>
      </w:r>
      <w:r w:rsidR="000F2ED7">
        <w:t xml:space="preserve">natural </w:t>
      </w:r>
      <w:r w:rsidR="00BE20F1">
        <w:t xml:space="preserve">kind </w:t>
      </w:r>
      <w:r w:rsidR="000F2ED7">
        <w:t>as</w:t>
      </w:r>
      <w:r w:rsidR="00BE20F1">
        <w:t xml:space="preserve"> appears in individual humans?</w:t>
      </w:r>
      <w:r>
        <w:t xml:space="preserve"> </w:t>
      </w:r>
      <w:r w:rsidR="00AD6485">
        <w:t xml:space="preserve">What does it amount to for there to be both an overarching kind </w:t>
      </w:r>
      <w:r w:rsidR="00AD6485">
        <w:rPr>
          <w:i/>
        </w:rPr>
        <w:t xml:space="preserve">memory </w:t>
      </w:r>
      <w:r w:rsidR="00AD6485">
        <w:t>a</w:t>
      </w:r>
      <w:r w:rsidR="00615D8B">
        <w:t>s well as</w:t>
      </w:r>
      <w:r w:rsidR="00AD6485">
        <w:t xml:space="preserve"> particular species of it? </w:t>
      </w:r>
      <w:r>
        <w:t xml:space="preserve">If </w:t>
      </w:r>
      <w:r w:rsidR="000A5355">
        <w:t>there is group-level cognition,</w:t>
      </w:r>
      <w:r>
        <w:t xml:space="preserve"> is it the same </w:t>
      </w:r>
      <w:r w:rsidRPr="001D6144">
        <w:rPr>
          <w:i/>
        </w:rPr>
        <w:t xml:space="preserve">kind </w:t>
      </w:r>
      <w:r>
        <w:t>of cognition as individual humans engage</w:t>
      </w:r>
      <w:r w:rsidR="000F2ED7">
        <w:t xml:space="preserve"> in</w:t>
      </w:r>
      <w:r>
        <w:t xml:space="preserve">? And what, one might wonder, would it amount to for there to </w:t>
      </w:r>
      <w:r w:rsidRPr="00DA6407">
        <w:t xml:space="preserve">be </w:t>
      </w:r>
      <w:r w:rsidR="00C7603C">
        <w:t>different species of t</w:t>
      </w:r>
      <w:r w:rsidR="000A5355">
        <w:t>he</w:t>
      </w:r>
      <w:r>
        <w:t xml:space="preserve"> genus</w:t>
      </w:r>
      <w:r w:rsidRPr="00DA6407">
        <w:rPr>
          <w:i/>
        </w:rPr>
        <w:t xml:space="preserve"> </w:t>
      </w:r>
      <w:r w:rsidRPr="00DA6407">
        <w:rPr>
          <w:i/>
        </w:rPr>
        <w:lastRenderedPageBreak/>
        <w:t>cognition</w:t>
      </w:r>
      <w:r>
        <w:t xml:space="preserve">? </w:t>
      </w:r>
      <w:r w:rsidR="00C7603C">
        <w:t>H</w:t>
      </w:r>
      <w:r w:rsidR="000A5355">
        <w:t>ow deep</w:t>
      </w:r>
      <w:r w:rsidR="00C7603C">
        <w:t xml:space="preserve"> do</w:t>
      </w:r>
      <w:r w:rsidR="000A5355">
        <w:t xml:space="preserve"> </w:t>
      </w:r>
      <w:r>
        <w:t>s</w:t>
      </w:r>
      <w:r w:rsidR="00FD0F26">
        <w:t>ameness</w:t>
      </w:r>
      <w:r w:rsidR="000F2ED7">
        <w:t>-</w:t>
      </w:r>
      <w:r w:rsidR="00FD0F26">
        <w:t>of</w:t>
      </w:r>
      <w:r w:rsidR="000F2ED7">
        <w:t>-</w:t>
      </w:r>
      <w:r w:rsidR="00FD0F26">
        <w:t>kind relations run</w:t>
      </w:r>
      <w:r>
        <w:t xml:space="preserve"> across the individual and gro</w:t>
      </w:r>
      <w:r w:rsidR="000A5355">
        <w:t>up cases</w:t>
      </w:r>
      <w:r w:rsidR="00E305BF">
        <w:t>,</w:t>
      </w:r>
      <w:r w:rsidR="000A5355">
        <w:t xml:space="preserve"> a</w:t>
      </w:r>
      <w:r w:rsidR="00FD0F26">
        <w:t>nd how</w:t>
      </w:r>
      <w:r w:rsidR="00C7603C">
        <w:t xml:space="preserve"> should</w:t>
      </w:r>
      <w:r w:rsidR="00FD0F26">
        <w:t xml:space="preserve"> one should</w:t>
      </w:r>
      <w:r w:rsidR="0000243A">
        <w:t xml:space="preserve"> go about trying to determine how</w:t>
      </w:r>
      <w:r w:rsidR="00FD0F26">
        <w:t xml:space="preserve"> deep</w:t>
      </w:r>
      <w:r w:rsidR="0000243A">
        <w:t xml:space="preserve"> they run</w:t>
      </w:r>
      <w:r w:rsidR="00C7603C">
        <w:t>?</w:t>
      </w:r>
    </w:p>
    <w:p w14:paraId="01EE51BD" w14:textId="15BEC6CF" w:rsidR="002D5812" w:rsidRPr="00896A2C" w:rsidRDefault="00D66049" w:rsidP="00B730DB">
      <w:pPr>
        <w:pStyle w:val="Standard"/>
      </w:pPr>
      <w:r>
        <w:tab/>
        <w:t>H</w:t>
      </w:r>
      <w:r w:rsidR="009464C1">
        <w:t>ere</w:t>
      </w:r>
      <w:r w:rsidR="000F2ED7">
        <w:t>, in preview, is what follows</w:t>
      </w:r>
      <w:r w:rsidR="00DC32FF">
        <w:t>.</w:t>
      </w:r>
      <w:r w:rsidR="005A7EA2">
        <w:t xml:space="preserve"> In </w:t>
      </w:r>
      <w:r w:rsidR="000A6FA6">
        <w:t>S</w:t>
      </w:r>
      <w:r>
        <w:t xml:space="preserve">ection II, I </w:t>
      </w:r>
      <w:r w:rsidR="00615D8B">
        <w:t>consider</w:t>
      </w:r>
      <w:r w:rsidR="00FD3CF9">
        <w:t xml:space="preserve"> two arguments for realism about group states</w:t>
      </w:r>
      <w:r w:rsidR="000F7250">
        <w:t xml:space="preserve">. I find both </w:t>
      </w:r>
      <w:r w:rsidR="00615D8B">
        <w:t>lines of reasoning inconclusive</w:t>
      </w:r>
      <w:r w:rsidR="00FD3CF9">
        <w:t>,</w:t>
      </w:r>
      <w:r w:rsidR="00E305BF">
        <w:t xml:space="preserve"> largely</w:t>
      </w:r>
      <w:r w:rsidR="00615D8B">
        <w:t xml:space="preserve"> because they </w:t>
      </w:r>
      <w:r w:rsidR="000F7250">
        <w:t>proceed absent</w:t>
      </w:r>
      <w:r w:rsidR="00FD3CF9">
        <w:t xml:space="preserve"> a</w:t>
      </w:r>
      <w:r w:rsidR="00BE20F1">
        <w:t>n account</w:t>
      </w:r>
      <w:r w:rsidR="00FD3CF9">
        <w:t xml:space="preserve"> of sameness of natural kind</w:t>
      </w:r>
      <w:r w:rsidR="00C7603C">
        <w:t>s</w:t>
      </w:r>
      <w:r w:rsidR="000A6FA6">
        <w:t xml:space="preserve"> and thus leave the central question unanswered</w:t>
      </w:r>
      <w:r w:rsidR="00FD3CF9">
        <w:t>.</w:t>
      </w:r>
      <w:r w:rsidR="00F52DA2">
        <w:t xml:space="preserve"> </w:t>
      </w:r>
      <w:r w:rsidR="000A6FA6">
        <w:t>I</w:t>
      </w:r>
      <w:r w:rsidR="00EC7E18">
        <w:t xml:space="preserve">n </w:t>
      </w:r>
      <w:r w:rsidR="000A6FA6">
        <w:t>S</w:t>
      </w:r>
      <w:r w:rsidR="00EC7E18">
        <w:t>ection III, I articulate</w:t>
      </w:r>
      <w:r w:rsidR="00F52DA2">
        <w:t xml:space="preserve"> a theor</w:t>
      </w:r>
      <w:r w:rsidR="000D0F02">
        <w:t>y of the sort</w:t>
      </w:r>
      <w:r w:rsidR="00B17366">
        <w:t xml:space="preserve"> of evidence that c</w:t>
      </w:r>
      <w:r w:rsidR="00F52DA2">
        <w:t xml:space="preserve">ould support claims to the sameness </w:t>
      </w:r>
      <w:r w:rsidR="00C7603C">
        <w:t>(</w:t>
      </w:r>
      <w:r w:rsidR="00F07B9C">
        <w:t>or difference</w:t>
      </w:r>
      <w:r w:rsidR="00C7603C">
        <w:t>)</w:t>
      </w:r>
      <w:r w:rsidR="00F07B9C">
        <w:t xml:space="preserve"> </w:t>
      </w:r>
      <w:r w:rsidR="00F52DA2">
        <w:t>of natural kind</w:t>
      </w:r>
      <w:r w:rsidR="000D0F02">
        <w:t>s (</w:t>
      </w:r>
      <w:r w:rsidR="00B17366">
        <w:t>including</w:t>
      </w:r>
      <w:r w:rsidR="00C7603C">
        <w:t>, most importantly,</w:t>
      </w:r>
      <w:r w:rsidR="00B17366">
        <w:t xml:space="preserve"> thin, generic, or superordinate kinds</w:t>
      </w:r>
      <w:r w:rsidR="000D0F02">
        <w:t xml:space="preserve">) </w:t>
      </w:r>
      <w:r w:rsidR="00F07B9C">
        <w:t>across cases</w:t>
      </w:r>
      <w:r w:rsidR="0063098B">
        <w:t>. E</w:t>
      </w:r>
      <w:r w:rsidR="00B17366">
        <w:t xml:space="preserve">lsewhere </w:t>
      </w:r>
      <w:r w:rsidR="0063098B">
        <w:t xml:space="preserve">I’ve </w:t>
      </w:r>
      <w:r w:rsidR="00B17366">
        <w:t>called</w:t>
      </w:r>
      <w:r w:rsidR="0063098B">
        <w:t xml:space="preserve"> this the ‘tweak-and-extend’</w:t>
      </w:r>
      <w:r w:rsidR="00896A2C">
        <w:t xml:space="preserve"> account</w:t>
      </w:r>
      <w:r w:rsidR="00C7603C">
        <w:t xml:space="preserve"> (Rupert 2013)</w:t>
      </w:r>
      <w:r w:rsidR="00F52DA2">
        <w:t>. In order to apply</w:t>
      </w:r>
      <w:r w:rsidR="00896A2C">
        <w:t xml:space="preserve"> the tweak-and-extend</w:t>
      </w:r>
      <w:r w:rsidR="00F52DA2">
        <w:t xml:space="preserve"> </w:t>
      </w:r>
      <w:r w:rsidR="000F2ED7">
        <w:t>test</w:t>
      </w:r>
      <w:r w:rsidR="00F52DA2">
        <w:t xml:space="preserve">, one must have </w:t>
      </w:r>
      <w:r w:rsidR="004872D6">
        <w:t xml:space="preserve">in hand </w:t>
      </w:r>
      <w:r w:rsidR="00B17366">
        <w:t xml:space="preserve">models of the data that </w:t>
      </w:r>
      <w:r w:rsidR="000F7250">
        <w:t xml:space="preserve">are meant to be explained by the </w:t>
      </w:r>
      <w:r w:rsidR="00B17366">
        <w:t xml:space="preserve">hypothesized instantiations of the </w:t>
      </w:r>
      <w:r w:rsidR="00E305BF">
        <w:t xml:space="preserve">kind </w:t>
      </w:r>
      <w:r w:rsidR="000F7250">
        <w:t>in question</w:t>
      </w:r>
      <w:r w:rsidR="00B17366">
        <w:t>. Therefore, i</w:t>
      </w:r>
      <w:r w:rsidR="00EC7E18">
        <w:t xml:space="preserve">n </w:t>
      </w:r>
      <w:r w:rsidR="000A6FA6">
        <w:t>S</w:t>
      </w:r>
      <w:r w:rsidR="00EC7E18">
        <w:t>ection IV, I present</w:t>
      </w:r>
      <w:r w:rsidR="00F52DA2">
        <w:t xml:space="preserve"> what I take to be the best going model of the </w:t>
      </w:r>
      <w:r w:rsidR="00B17366">
        <w:t xml:space="preserve">generic </w:t>
      </w:r>
      <w:r w:rsidR="00F52DA2">
        <w:t xml:space="preserve">kind </w:t>
      </w:r>
      <w:r w:rsidR="00F52DA2" w:rsidRPr="00F52DA2">
        <w:rPr>
          <w:i/>
        </w:rPr>
        <w:t>cognition</w:t>
      </w:r>
      <w:r w:rsidR="00EC7E18">
        <w:t>, at least as it appears in</w:t>
      </w:r>
      <w:r w:rsidR="00B17366">
        <w:t xml:space="preserve"> the human ca</w:t>
      </w:r>
      <w:r w:rsidR="004872D6">
        <w:t xml:space="preserve">se. </w:t>
      </w:r>
      <w:r w:rsidR="000D0F02">
        <w:t>If this view of cognition</w:t>
      </w:r>
      <w:r w:rsidR="00FC0D79">
        <w:t xml:space="preserve"> is correct, it removes a potential barrier to genuine group-level cognition; for, the view </w:t>
      </w:r>
      <w:r w:rsidR="00C7603C">
        <w:t>allows</w:t>
      </w:r>
      <w:r w:rsidR="00FC0D79">
        <w:t xml:space="preserve"> an individual with cognitive states</w:t>
      </w:r>
      <w:r w:rsidR="00C7603C">
        <w:t xml:space="preserve"> to be decentralized</w:t>
      </w:r>
      <w:r w:rsidR="00FC0D79">
        <w:t>.</w:t>
      </w:r>
      <w:r w:rsidR="000D0F02">
        <w:t xml:space="preserve"> Section V </w:t>
      </w:r>
      <w:r w:rsidR="00E305BF">
        <w:t>pursues</w:t>
      </w:r>
      <w:r w:rsidR="000D0F02">
        <w:t xml:space="preserve"> this </w:t>
      </w:r>
      <w:r w:rsidR="000A6FA6">
        <w:t>thought</w:t>
      </w:r>
      <w:r w:rsidR="000D0F02">
        <w:t xml:space="preserve">, </w:t>
      </w:r>
      <w:r w:rsidR="00E305BF">
        <w:t xml:space="preserve">drawing on </w:t>
      </w:r>
      <w:r w:rsidR="000D0F02">
        <w:t xml:space="preserve">the </w:t>
      </w:r>
      <w:r w:rsidR="007B0009">
        <w:t>material</w:t>
      </w:r>
      <w:r w:rsidR="00E305BF">
        <w:t xml:space="preserve"> presented in S</w:t>
      </w:r>
      <w:r w:rsidR="007B0009">
        <w:t>ec</w:t>
      </w:r>
      <w:r w:rsidR="000D0F02">
        <w:t>tions III and IV</w:t>
      </w:r>
      <w:r w:rsidR="000A6FA6">
        <w:t xml:space="preserve"> to develop a more definite version of the proposal that groups have </w:t>
      </w:r>
      <w:r w:rsidR="00E305BF">
        <w:t>cognitive</w:t>
      </w:r>
      <w:r w:rsidR="007B0009">
        <w:t xml:space="preserve"> states</w:t>
      </w:r>
      <w:r w:rsidR="00E305BF">
        <w:t xml:space="preserve"> that are of a different kind of cogniti</w:t>
      </w:r>
      <w:r w:rsidR="000A6FA6">
        <w:t>on</w:t>
      </w:r>
      <w:r w:rsidR="00E305BF">
        <w:t xml:space="preserve"> from individual human cognition</w:t>
      </w:r>
      <w:r w:rsidR="007B0009">
        <w:t xml:space="preserve">. </w:t>
      </w:r>
      <w:r w:rsidR="00FC0D79">
        <w:t>Section V</w:t>
      </w:r>
      <w:r w:rsidR="00C7603C">
        <w:t>I</w:t>
      </w:r>
      <w:r w:rsidR="000D0F02">
        <w:t>, however,</w:t>
      </w:r>
      <w:r w:rsidR="00FC0D79">
        <w:t xml:space="preserve"> canva</w:t>
      </w:r>
      <w:r w:rsidR="007B0009">
        <w:t xml:space="preserve">sses </w:t>
      </w:r>
      <w:r w:rsidR="00984D26">
        <w:t>objections</w:t>
      </w:r>
      <w:r w:rsidR="007B0009">
        <w:t xml:space="preserve"> and </w:t>
      </w:r>
      <w:r w:rsidR="000D0F02">
        <w:t xml:space="preserve">ultimately </w:t>
      </w:r>
      <w:r w:rsidR="007B0009">
        <w:t xml:space="preserve">sounds a </w:t>
      </w:r>
      <w:r w:rsidR="00BE20F1">
        <w:t>pessimistic</w:t>
      </w:r>
      <w:r w:rsidR="000D0F02">
        <w:t xml:space="preserve"> note. </w:t>
      </w:r>
    </w:p>
    <w:p w14:paraId="6421C45D" w14:textId="6337918C" w:rsidR="009D27D3" w:rsidRDefault="00B93579" w:rsidP="002F195A">
      <w:pPr>
        <w:pStyle w:val="Standard"/>
        <w:jc w:val="center"/>
      </w:pPr>
      <w:r>
        <w:t>II</w:t>
      </w:r>
      <w:r w:rsidR="009D27D3">
        <w:t>. Realism, Reduction, and Functional Similarity</w:t>
      </w:r>
    </w:p>
    <w:p w14:paraId="014FE94E" w14:textId="55420151" w:rsidR="005A7EA2" w:rsidRDefault="005A7EA2" w:rsidP="00FD3CF9">
      <w:pPr>
        <w:pStyle w:val="Standard"/>
      </w:pPr>
      <w:r>
        <w:t>A view is realist</w:t>
      </w:r>
      <w:r w:rsidR="00BE20F1">
        <w:t xml:space="preserve"> with regard to group cognition</w:t>
      </w:r>
      <w:r>
        <w:t xml:space="preserve"> if</w:t>
      </w:r>
      <w:r w:rsidR="00000643">
        <w:t xml:space="preserve"> and only if, according to that view,</w:t>
      </w:r>
      <w:r>
        <w:t xml:space="preserve"> </w:t>
      </w:r>
      <w:r w:rsidR="00A95167">
        <w:t xml:space="preserve">(a) </w:t>
      </w:r>
      <w:r w:rsidR="00984D26">
        <w:t xml:space="preserve">in </w:t>
      </w:r>
      <w:r w:rsidR="001B1264">
        <w:t>a significant number of</w:t>
      </w:r>
      <w:r w:rsidR="00984D26">
        <w:t xml:space="preserve"> cases, an</w:t>
      </w:r>
      <w:r w:rsidR="001B1264">
        <w:t xml:space="preserve"> actual </w:t>
      </w:r>
      <w:r>
        <w:t>groups</w:t>
      </w:r>
      <w:r w:rsidR="001B1264">
        <w:t xml:space="preserve"> of humans</w:t>
      </w:r>
      <w:r>
        <w:t>, as</w:t>
      </w:r>
      <w:r w:rsidR="00984D26">
        <w:t xml:space="preserve"> a</w:t>
      </w:r>
      <w:r>
        <w:t xml:space="preserve"> single entit</w:t>
      </w:r>
      <w:r w:rsidR="00984D26">
        <w:t>y</w:t>
      </w:r>
      <w:r>
        <w:t>, ha</w:t>
      </w:r>
      <w:r w:rsidR="00984D26">
        <w:t>s</w:t>
      </w:r>
      <w:r>
        <w:t xml:space="preserve"> cognitive </w:t>
      </w:r>
      <w:r w:rsidR="00646562">
        <w:t>states</w:t>
      </w:r>
      <w:r w:rsidR="00984D26">
        <w:t xml:space="preserve"> of its own</w:t>
      </w:r>
      <w:r w:rsidR="00646562">
        <w:t xml:space="preserve"> and </w:t>
      </w:r>
      <w:r w:rsidR="00A95167">
        <w:t xml:space="preserve">(b) </w:t>
      </w:r>
      <w:r w:rsidR="00646562">
        <w:t xml:space="preserve">such states are of the same </w:t>
      </w:r>
      <w:r w:rsidR="00D05C55">
        <w:t xml:space="preserve">relevant </w:t>
      </w:r>
      <w:r w:rsidR="00646562">
        <w:t>kind</w:t>
      </w:r>
      <w:r w:rsidR="00D05C55">
        <w:t>, qua cognitive states,</w:t>
      </w:r>
      <w:r w:rsidR="00646562">
        <w:t xml:space="preserve"> as th</w:t>
      </w:r>
      <w:r w:rsidR="001B1264">
        <w:t>e states of</w:t>
      </w:r>
      <w:r w:rsidR="00646562">
        <w:t xml:space="preserve"> individual human</w:t>
      </w:r>
      <w:r w:rsidR="001B1264">
        <w:t>s</w:t>
      </w:r>
      <w:r w:rsidR="00646562">
        <w:t xml:space="preserve">. </w:t>
      </w:r>
      <w:r w:rsidR="000F7250">
        <w:t>The kind of r</w:t>
      </w:r>
      <w:r w:rsidR="00646562">
        <w:t>ealism</w:t>
      </w:r>
      <w:r w:rsidR="000F7250">
        <w:t xml:space="preserve"> I have in mind</w:t>
      </w:r>
      <w:r w:rsidR="00646562">
        <w:t xml:space="preserve"> </w:t>
      </w:r>
      <w:r w:rsidR="0002518F">
        <w:t>does not rest on</w:t>
      </w:r>
      <w:r w:rsidR="00274CB0">
        <w:t xml:space="preserve"> equivocation,</w:t>
      </w:r>
      <w:r w:rsidR="00646562">
        <w:t xml:space="preserve"> metaphor,</w:t>
      </w:r>
      <w:r w:rsidR="00274CB0">
        <w:t xml:space="preserve"> as-if</w:t>
      </w:r>
      <w:r w:rsidR="000F7250">
        <w:t xml:space="preserve"> attribution,</w:t>
      </w:r>
      <w:r w:rsidR="00274CB0">
        <w:t xml:space="preserve"> or</w:t>
      </w:r>
      <w:r w:rsidR="00E26DA1">
        <w:t xml:space="preserve"> </w:t>
      </w:r>
      <w:r w:rsidR="00BE20F1">
        <w:t xml:space="preserve">the </w:t>
      </w:r>
      <w:r w:rsidR="00E26DA1">
        <w:t>deployment of</w:t>
      </w:r>
      <w:r w:rsidR="00000643">
        <w:t xml:space="preserve"> homo</w:t>
      </w:r>
      <w:r w:rsidR="00274CB0">
        <w:t xml:space="preserve">graphs or </w:t>
      </w:r>
      <w:r w:rsidR="00BE20F1">
        <w:t>“</w:t>
      </w:r>
      <w:r w:rsidR="00274CB0">
        <w:t xml:space="preserve">merely </w:t>
      </w:r>
      <w:r w:rsidR="00274CB0">
        <w:lastRenderedPageBreak/>
        <w:t>nominal</w:t>
      </w:r>
      <w:r w:rsidR="00BE20F1">
        <w:t>”</w:t>
      </w:r>
      <w:r w:rsidR="00274CB0">
        <w:t xml:space="preserve"> kind terms. The radical cachet of the</w:t>
      </w:r>
      <w:r w:rsidR="00E26DA1">
        <w:t xml:space="preserve"> </w:t>
      </w:r>
      <w:r w:rsidR="00274CB0">
        <w:t xml:space="preserve">view stems from its </w:t>
      </w:r>
      <w:r w:rsidR="00E26DA1">
        <w:t>bold</w:t>
      </w:r>
      <w:r w:rsidR="00274CB0">
        <w:t xml:space="preserve"> realism</w:t>
      </w:r>
      <w:r w:rsidR="0002518F">
        <w:t xml:space="preserve"> about many actual groups</w:t>
      </w:r>
      <w:r w:rsidR="00BE20F1">
        <w:t>:</w:t>
      </w:r>
      <w:r w:rsidR="00274CB0">
        <w:t xml:space="preserve"> when</w:t>
      </w:r>
      <w:r w:rsidR="000F7250">
        <w:t xml:space="preserve"> the sentence</w:t>
      </w:r>
      <w:r w:rsidR="00274CB0">
        <w:t xml:space="preserve"> </w:t>
      </w:r>
      <w:r w:rsidR="00487C66">
        <w:t>“</w:t>
      </w:r>
      <w:r w:rsidR="00274CB0">
        <w:t>England believes that withdrawing from the European Union is in its best interest</w:t>
      </w:r>
      <w:r w:rsidR="00487C66">
        <w:t>” is tru</w:t>
      </w:r>
      <w:r w:rsidR="00A95167">
        <w:t>ly asserted, th</w:t>
      </w:r>
      <w:r w:rsidR="001B1264">
        <w:t>at</w:t>
      </w:r>
      <w:r w:rsidR="00A95167">
        <w:t xml:space="preserve"> sentence is made </w:t>
      </w:r>
      <w:r w:rsidR="00E26DA1">
        <w:t>true by</w:t>
      </w:r>
      <w:r w:rsidR="00274CB0">
        <w:t xml:space="preserve"> </w:t>
      </w:r>
      <w:r w:rsidR="00A95167">
        <w:t>the</w:t>
      </w:r>
      <w:r w:rsidR="00BE20F1">
        <w:t xml:space="preserve"> </w:t>
      </w:r>
      <w:r w:rsidR="00E26DA1">
        <w:t xml:space="preserve">state of a </w:t>
      </w:r>
      <w:r w:rsidR="00274CB0">
        <w:t>single entity</w:t>
      </w:r>
      <w:r w:rsidR="00BE20F1">
        <w:t>,</w:t>
      </w:r>
      <w:r w:rsidR="00A95167">
        <w:t xml:space="preserve"> according to the realist,</w:t>
      </w:r>
      <w:r w:rsidR="00BE20F1">
        <w:t xml:space="preserve"> viz. </w:t>
      </w:r>
      <w:r w:rsidR="00274CB0">
        <w:t>the United Kingdom</w:t>
      </w:r>
      <w:r w:rsidR="00E26DA1">
        <w:t>’s having a</w:t>
      </w:r>
      <w:r w:rsidR="00487C66">
        <w:t xml:space="preserve"> single</w:t>
      </w:r>
      <w:r w:rsidR="00274CB0">
        <w:t xml:space="preserve"> belief of same kind</w:t>
      </w:r>
      <w:r w:rsidR="00BE20F1">
        <w:t xml:space="preserve"> as the belief held by</w:t>
      </w:r>
      <w:r w:rsidR="00E26DA1">
        <w:t xml:space="preserve"> individual pro-Brexit voters</w:t>
      </w:r>
      <w:r w:rsidR="00274CB0">
        <w:t>.</w:t>
      </w:r>
    </w:p>
    <w:p w14:paraId="187ED634" w14:textId="70E5886A" w:rsidR="009D27D3" w:rsidRDefault="00274CB0" w:rsidP="00FD3CF9">
      <w:pPr>
        <w:pStyle w:val="Standard"/>
      </w:pPr>
      <w:r>
        <w:tab/>
        <w:t>In th</w:t>
      </w:r>
      <w:r w:rsidR="00984D26">
        <w:t>e present</w:t>
      </w:r>
      <w:r>
        <w:t xml:space="preserve"> section, I consider two arguments for realism. </w:t>
      </w:r>
      <w:r w:rsidR="00FD3CF9">
        <w:t>The first has the flavor of an anti-reductionist argument</w:t>
      </w:r>
      <w:r w:rsidR="00A95167">
        <w:t xml:space="preserve"> (</w:t>
      </w:r>
      <w:r w:rsidR="00FD3CF9">
        <w:t>though</w:t>
      </w:r>
      <w:r w:rsidR="00A95167">
        <w:t xml:space="preserve"> see </w:t>
      </w:r>
      <w:r w:rsidR="000F7250">
        <w:t>section VI</w:t>
      </w:r>
      <w:r w:rsidR="00A95167">
        <w:t xml:space="preserve"> for reservations about this characterization of it)</w:t>
      </w:r>
      <w:r w:rsidR="00FD3CF9">
        <w:t xml:space="preserve">. The second focuses on </w:t>
      </w:r>
      <w:r w:rsidR="00984D26">
        <w:t>the</w:t>
      </w:r>
      <w:r w:rsidR="00FD3CF9">
        <w:t xml:space="preserve"> similarity </w:t>
      </w:r>
      <w:r w:rsidR="00A95167">
        <w:t>of cognitive processing in groups to</w:t>
      </w:r>
      <w:r w:rsidR="00FD3CF9">
        <w:t xml:space="preserve"> cognitive processing in the individual human. Neither argument</w:t>
      </w:r>
      <w:r w:rsidR="000F7250">
        <w:t xml:space="preserve"> clearly</w:t>
      </w:r>
      <w:r w:rsidR="00FD3CF9">
        <w:t xml:space="preserve"> carries the day</w:t>
      </w:r>
      <w:r w:rsidR="00487C66">
        <w:t xml:space="preserve">, or so I </w:t>
      </w:r>
      <w:r w:rsidR="001B1264">
        <w:t>contend</w:t>
      </w:r>
      <w:r w:rsidR="00A95167">
        <w:t>.</w:t>
      </w:r>
      <w:r w:rsidR="00487C66">
        <w:t xml:space="preserve"> Discussion of the arguments’ weaknesses throws into strong relief the</w:t>
      </w:r>
      <w:r w:rsidR="0056748E">
        <w:t xml:space="preserve"> </w:t>
      </w:r>
      <w:r w:rsidR="0002518F">
        <w:t>adjudicative</w:t>
      </w:r>
      <w:r w:rsidR="0056748E">
        <w:t xml:space="preserve"> potential of an</w:t>
      </w:r>
      <w:r w:rsidR="00487C66">
        <w:t xml:space="preserve"> account of</w:t>
      </w:r>
      <w:r w:rsidR="001B1264">
        <w:t xml:space="preserve"> the relation </w:t>
      </w:r>
      <w:r w:rsidR="001B1264">
        <w:rPr>
          <w:i/>
        </w:rPr>
        <w:t>being-of-the-same-natural-kind-as</w:t>
      </w:r>
      <w:r w:rsidR="00A95167">
        <w:t>.</w:t>
      </w:r>
    </w:p>
    <w:p w14:paraId="446F2978" w14:textId="77777777" w:rsidR="000F7250" w:rsidRDefault="000F7250" w:rsidP="00FD3CF9">
      <w:pPr>
        <w:pStyle w:val="Standard"/>
        <w:rPr>
          <w:i/>
        </w:rPr>
      </w:pPr>
    </w:p>
    <w:p w14:paraId="533B6777" w14:textId="275C32F3" w:rsidR="000F7250" w:rsidRPr="000F7250" w:rsidRDefault="00DA7B39" w:rsidP="00FD3CF9">
      <w:pPr>
        <w:pStyle w:val="Standard"/>
        <w:rPr>
          <w:i/>
        </w:rPr>
      </w:pPr>
      <w:r>
        <w:rPr>
          <w:i/>
        </w:rPr>
        <w:t xml:space="preserve">1. </w:t>
      </w:r>
      <w:r w:rsidR="000F7250">
        <w:rPr>
          <w:i/>
        </w:rPr>
        <w:t>Argument from naturalistic principles of ontological commitment</w:t>
      </w:r>
    </w:p>
    <w:p w14:paraId="5AF12794" w14:textId="4BB02975" w:rsidR="00FD3CF9" w:rsidRDefault="0085225A" w:rsidP="00FD3CF9">
      <w:pPr>
        <w:pStyle w:val="Standard"/>
      </w:pPr>
      <w:r>
        <w:t>The f</w:t>
      </w:r>
      <w:r w:rsidR="00FD3CF9">
        <w:t>irst</w:t>
      </w:r>
      <w:r w:rsidR="00487C66">
        <w:t xml:space="preserve"> argument appears in </w:t>
      </w:r>
      <w:r w:rsidR="00FD3CF9">
        <w:t>a recent paper by Christian List (2018)</w:t>
      </w:r>
      <w:r w:rsidR="00A81C48">
        <w:t>, which</w:t>
      </w:r>
      <w:r w:rsidR="00FD3CF9">
        <w:t xml:space="preserve"> </w:t>
      </w:r>
      <w:r w:rsidR="001B747D">
        <w:t>focuses primarily on</w:t>
      </w:r>
      <w:r w:rsidR="00A81C48">
        <w:t xml:space="preserve"> the possibility of</w:t>
      </w:r>
      <w:r w:rsidR="00FD3CF9">
        <w:t xml:space="preserve"> group</w:t>
      </w:r>
      <w:r w:rsidR="00A81C48">
        <w:t xml:space="preserve"> phenomenal</w:t>
      </w:r>
      <w:r w:rsidR="00BE20F1">
        <w:t xml:space="preserve"> </w:t>
      </w:r>
      <w:r w:rsidR="00FD3CF9">
        <w:t>consciousness, a topic I</w:t>
      </w:r>
      <w:r w:rsidR="001B747D">
        <w:t xml:space="preserve"> here</w:t>
      </w:r>
      <w:r w:rsidR="00FD3CF9">
        <w:t xml:space="preserve"> set aside. </w:t>
      </w:r>
      <w:r w:rsidR="00984D26">
        <w:t>A</w:t>
      </w:r>
      <w:r w:rsidR="00A81C48">
        <w:t>s a way to frame</w:t>
      </w:r>
      <w:r w:rsidR="00FD3CF9">
        <w:t xml:space="preserve"> the discussion, </w:t>
      </w:r>
      <w:r w:rsidR="00A95167">
        <w:t>List</w:t>
      </w:r>
      <w:r w:rsidR="00FD3CF9">
        <w:t xml:space="preserve"> summarizes</w:t>
      </w:r>
      <w:r w:rsidR="001B747D">
        <w:t xml:space="preserve"> what he takes to be the strongest, extant argument for realism about group cognition</w:t>
      </w:r>
      <w:r w:rsidR="00CD21E3">
        <w:t>,</w:t>
      </w:r>
      <w:r w:rsidR="00487C66">
        <w:rPr>
          <w:rStyle w:val="FootnoteReference"/>
        </w:rPr>
        <w:footnoteReference w:id="4"/>
      </w:r>
      <w:r w:rsidR="00CD21E3">
        <w:t xml:space="preserve"> an argument that he has helped to develop in</w:t>
      </w:r>
      <w:r w:rsidR="00487C66">
        <w:t xml:space="preserve"> a series of pr</w:t>
      </w:r>
      <w:r w:rsidR="0008088D">
        <w:t>ior</w:t>
      </w:r>
      <w:r w:rsidR="00CD21E3">
        <w:t xml:space="preserve"> </w:t>
      </w:r>
      <w:r>
        <w:t>publications</w:t>
      </w:r>
      <w:r w:rsidR="00CD21E3">
        <w:t>,</w:t>
      </w:r>
      <w:r w:rsidR="00487C66">
        <w:t xml:space="preserve"> perhaps most notably in </w:t>
      </w:r>
      <w:r w:rsidR="0008088D">
        <w:t>a book co-authored</w:t>
      </w:r>
      <w:r w:rsidR="00CD21E3">
        <w:t xml:space="preserve"> with Philip Pettit (List and Pettit 2011)</w:t>
      </w:r>
      <w:r w:rsidR="001B747D">
        <w:t>:</w:t>
      </w:r>
    </w:p>
    <w:p w14:paraId="3B24055C" w14:textId="6E70A43A" w:rsidR="009D27D3" w:rsidRPr="009D27D3" w:rsidRDefault="009D27D3" w:rsidP="001B747D">
      <w:pPr>
        <w:pStyle w:val="Standard"/>
        <w:spacing w:line="240" w:lineRule="auto"/>
        <w:ind w:left="720" w:right="720"/>
      </w:pPr>
      <w:r w:rsidRPr="009D27D3">
        <w:t>Premise 1: Our best social-scientific theories of certain social</w:t>
      </w:r>
      <w:r w:rsidR="0085225A">
        <w:t xml:space="preserve"> </w:t>
      </w:r>
      <w:r w:rsidRPr="009D27D3">
        <w:t>phenomena—for instance, our best theories of the behaviour of firms in</w:t>
      </w:r>
      <w:r w:rsidR="0085225A">
        <w:t xml:space="preserve"> </w:t>
      </w:r>
      <w:r w:rsidRPr="009D27D3">
        <w:t>the market place—attribute belief-desire agency of the functionalist kind to (some of) the collectives involved, often by representing them as agents in the decision- and game-theoretic sense.</w:t>
      </w:r>
    </w:p>
    <w:p w14:paraId="6FEE759B" w14:textId="77777777" w:rsidR="009D27D3" w:rsidRPr="009D27D3" w:rsidRDefault="009D27D3" w:rsidP="001B747D">
      <w:pPr>
        <w:pStyle w:val="Standard"/>
        <w:spacing w:line="240" w:lineRule="auto"/>
        <w:ind w:left="720" w:right="720"/>
      </w:pPr>
    </w:p>
    <w:p w14:paraId="2A22BDAF" w14:textId="77777777" w:rsidR="009D27D3" w:rsidRPr="009D27D3" w:rsidRDefault="009D27D3" w:rsidP="001B747D">
      <w:pPr>
        <w:pStyle w:val="Standard"/>
        <w:spacing w:line="240" w:lineRule="auto"/>
        <w:ind w:left="720" w:right="720"/>
      </w:pPr>
      <w:r w:rsidRPr="009D27D3">
        <w:lastRenderedPageBreak/>
        <w:t>Intermediate conclusion: According to a naturalistic definition of ontological commitment, those theories are then ontologically committed to group agents.</w:t>
      </w:r>
    </w:p>
    <w:p w14:paraId="11D3BE84" w14:textId="77777777" w:rsidR="009D27D3" w:rsidRPr="009D27D3" w:rsidRDefault="009D27D3" w:rsidP="001B747D">
      <w:pPr>
        <w:pStyle w:val="Standard"/>
        <w:spacing w:line="240" w:lineRule="auto"/>
        <w:ind w:left="720" w:right="720"/>
      </w:pPr>
    </w:p>
    <w:p w14:paraId="03407C90" w14:textId="77777777" w:rsidR="009D27D3" w:rsidRPr="009D27D3" w:rsidRDefault="009D27D3" w:rsidP="001B747D">
      <w:pPr>
        <w:pStyle w:val="Standard"/>
        <w:spacing w:line="240" w:lineRule="auto"/>
        <w:ind w:left="720" w:right="720"/>
      </w:pPr>
      <w:r w:rsidRPr="009D27D3">
        <w:t>Premise 2: We should, at least defeasibly, take the ontological commitments of our best scientific theories in any given domain at face value.</w:t>
      </w:r>
    </w:p>
    <w:p w14:paraId="5BF7530A" w14:textId="77777777" w:rsidR="009D27D3" w:rsidRPr="009D27D3" w:rsidRDefault="009D27D3" w:rsidP="001B747D">
      <w:pPr>
        <w:pStyle w:val="Standard"/>
        <w:spacing w:line="240" w:lineRule="auto"/>
        <w:ind w:left="720" w:right="720"/>
      </w:pPr>
    </w:p>
    <w:p w14:paraId="344D4EAF" w14:textId="3AC21CC7" w:rsidR="001B747D" w:rsidRDefault="009D27D3" w:rsidP="001B747D">
      <w:pPr>
        <w:pStyle w:val="Standard"/>
        <w:spacing w:line="240" w:lineRule="auto"/>
        <w:ind w:left="720" w:right="720"/>
      </w:pPr>
      <w:r w:rsidRPr="009D27D3">
        <w:t>Conclusion: We should, at least defeasibly, take our best social-scientific theories’ commitment to group agents at face value. (List 2018, 298)</w:t>
      </w:r>
    </w:p>
    <w:p w14:paraId="5FD5D115" w14:textId="77777777" w:rsidR="009D27D3" w:rsidRDefault="009D27D3" w:rsidP="009D27D3">
      <w:pPr>
        <w:pStyle w:val="Standard"/>
      </w:pPr>
    </w:p>
    <w:p w14:paraId="374939F0" w14:textId="5E9AD21E" w:rsidR="000672DE" w:rsidRDefault="003908A7" w:rsidP="002F195A">
      <w:pPr>
        <w:pStyle w:val="Standard"/>
      </w:pPr>
      <w:r>
        <w:t>And,</w:t>
      </w:r>
      <w:r w:rsidR="005A7EA2">
        <w:t xml:space="preserve"> to be clear,</w:t>
      </w:r>
      <w:r>
        <w:t xml:space="preserve"> </w:t>
      </w:r>
      <w:r w:rsidR="005A7EA2">
        <w:t>taking</w:t>
      </w:r>
      <w:r>
        <w:t xml:space="preserve"> these commitments at face value commit</w:t>
      </w:r>
      <w:r w:rsidR="005A7EA2">
        <w:t>s</w:t>
      </w:r>
      <w:r w:rsidR="0085225A">
        <w:t xml:space="preserve"> one</w:t>
      </w:r>
      <w:r>
        <w:t xml:space="preserve">, at least provisionally, to the existence of genuine group agents with their own beliefs and desires (or judgements and preferences, as it is often put in List and Pettit </w:t>
      </w:r>
      <w:r w:rsidR="00AA30E0">
        <w:t>[</w:t>
      </w:r>
      <w:r>
        <w:t>2011</w:t>
      </w:r>
      <w:r w:rsidR="00AA30E0">
        <w:t>])</w:t>
      </w:r>
      <w:r>
        <w:t>.</w:t>
      </w:r>
      <w:r w:rsidR="002F32AA">
        <w:rPr>
          <w:rStyle w:val="FootnoteReference"/>
        </w:rPr>
        <w:footnoteReference w:id="5"/>
      </w:r>
    </w:p>
    <w:p w14:paraId="1AD85CF2" w14:textId="5E69C2E4" w:rsidR="00790A05" w:rsidRDefault="000672DE" w:rsidP="002F195A">
      <w:pPr>
        <w:pStyle w:val="Standard"/>
      </w:pPr>
      <w:r>
        <w:lastRenderedPageBreak/>
        <w:tab/>
      </w:r>
      <w:r w:rsidR="00CD78BB">
        <w:t>Given</w:t>
      </w:r>
      <w:r w:rsidR="008B58ED">
        <w:t xml:space="preserve"> List’s</w:t>
      </w:r>
      <w:r w:rsidR="000260F3">
        <w:t xml:space="preserve"> </w:t>
      </w:r>
      <w:r w:rsidR="00CD78BB">
        <w:t>reference to</w:t>
      </w:r>
      <w:r w:rsidR="0062102A">
        <w:t xml:space="preserve"> social-scientific theories and his </w:t>
      </w:r>
      <w:r w:rsidR="009E472B">
        <w:t>appeal to a</w:t>
      </w:r>
      <w:r w:rsidR="001B747D">
        <w:t xml:space="preserve"> naturalistic </w:t>
      </w:r>
      <w:r w:rsidR="009E472B">
        <w:t>principle of</w:t>
      </w:r>
      <w:r w:rsidR="001B747D">
        <w:t xml:space="preserve"> ontological commitment</w:t>
      </w:r>
      <w:r w:rsidR="00CD78BB">
        <w:t xml:space="preserve">, </w:t>
      </w:r>
      <w:r w:rsidR="007E4689">
        <w:t>the reader</w:t>
      </w:r>
      <w:r w:rsidR="00CD78BB">
        <w:t xml:space="preserve"> can safely assume</w:t>
      </w:r>
      <w:r w:rsidR="0085225A">
        <w:t xml:space="preserve"> that</w:t>
      </w:r>
      <w:r w:rsidR="0062102A">
        <w:t xml:space="preserve"> he has in mind</w:t>
      </w:r>
      <w:r w:rsidR="005A7EA2">
        <w:t xml:space="preserve"> </w:t>
      </w:r>
      <w:r w:rsidR="000260F3">
        <w:t xml:space="preserve">scientifically respectable kinds. </w:t>
      </w:r>
      <w:r w:rsidR="008B58ED">
        <w:t>If</w:t>
      </w:r>
      <w:r w:rsidR="00284F5F">
        <w:t xml:space="preserve"> </w:t>
      </w:r>
      <w:r w:rsidR="00284F5F">
        <w:rPr>
          <w:i/>
        </w:rPr>
        <w:t>Premise 1</w:t>
      </w:r>
      <w:r w:rsidR="005A7EA2">
        <w:t xml:space="preserve"> is true</w:t>
      </w:r>
      <w:r w:rsidR="0085225A">
        <w:t xml:space="preserve"> and the successes </w:t>
      </w:r>
      <w:r w:rsidR="008B58ED">
        <w:t>at issue</w:t>
      </w:r>
      <w:r w:rsidR="007E4689">
        <w:t xml:space="preserve"> </w:t>
      </w:r>
      <w:r w:rsidR="00790A05">
        <w:t>are</w:t>
      </w:r>
      <w:r w:rsidR="0085225A">
        <w:t xml:space="preserve"> genuine</w:t>
      </w:r>
      <w:r w:rsidR="00284F5F">
        <w:t>,</w:t>
      </w:r>
      <w:r w:rsidR="0085225A">
        <w:t xml:space="preserve"> then</w:t>
      </w:r>
      <w:r w:rsidR="005A7EA2">
        <w:t xml:space="preserve"> the</w:t>
      </w:r>
      <w:r w:rsidR="0085225A">
        <w:t xml:space="preserve"> kinds in question are, in fact, </w:t>
      </w:r>
      <w:r w:rsidR="00284F5F">
        <w:t>scientifically respectable. (</w:t>
      </w:r>
      <w:r w:rsidR="009E472B">
        <w:t>I</w:t>
      </w:r>
      <w:r w:rsidR="0085225A">
        <w:t>n some cases, o</w:t>
      </w:r>
      <w:r w:rsidR="00284F5F">
        <w:t>ur best models are</w:t>
      </w:r>
      <w:r w:rsidR="00790A05">
        <w:t xml:space="preserve"> </w:t>
      </w:r>
      <w:r w:rsidR="00284F5F">
        <w:t>n</w:t>
      </w:r>
      <w:r w:rsidR="00790A05">
        <w:t>o</w:t>
      </w:r>
      <w:r w:rsidR="0085225A">
        <w:t>t terribly</w:t>
      </w:r>
      <w:r w:rsidR="00284F5F">
        <w:t xml:space="preserve"> successful</w:t>
      </w:r>
      <w:r w:rsidR="00CD78BB">
        <w:t>;</w:t>
      </w:r>
      <w:r w:rsidR="00284F5F">
        <w:t xml:space="preserve"> but </w:t>
      </w:r>
      <w:r w:rsidR="009E472B">
        <w:t xml:space="preserve">in the present context, </w:t>
      </w:r>
      <w:r w:rsidR="00284F5F">
        <w:t>charity demands that</w:t>
      </w:r>
      <w:r w:rsidR="0085225A">
        <w:t xml:space="preserve"> we understand something’s being the best theory as entailing that it is at least moderately successful</w:t>
      </w:r>
      <w:r w:rsidR="00CD78BB">
        <w:t xml:space="preserve"> – successful enough to warrant ontological commitment</w:t>
      </w:r>
      <w:r w:rsidR="00284F5F">
        <w:t>.)</w:t>
      </w:r>
    </w:p>
    <w:p w14:paraId="65A5D83E" w14:textId="72FBDE2A" w:rsidR="000D761D" w:rsidRDefault="00790A05" w:rsidP="002F195A">
      <w:pPr>
        <w:pStyle w:val="Standard"/>
      </w:pPr>
      <w:r>
        <w:tab/>
        <w:t>Of</w:t>
      </w:r>
      <w:r w:rsidR="004E4D6D">
        <w:t xml:space="preserve"> central</w:t>
      </w:r>
      <w:r>
        <w:t xml:space="preserve"> concern</w:t>
      </w:r>
      <w:r w:rsidR="000D761D">
        <w:t xml:space="preserve"> in the present context</w:t>
      </w:r>
      <w:r w:rsidR="00284F5F">
        <w:t xml:space="preserve"> is</w:t>
      </w:r>
      <w:r>
        <w:t xml:space="preserve"> the question</w:t>
      </w:r>
      <w:r w:rsidR="00284F5F">
        <w:t xml:space="preserve"> whether beliefs and desires </w:t>
      </w:r>
      <w:r w:rsidR="003908A7">
        <w:t>as characterized by the social-scientific theories in question</w:t>
      </w:r>
      <w:r w:rsidR="00AA30E0">
        <w:t xml:space="preserve"> </w:t>
      </w:r>
      <w:r w:rsidR="00284F5F">
        <w:t xml:space="preserve">are </w:t>
      </w:r>
      <w:r w:rsidR="00E34A2C">
        <w:t xml:space="preserve">of </w:t>
      </w:r>
      <w:r w:rsidR="00284F5F">
        <w:t>the</w:t>
      </w:r>
      <w:r w:rsidR="00CD78BB">
        <w:t xml:space="preserve"> same</w:t>
      </w:r>
      <w:r>
        <w:t xml:space="preserve"> scientifically respectable</w:t>
      </w:r>
      <w:r w:rsidR="00CD78BB">
        <w:t xml:space="preserve"> </w:t>
      </w:r>
      <w:r w:rsidR="00284F5F">
        <w:t>state-types</w:t>
      </w:r>
      <w:r w:rsidR="0085225A">
        <w:t xml:space="preserve"> as the state</w:t>
      </w:r>
      <w:r w:rsidR="00CD78BB">
        <w:t>-types</w:t>
      </w:r>
      <w:r w:rsidR="00284F5F">
        <w:t xml:space="preserve"> that humans are</w:t>
      </w:r>
      <w:r w:rsidR="00AA30E0">
        <w:t xml:space="preserve"> typically</w:t>
      </w:r>
      <w:r w:rsidR="00284F5F">
        <w:t xml:space="preserve"> in</w:t>
      </w:r>
      <w:r w:rsidR="0085225A">
        <w:t xml:space="preserve"> when they have</w:t>
      </w:r>
      <w:r w:rsidR="00E34A2C">
        <w:t xml:space="preserve"> what </w:t>
      </w:r>
      <w:r w:rsidR="008B58ED">
        <w:t xml:space="preserve">are commonly </w:t>
      </w:r>
      <w:r w:rsidR="00E34A2C">
        <w:t>call</w:t>
      </w:r>
      <w:r w:rsidR="008B58ED">
        <w:t>ed</w:t>
      </w:r>
      <w:r w:rsidR="0085225A">
        <w:t xml:space="preserve"> </w:t>
      </w:r>
      <w:r w:rsidR="00E34A2C">
        <w:t>‘</w:t>
      </w:r>
      <w:r w:rsidR="0085225A">
        <w:t>beliefs</w:t>
      </w:r>
      <w:r w:rsidR="00E34A2C">
        <w:t>’</w:t>
      </w:r>
      <w:r w:rsidR="0085225A">
        <w:t xml:space="preserve"> and </w:t>
      </w:r>
      <w:r w:rsidR="00E34A2C">
        <w:t>‘</w:t>
      </w:r>
      <w:r w:rsidR="0085225A">
        <w:t>desires</w:t>
      </w:r>
      <w:r w:rsidR="00E34A2C">
        <w:t>’</w:t>
      </w:r>
      <w:r>
        <w:t xml:space="preserve">. </w:t>
      </w:r>
      <w:r w:rsidR="00E34364">
        <w:t>I</w:t>
      </w:r>
      <w:r w:rsidR="00870BB0">
        <w:t xml:space="preserve">t is hardly guaranteed that all </w:t>
      </w:r>
      <w:r w:rsidR="000D761D">
        <w:t>applications</w:t>
      </w:r>
      <w:r w:rsidR="00CD78BB">
        <w:t xml:space="preserve"> </w:t>
      </w:r>
      <w:r w:rsidR="00870BB0">
        <w:t xml:space="preserve">of ‘belief’ and ‘desire’ </w:t>
      </w:r>
      <w:r w:rsidR="00CD78BB">
        <w:t xml:space="preserve">refer to the same </w:t>
      </w:r>
      <w:r w:rsidR="003908A7">
        <w:t>natural kind.</w:t>
      </w:r>
      <w:r w:rsidR="00596A7A">
        <w:t xml:space="preserve"> </w:t>
      </w:r>
      <w:r w:rsidR="008B58ED">
        <w:t>Consider that t</w:t>
      </w:r>
      <w:r w:rsidR="00596A7A">
        <w:t>ypical g</w:t>
      </w:r>
      <w:r w:rsidR="000672DE">
        <w:t>roups and</w:t>
      </w:r>
      <w:r w:rsidR="00596A7A">
        <w:t xml:space="preserve"> typical individual</w:t>
      </w:r>
      <w:r w:rsidR="000672DE">
        <w:t xml:space="preserve"> humans differ </w:t>
      </w:r>
      <w:r w:rsidR="00CD78BB">
        <w:t>enormous</w:t>
      </w:r>
      <w:r w:rsidR="000672DE">
        <w:t>ly</w:t>
      </w:r>
      <w:r>
        <w:t xml:space="preserve"> in way</w:t>
      </w:r>
      <w:r w:rsidR="00870BB0">
        <w:t>s</w:t>
      </w:r>
      <w:r>
        <w:t xml:space="preserve"> that are, at least </w:t>
      </w:r>
      <w:r w:rsidRPr="00790A05">
        <w:rPr>
          <w:i/>
        </w:rPr>
        <w:t>prima facie</w:t>
      </w:r>
      <w:r>
        <w:t xml:space="preserve">, </w:t>
      </w:r>
      <w:r w:rsidR="000D761D">
        <w:t xml:space="preserve">psychologically </w:t>
      </w:r>
      <w:r>
        <w:t>relevant</w:t>
      </w:r>
      <w:r w:rsidR="00596A7A">
        <w:t xml:space="preserve">. Take, for example, matters to do with </w:t>
      </w:r>
      <w:r w:rsidR="0085225A">
        <w:t>lifestyle</w:t>
      </w:r>
      <w:r w:rsidR="00596A7A">
        <w:t xml:space="preserve"> and</w:t>
      </w:r>
      <w:r w:rsidR="0085225A">
        <w:t xml:space="preserve"> inter</w:t>
      </w:r>
      <w:r w:rsidR="00596A7A">
        <w:t>-individual</w:t>
      </w:r>
      <w:r w:rsidR="0085225A">
        <w:t xml:space="preserve"> interaction</w:t>
      </w:r>
      <w:r w:rsidR="00CD78BB">
        <w:t>.</w:t>
      </w:r>
      <w:r w:rsidR="009F241F">
        <w:t xml:space="preserve"> </w:t>
      </w:r>
      <w:r w:rsidR="00596A7A">
        <w:t>Groups do not</w:t>
      </w:r>
      <w:r w:rsidR="0085225A">
        <w:t xml:space="preserve"> </w:t>
      </w:r>
      <w:proofErr w:type="spellStart"/>
      <w:r w:rsidR="0085225A">
        <w:t xml:space="preserve">post </w:t>
      </w:r>
      <w:r w:rsidR="00CD78BB">
        <w:t>dating</w:t>
      </w:r>
      <w:proofErr w:type="spellEnd"/>
      <w:r w:rsidR="0085225A">
        <w:t xml:space="preserve"> profiles on Web sites and make </w:t>
      </w:r>
      <w:r w:rsidR="00596A7A">
        <w:t>arrangements to join</w:t>
      </w:r>
      <w:r w:rsidR="0085225A">
        <w:t xml:space="preserve"> each other</w:t>
      </w:r>
      <w:r w:rsidR="00CD78BB">
        <w:t xml:space="preserve"> for coffee or drink</w:t>
      </w:r>
      <w:r w:rsidR="008B58ED">
        <w:t>s. G</w:t>
      </w:r>
      <w:r w:rsidR="00596A7A">
        <w:t xml:space="preserve">roups do not </w:t>
      </w:r>
      <w:r w:rsidR="00CD78BB">
        <w:t>put</w:t>
      </w:r>
      <w:r w:rsidR="0085225A">
        <w:t xml:space="preserve"> their offspring down for naps, making sure </w:t>
      </w:r>
      <w:r w:rsidR="00CD78BB">
        <w:t xml:space="preserve">first to change </w:t>
      </w:r>
      <w:r w:rsidR="000D761D">
        <w:t>the</w:t>
      </w:r>
      <w:r w:rsidR="00870BB0">
        <w:t>ir</w:t>
      </w:r>
      <w:r w:rsidR="000D761D">
        <w:t xml:space="preserve"> </w:t>
      </w:r>
      <w:r w:rsidR="00CD78BB">
        <w:t>baby-groups</w:t>
      </w:r>
      <w:r w:rsidR="000672DE">
        <w:t>’</w:t>
      </w:r>
      <w:r w:rsidR="0085225A">
        <w:t xml:space="preserve"> diaper</w:t>
      </w:r>
      <w:r w:rsidR="000672DE">
        <w:t>s</w:t>
      </w:r>
      <w:r w:rsidR="008B58ED">
        <w:t>. I</w:t>
      </w:r>
      <w:r w:rsidR="000D761D">
        <w:t>ndividual humans have characteristic developmental patterns and experiences that groups do not have</w:t>
      </w:r>
      <w:r w:rsidR="009E472B">
        <w:t>, for example, in</w:t>
      </w:r>
      <w:r w:rsidR="006060D5">
        <w:t xml:space="preserve"> </w:t>
      </w:r>
      <w:r w:rsidR="000D761D">
        <w:t xml:space="preserve">learning a song about </w:t>
      </w:r>
      <w:r w:rsidR="009E472B">
        <w:t>their first-language’s</w:t>
      </w:r>
      <w:r w:rsidR="000D761D">
        <w:t xml:space="preserve"> alphabet</w:t>
      </w:r>
      <w:r w:rsidR="006060D5">
        <w:t xml:space="preserve"> or</w:t>
      </w:r>
      <w:r w:rsidR="000D761D">
        <w:t xml:space="preserve"> coming to understand </w:t>
      </w:r>
      <w:r w:rsidR="00870BB0">
        <w:t xml:space="preserve">aspects of </w:t>
      </w:r>
      <w:r w:rsidR="000D761D">
        <w:t>group dynamic</w:t>
      </w:r>
      <w:r w:rsidR="00870BB0">
        <w:t>s</w:t>
      </w:r>
      <w:r w:rsidR="006060D5">
        <w:t xml:space="preserve"> </w:t>
      </w:r>
      <w:r w:rsidR="00870BB0">
        <w:t>by</w:t>
      </w:r>
      <w:r w:rsidR="006060D5">
        <w:t xml:space="preserve"> participati</w:t>
      </w:r>
      <w:r w:rsidR="00870BB0">
        <w:t>ng</w:t>
      </w:r>
      <w:r w:rsidR="006060D5">
        <w:t xml:space="preserve"> in</w:t>
      </w:r>
      <w:r w:rsidR="00870BB0">
        <w:t xml:space="preserve"> organized</w:t>
      </w:r>
      <w:r w:rsidR="006060D5">
        <w:t xml:space="preserve"> sporting activities</w:t>
      </w:r>
      <w:r w:rsidR="000D761D">
        <w:t>.</w:t>
      </w:r>
      <w:r w:rsidR="0085225A">
        <w:t xml:space="preserve"> </w:t>
      </w:r>
      <w:r w:rsidR="00CD78BB">
        <w:t>And so on</w:t>
      </w:r>
      <w:r w:rsidR="0085225A">
        <w:t xml:space="preserve">, </w:t>
      </w:r>
      <w:r w:rsidR="0085225A">
        <w:lastRenderedPageBreak/>
        <w:t>through</w:t>
      </w:r>
      <w:r w:rsidR="008B58ED">
        <w:t>out a wide range</w:t>
      </w:r>
      <w:r w:rsidR="0085225A">
        <w:t xml:space="preserve"> of </w:t>
      </w:r>
      <w:r w:rsidR="008B58ED">
        <w:t>humans’</w:t>
      </w:r>
      <w:r w:rsidR="0085225A">
        <w:t xml:space="preserve"> everyday</w:t>
      </w:r>
      <w:r w:rsidR="000D761D">
        <w:t xml:space="preserve"> affairs</w:t>
      </w:r>
      <w:r w:rsidR="00CD78BB">
        <w:t>.</w:t>
      </w:r>
      <w:r w:rsidR="004E4D6D">
        <w:t xml:space="preserve"> </w:t>
      </w:r>
      <w:r w:rsidR="00CD78BB">
        <w:t>I</w:t>
      </w:r>
      <w:r w:rsidR="004E4D6D">
        <w:t>t</w:t>
      </w:r>
      <w:r w:rsidR="00CD21E3">
        <w:t xml:space="preserve"> would be no surprise</w:t>
      </w:r>
      <w:r w:rsidR="00CD78BB">
        <w:t>, then,</w:t>
      </w:r>
      <w:r w:rsidR="00CD21E3">
        <w:t xml:space="preserve"> if the</w:t>
      </w:r>
      <w:r w:rsidR="009F241F">
        <w:t xml:space="preserve"> cognitive</w:t>
      </w:r>
      <w:r w:rsidR="00CD21E3">
        <w:t xml:space="preserve"> states</w:t>
      </w:r>
      <w:r w:rsidR="009F241F">
        <w:t xml:space="preserve"> operative in producing a distinctively human life were </w:t>
      </w:r>
      <w:r w:rsidR="00CD21E3">
        <w:t xml:space="preserve">of </w:t>
      </w:r>
      <w:r w:rsidR="00CD78BB">
        <w:t xml:space="preserve">a different </w:t>
      </w:r>
      <w:r w:rsidR="00CD21E3">
        <w:t xml:space="preserve">kind </w:t>
      </w:r>
      <w:r w:rsidR="00CD78BB">
        <w:t>from</w:t>
      </w:r>
      <w:r w:rsidR="00CD21E3">
        <w:t xml:space="preserve"> th</w:t>
      </w:r>
      <w:r w:rsidR="009F241F">
        <w:t>e group-level states that produce, for example, court decisions</w:t>
      </w:r>
      <w:r w:rsidR="00CD78BB">
        <w:t xml:space="preserve">, even if the </w:t>
      </w:r>
      <w:r w:rsidR="009F241F">
        <w:t xml:space="preserve">latter </w:t>
      </w:r>
      <w:r w:rsidR="00CD78BB">
        <w:t>states</w:t>
      </w:r>
      <w:r w:rsidR="00C56B06">
        <w:t xml:space="preserve"> are sometimes called ‘beliefs’ and ‘desires’ and even if they</w:t>
      </w:r>
      <w:r w:rsidR="00CD78BB">
        <w:t xml:space="preserve"> play an important causal-explanatory role</w:t>
      </w:r>
      <w:r w:rsidR="009F241F">
        <w:t xml:space="preserve"> in the social sciences</w:t>
      </w:r>
      <w:r w:rsidR="009E472B">
        <w:t xml:space="preserve">, </w:t>
      </w:r>
      <w:r w:rsidR="00596A7A">
        <w:t xml:space="preserve">and thus are not </w:t>
      </w:r>
      <w:r w:rsidR="009E472B">
        <w:t>at all</w:t>
      </w:r>
      <w:r w:rsidR="00596A7A">
        <w:t xml:space="preserve"> uninteresting</w:t>
      </w:r>
      <w:r w:rsidR="009E472B">
        <w:t>.</w:t>
      </w:r>
      <w:r w:rsidR="009E472B">
        <w:rPr>
          <w:rStyle w:val="FootnoteReference"/>
        </w:rPr>
        <w:footnoteReference w:id="6"/>
      </w:r>
    </w:p>
    <w:p w14:paraId="4A05838C" w14:textId="09474052" w:rsidR="0085225A" w:rsidRDefault="00A95167" w:rsidP="002F195A">
      <w:pPr>
        <w:pStyle w:val="Standard"/>
      </w:pPr>
      <w:r>
        <w:tab/>
      </w:r>
      <w:r w:rsidR="009F241F">
        <w:t xml:space="preserve">How shall </w:t>
      </w:r>
      <w:r w:rsidR="006060D5">
        <w:t>the issue</w:t>
      </w:r>
      <w:r w:rsidR="000D761D">
        <w:t xml:space="preserve"> </w:t>
      </w:r>
      <w:r w:rsidR="00596A7A">
        <w:t>be decided?</w:t>
      </w:r>
      <w:r w:rsidR="00CD78BB">
        <w:t xml:space="preserve"> A convincing </w:t>
      </w:r>
      <w:r w:rsidR="00994AFD">
        <w:t xml:space="preserve">account of sameness </w:t>
      </w:r>
      <w:r w:rsidR="004E4D6D">
        <w:t>and</w:t>
      </w:r>
      <w:r w:rsidR="00994AFD">
        <w:t xml:space="preserve"> difference of natural kinds</w:t>
      </w:r>
      <w:r w:rsidR="00CD78BB">
        <w:t xml:space="preserve"> – </w:t>
      </w:r>
      <w:r w:rsidR="004E4D6D">
        <w:t xml:space="preserve">or of what sort of evidence we might have for sameness or difference of two </w:t>
      </w:r>
      <w:r w:rsidR="00E34364">
        <w:t>members</w:t>
      </w:r>
      <w:r w:rsidR="004E4D6D">
        <w:t xml:space="preserve"> of a natural kind</w:t>
      </w:r>
      <w:r w:rsidR="00CD78BB">
        <w:t xml:space="preserve"> – would </w:t>
      </w:r>
      <w:r w:rsidR="006060D5">
        <w:t>provide</w:t>
      </w:r>
      <w:r w:rsidR="00CD78BB">
        <w:t xml:space="preserve"> one</w:t>
      </w:r>
      <w:r w:rsidR="009F241F">
        <w:t xml:space="preserve"> promising</w:t>
      </w:r>
      <w:r w:rsidR="00CD78BB">
        <w:t xml:space="preserve"> path forward. This is th</w:t>
      </w:r>
      <w:r w:rsidR="004E4D6D">
        <w:t xml:space="preserve">e subject of </w:t>
      </w:r>
      <w:r w:rsidR="00CD78BB">
        <w:t>S</w:t>
      </w:r>
      <w:r w:rsidR="004E4D6D">
        <w:t>ection III</w:t>
      </w:r>
      <w:r w:rsidR="00CD78BB">
        <w:t>, below</w:t>
      </w:r>
      <w:r w:rsidR="004E4D6D">
        <w:t>.</w:t>
      </w:r>
      <w:r w:rsidR="0085225A">
        <w:t xml:space="preserve"> </w:t>
      </w:r>
    </w:p>
    <w:p w14:paraId="7170639A" w14:textId="64D7DDBB" w:rsidR="0085225A" w:rsidRDefault="00994AFD" w:rsidP="002F195A">
      <w:pPr>
        <w:pStyle w:val="Standard"/>
      </w:pPr>
      <w:r>
        <w:tab/>
      </w:r>
      <w:r w:rsidR="003E3ACC">
        <w:t xml:space="preserve">To be fair, though, </w:t>
      </w:r>
      <w:r w:rsidR="00987146">
        <w:t>List might</w:t>
      </w:r>
      <w:r w:rsidR="007007EC">
        <w:t xml:space="preserve"> </w:t>
      </w:r>
      <w:r w:rsidR="004B6487">
        <w:t>take</w:t>
      </w:r>
      <w:r w:rsidR="007007EC">
        <w:t xml:space="preserve"> the question about sameness of kin</w:t>
      </w:r>
      <w:r w:rsidR="004B6487">
        <w:t>d to have been answered. After all, List and Pettit go to some lengths to state and explain their account of what it is to be an agent: an</w:t>
      </w:r>
      <w:r w:rsidR="00987146">
        <w:t xml:space="preserve"> entity is </w:t>
      </w:r>
      <w:r w:rsidR="00FD46FF">
        <w:t xml:space="preserve">an agent if and only if </w:t>
      </w:r>
      <w:r w:rsidR="004B6487">
        <w:t xml:space="preserve">it </w:t>
      </w:r>
      <w:r w:rsidR="00FD46FF">
        <w:t>has representational states, motivational states, and the ability to combine these in appropriate ways to act on its environment</w:t>
      </w:r>
      <w:r w:rsidR="00987146">
        <w:t xml:space="preserve"> (List and Pettit 2011,</w:t>
      </w:r>
      <w:r w:rsidR="00987146">
        <w:rPr>
          <w:i/>
        </w:rPr>
        <w:t xml:space="preserve"> </w:t>
      </w:r>
      <w:r w:rsidR="00987146">
        <w:t xml:space="preserve">20). </w:t>
      </w:r>
      <w:r w:rsidR="00E91917">
        <w:t>This</w:t>
      </w:r>
      <w:r w:rsidR="00987146">
        <w:t xml:space="preserve"> says, essentially, that something is an agent if</w:t>
      </w:r>
      <w:r w:rsidR="00E91917">
        <w:t xml:space="preserve"> and only if</w:t>
      </w:r>
      <w:r w:rsidR="00987146">
        <w:t xml:space="preserve"> it has a belief-desire psychology, behaving in ways that obey</w:t>
      </w:r>
      <w:r w:rsidR="00E91917">
        <w:t>,</w:t>
      </w:r>
      <w:r w:rsidR="00987146">
        <w:t xml:space="preserve"> and can be predicted </w:t>
      </w:r>
      <w:r w:rsidR="00C56B06">
        <w:t xml:space="preserve">and explained </w:t>
      </w:r>
      <w:r w:rsidR="00987146">
        <w:t>by</w:t>
      </w:r>
      <w:r w:rsidR="00E91917">
        <w:t>,</w:t>
      </w:r>
      <w:r w:rsidR="00987146">
        <w:t xml:space="preserve"> applications of the practical syllogism. </w:t>
      </w:r>
      <w:r w:rsidR="00E91917">
        <w:t>This, however,</w:t>
      </w:r>
      <w:r w:rsidR="00987146">
        <w:t xml:space="preserve"> is too schematic. It exploits the reader’s familiarity with folk psychology, that is, with everyday explanatory practices </w:t>
      </w:r>
      <w:r w:rsidR="00E91917">
        <w:t>of value in our interaction with</w:t>
      </w:r>
      <w:r w:rsidR="00987146">
        <w:t xml:space="preserve"> conspecifics</w:t>
      </w:r>
      <w:r w:rsidR="00E91917">
        <w:t>; but it does not address</w:t>
      </w:r>
      <w:r w:rsidR="00987146">
        <w:t xml:space="preserve"> the difficult questions</w:t>
      </w:r>
      <w:r w:rsidR="00E91917">
        <w:t xml:space="preserve"> about genuine sameness of</w:t>
      </w:r>
      <w:r w:rsidR="00076497">
        <w:t xml:space="preserve"> natural</w:t>
      </w:r>
      <w:r w:rsidR="00E91917">
        <w:t xml:space="preserve"> kind</w:t>
      </w:r>
      <w:r w:rsidR="00E34364">
        <w:t>.</w:t>
      </w:r>
      <w:r w:rsidR="00987146">
        <w:t xml:space="preserve"> </w:t>
      </w:r>
      <w:r w:rsidR="00E34364">
        <w:t>I</w:t>
      </w:r>
      <w:r w:rsidR="00987146">
        <w:t>n particular</w:t>
      </w:r>
      <w:r w:rsidR="00E91917">
        <w:t>, it does not establish that</w:t>
      </w:r>
      <w:r w:rsidR="00987146">
        <w:t xml:space="preserve"> (a)</w:t>
      </w:r>
      <w:r w:rsidR="00E91917">
        <w:t xml:space="preserve"> </w:t>
      </w:r>
      <w:r w:rsidR="00DA0B43">
        <w:t xml:space="preserve">folk psychological kinds are natural kinds (that is, whether </w:t>
      </w:r>
      <w:r w:rsidR="00076497">
        <w:t xml:space="preserve">representational and motivational </w:t>
      </w:r>
      <w:r w:rsidR="00DA0B43">
        <w:t xml:space="preserve">states, </w:t>
      </w:r>
      <w:r w:rsidR="00DA0B43">
        <w:rPr>
          <w:i/>
        </w:rPr>
        <w:t>as they’re conceived of by the folk</w:t>
      </w:r>
      <w:r w:rsidR="00DA0B43">
        <w:t>, appear in any scientific theories successful enough to warrant ontological commitment)</w:t>
      </w:r>
      <w:r w:rsidR="00E91917">
        <w:t xml:space="preserve"> or </w:t>
      </w:r>
      <w:r w:rsidR="00DA0B43">
        <w:t xml:space="preserve">(b) </w:t>
      </w:r>
      <w:r w:rsidR="00E91917">
        <w:t>that</w:t>
      </w:r>
      <w:r w:rsidR="00DA0B43">
        <w:t xml:space="preserve"> the states adverted to in </w:t>
      </w:r>
      <w:r w:rsidR="00C56B06">
        <w:t xml:space="preserve">List’s </w:t>
      </w:r>
      <w:r w:rsidR="00DA0B43">
        <w:t xml:space="preserve">Premise 1 are of the same kind as </w:t>
      </w:r>
      <w:r w:rsidR="00E91917">
        <w:t>whatever</w:t>
      </w:r>
      <w:r w:rsidR="00DA0B43">
        <w:t xml:space="preserve"> </w:t>
      </w:r>
      <w:r w:rsidR="00E91917">
        <w:t xml:space="preserve">sort </w:t>
      </w:r>
      <w:r w:rsidR="00E91917">
        <w:lastRenderedPageBreak/>
        <w:t xml:space="preserve">of </w:t>
      </w:r>
      <w:r w:rsidR="00DA0B43">
        <w:t>folk states</w:t>
      </w:r>
      <w:r w:rsidR="00E91917">
        <w:t xml:space="preserve"> are vindicated by cognitive science </w:t>
      </w:r>
      <w:r w:rsidR="00076497">
        <w:t>(</w:t>
      </w:r>
      <w:r w:rsidR="00E91917">
        <w:t>or are of the same kind as whatever states cognitive science puts in place of folk psychological state-types</w:t>
      </w:r>
      <w:r w:rsidR="00076497">
        <w:t>)</w:t>
      </w:r>
      <w:r w:rsidR="00E91917">
        <w:t>.</w:t>
      </w:r>
      <w:r w:rsidR="00076497">
        <w:t xml:space="preserve"> Cognitive science has produced accounts of motivational and representational states, but </w:t>
      </w:r>
      <w:r w:rsidR="00C56B06">
        <w:t>many of them are</w:t>
      </w:r>
      <w:r w:rsidR="00076497">
        <w:t xml:space="preserve"> detailed, characterizing mechanisms that are not likely to appear in extant groups; their success hardly shows that</w:t>
      </w:r>
      <w:r w:rsidR="00C56B06">
        <w:t xml:space="preserve"> the thin property </w:t>
      </w:r>
      <w:r w:rsidR="00C56B06" w:rsidRPr="00E34364">
        <w:rPr>
          <w:i/>
        </w:rPr>
        <w:t>being a motivational state</w:t>
      </w:r>
      <w:r w:rsidR="00076497">
        <w:t xml:space="preserve"> plays a robust causal-explanatory role.</w:t>
      </w:r>
    </w:p>
    <w:p w14:paraId="2EAB5A59" w14:textId="775B4D7B" w:rsidR="00E91917" w:rsidRDefault="006A6234" w:rsidP="002F195A">
      <w:pPr>
        <w:pStyle w:val="Standard"/>
      </w:pPr>
      <w:r>
        <w:tab/>
      </w:r>
      <w:r w:rsidR="00076497">
        <w:t xml:space="preserve">Let me come at this concern from a somewhat different angle. </w:t>
      </w:r>
      <w:r w:rsidR="00E91917">
        <w:t>List and Pettit set their discussion of state-types in</w:t>
      </w:r>
      <w:r w:rsidR="006060D5">
        <w:t xml:space="preserve"> a</w:t>
      </w:r>
      <w:r w:rsidR="00E91917">
        <w:t xml:space="preserve"> theoretical context, a context </w:t>
      </w:r>
      <w:r w:rsidR="003E3ACC">
        <w:t>indicated by</w:t>
      </w:r>
      <w:r w:rsidR="00E91917">
        <w:t xml:space="preserve"> List’s Premise 1. They</w:t>
      </w:r>
      <w:r w:rsidR="007B4BD7">
        <w:t xml:space="preserve"> </w:t>
      </w:r>
      <w:r w:rsidR="00E91917">
        <w:t>are</w:t>
      </w:r>
      <w:r w:rsidR="007B4BD7">
        <w:t xml:space="preserve"> functionalis</w:t>
      </w:r>
      <w:r w:rsidR="00E91917">
        <w:t>ts</w:t>
      </w:r>
      <w:r w:rsidR="007B4BD7">
        <w:t xml:space="preserve"> about mental states (Putnam</w:t>
      </w:r>
      <w:r w:rsidR="00CF5F72">
        <w:t xml:space="preserve"> 1967</w:t>
      </w:r>
      <w:r w:rsidR="007B4BD7">
        <w:t>, Lewi</w:t>
      </w:r>
      <w:r w:rsidR="00CF5F72">
        <w:t xml:space="preserve">s </w:t>
      </w:r>
      <w:r w:rsidR="007E6292">
        <w:t>1980, Shoemaker 1981</w:t>
      </w:r>
      <w:r w:rsidR="007B4BD7">
        <w:t xml:space="preserve">). </w:t>
      </w:r>
      <w:r w:rsidR="00E91917">
        <w:t xml:space="preserve">List and Pettit cannot be faulted for </w:t>
      </w:r>
      <w:r w:rsidR="00707FB9">
        <w:t>this</w:t>
      </w:r>
      <w:r w:rsidR="00E91917">
        <w:t>; the functionalist</w:t>
      </w:r>
      <w:r w:rsidR="00076497">
        <w:t xml:space="preserve"> approach to mental state-types holds the position of front-runner in philosophy of mind.</w:t>
      </w:r>
      <w:r w:rsidR="00E91917">
        <w:t xml:space="preserve"> But, this functionalist perspective also </w:t>
      </w:r>
      <w:r w:rsidR="00076497">
        <w:t>provides</w:t>
      </w:r>
      <w:r w:rsidR="00E91917">
        <w:t xml:space="preserve"> a</w:t>
      </w:r>
      <w:r w:rsidR="00076497">
        <w:t xml:space="preserve"> </w:t>
      </w:r>
      <w:r w:rsidR="00E91917">
        <w:t>perspicuous framework</w:t>
      </w:r>
      <w:r w:rsidR="00076497">
        <w:t xml:space="preserve"> within which </w:t>
      </w:r>
      <w:r w:rsidR="00707FB9">
        <w:t>to</w:t>
      </w:r>
      <w:r w:rsidR="00076497">
        <w:t xml:space="preserve"> pinpoint </w:t>
      </w:r>
      <w:r w:rsidR="00E91917">
        <w:t>the</w:t>
      </w:r>
      <w:r w:rsidR="006060D5">
        <w:t xml:space="preserve"> lacuna</w:t>
      </w:r>
      <w:r w:rsidR="00E91917">
        <w:t xml:space="preserve"> </w:t>
      </w:r>
      <w:r w:rsidR="006060D5">
        <w:t xml:space="preserve">in </w:t>
      </w:r>
      <w:r w:rsidR="00E91917">
        <w:t>List’s argument.</w:t>
      </w:r>
      <w:r w:rsidR="007B4BD7">
        <w:t xml:space="preserve"> </w:t>
      </w:r>
    </w:p>
    <w:p w14:paraId="07CCFB00" w14:textId="5C98156A" w:rsidR="00E0024F" w:rsidRDefault="00E91917" w:rsidP="002F195A">
      <w:pPr>
        <w:pStyle w:val="Standard"/>
      </w:pPr>
      <w:r>
        <w:tab/>
        <w:t>On the functionalist view, t</w:t>
      </w:r>
      <w:r w:rsidR="00E0024F">
        <w:t xml:space="preserve">o be in a given type of mental state </w:t>
      </w:r>
      <w:r>
        <w:t xml:space="preserve">is to be in a state that plays </w:t>
      </w:r>
      <w:r w:rsidR="006060D5">
        <w:t>a</w:t>
      </w:r>
      <w:r>
        <w:t xml:space="preserve"> distinct causal-functional role in the subject’s overall economy of states that mediate between input and output. </w:t>
      </w:r>
      <w:r w:rsidR="00707FB9">
        <w:t>T</w:t>
      </w:r>
      <w:r>
        <w:t>o be in</w:t>
      </w:r>
      <w:r w:rsidR="00E0024F">
        <w:t xml:space="preserve"> the sort</w:t>
      </w:r>
      <w:r>
        <w:t xml:space="preserve"> of state-type that</w:t>
      </w:r>
      <w:r w:rsidR="00E0024F">
        <w:t xml:space="preserve"> a human is in is to be in a state that holds</w:t>
      </w:r>
      <w:r w:rsidR="00076497">
        <w:t xml:space="preserve"> the same place as</w:t>
      </w:r>
      <w:r w:rsidR="00E0024F">
        <w:t xml:space="preserve"> </w:t>
      </w:r>
      <w:r w:rsidR="00076497">
        <w:t>the human state holds i</w:t>
      </w:r>
      <w:r w:rsidR="00E0024F">
        <w:t>n a massive</w:t>
      </w:r>
      <w:r w:rsidR="00707FB9">
        <w:t>ly internally interconnected</w:t>
      </w:r>
      <w:r w:rsidR="00E0024F">
        <w:t xml:space="preserve"> construct, involving hope,</w:t>
      </w:r>
      <w:r w:rsidR="00076497">
        <w:t xml:space="preserve"> perception,</w:t>
      </w:r>
      <w:r w:rsidR="00E0024F">
        <w:t xml:space="preserve"> fear, memory, dream</w:t>
      </w:r>
      <w:r w:rsidR="00076497">
        <w:t>ing</w:t>
      </w:r>
      <w:r w:rsidR="00E0024F">
        <w:t>,</w:t>
      </w:r>
      <w:r w:rsidR="00076497">
        <w:t xml:space="preserve"> inference,</w:t>
      </w:r>
      <w:r w:rsidR="00E0024F">
        <w:t xml:space="preserve"> etc. How much</w:t>
      </w:r>
      <w:r>
        <w:t xml:space="preserve"> detail</w:t>
      </w:r>
      <w:r w:rsidR="00E0024F">
        <w:t xml:space="preserve"> </w:t>
      </w:r>
      <w:r w:rsidR="00E34364">
        <w:t>should</w:t>
      </w:r>
      <w:r w:rsidR="00E0024F">
        <w:t xml:space="preserve"> be built into th</w:t>
      </w:r>
      <w:r>
        <w:t xml:space="preserve">is </w:t>
      </w:r>
      <w:r w:rsidR="00E0024F">
        <w:t>network is a matter of controversy</w:t>
      </w:r>
      <w:r>
        <w:t xml:space="preserve"> (Block</w:t>
      </w:r>
      <w:r w:rsidR="00DA7B39">
        <w:t xml:space="preserve"> 1978</w:t>
      </w:r>
      <w:r>
        <w:t>), but this much is clear:</w:t>
      </w:r>
      <w:r w:rsidR="00E0024F">
        <w:t xml:space="preserve"> List must identify a</w:t>
      </w:r>
      <w:r w:rsidR="00DA7B39">
        <w:t xml:space="preserve"> functionalist</w:t>
      </w:r>
      <w:r w:rsidR="00E0024F">
        <w:t xml:space="preserve"> </w:t>
      </w:r>
      <w:r w:rsidR="00EA0962">
        <w:t xml:space="preserve">conception of belief and desire </w:t>
      </w:r>
      <w:r w:rsidR="00DA7B39">
        <w:t xml:space="preserve">sufficiently fine-grained </w:t>
      </w:r>
      <w:r w:rsidR="00EA0962">
        <w:t xml:space="preserve">that </w:t>
      </w:r>
      <w:r>
        <w:t>the states in question</w:t>
      </w:r>
      <w:r w:rsidR="00EA0962">
        <w:t xml:space="preserve"> play a </w:t>
      </w:r>
      <w:r>
        <w:t xml:space="preserve">significant </w:t>
      </w:r>
      <w:r w:rsidR="00EA0962">
        <w:t xml:space="preserve">causal-explanatory role (or </w:t>
      </w:r>
      <w:r>
        <w:t>appear as</w:t>
      </w:r>
      <w:r w:rsidR="00EA0962">
        <w:t xml:space="preserve"> non-extraneous </w:t>
      </w:r>
      <w:r>
        <w:t>elements</w:t>
      </w:r>
      <w:r w:rsidR="00EA0962">
        <w:t xml:space="preserve"> in our best, reasonably successful </w:t>
      </w:r>
      <w:r w:rsidR="00EA0962">
        <w:lastRenderedPageBreak/>
        <w:t>models</w:t>
      </w:r>
      <w:r w:rsidR="00E34364">
        <w:t xml:space="preserve"> of human behavior</w:t>
      </w:r>
      <w:r w:rsidR="00EA0962">
        <w:t>)</w:t>
      </w:r>
      <w:r w:rsidR="00DA7B39">
        <w:t>,</w:t>
      </w:r>
      <w:r w:rsidR="00EA0962">
        <w:t xml:space="preserve"> </w:t>
      </w:r>
      <w:r>
        <w:t xml:space="preserve">but </w:t>
      </w:r>
      <w:r w:rsidR="00DA7B39">
        <w:t>not so fine-grained</w:t>
      </w:r>
      <w:r w:rsidR="00EA0962">
        <w:t xml:space="preserve"> that </w:t>
      </w:r>
      <w:r w:rsidR="00DA7B39">
        <w:t>the</w:t>
      </w:r>
      <w:r w:rsidR="00E34364">
        <w:t xml:space="preserve">y </w:t>
      </w:r>
      <w:r w:rsidR="00DA7B39">
        <w:t xml:space="preserve">clearly are not </w:t>
      </w:r>
      <w:r w:rsidR="00E34364">
        <w:t xml:space="preserve">possessed by </w:t>
      </w:r>
      <w:r>
        <w:t>the typical</w:t>
      </w:r>
      <w:r w:rsidR="00EA0962">
        <w:t xml:space="preserve"> groups</w:t>
      </w:r>
      <w:r>
        <w:t xml:space="preserve"> of interest</w:t>
      </w:r>
      <w:r w:rsidR="00EA0962">
        <w:t>.</w:t>
      </w:r>
      <w:r w:rsidR="00EA0962">
        <w:rPr>
          <w:rStyle w:val="FootnoteReference"/>
        </w:rPr>
        <w:footnoteReference w:id="7"/>
      </w:r>
    </w:p>
    <w:p w14:paraId="407E2C86" w14:textId="4628034B" w:rsidR="00E0024F" w:rsidRDefault="00EA0962" w:rsidP="002F195A">
      <w:pPr>
        <w:pStyle w:val="Standard"/>
      </w:pPr>
      <w:r>
        <w:tab/>
        <w:t xml:space="preserve">Assume </w:t>
      </w:r>
      <w:r w:rsidR="00D91E91">
        <w:t>reasonably enough that the Ramsey sentence</w:t>
      </w:r>
      <w:r w:rsidR="00C00B32">
        <w:t xml:space="preserve"> (Lewis 1970)</w:t>
      </w:r>
      <w:r w:rsidR="00D91E91">
        <w:t xml:space="preserve"> of human psychology, </w:t>
      </w:r>
      <w:r w:rsidR="00B271FC">
        <w:t>as delivered by</w:t>
      </w:r>
      <w:r>
        <w:t xml:space="preserve"> cognitive science</w:t>
      </w:r>
      <w:r w:rsidR="00D91E91">
        <w:t xml:space="preserve"> (</w:t>
      </w:r>
      <w:r>
        <w:t>not folk psychology</w:t>
      </w:r>
      <w:r w:rsidR="00D91E91">
        <w:t>),</w:t>
      </w:r>
      <w:r>
        <w:t xml:space="preserve"> contains at least a modest amount of detail.</w:t>
      </w:r>
      <w:r w:rsidR="001730D5">
        <w:t xml:space="preserve"> What</w:t>
      </w:r>
      <w:r w:rsidR="00B271FC">
        <w:t>,</w:t>
      </w:r>
      <w:r w:rsidR="001730D5">
        <w:t xml:space="preserve"> then</w:t>
      </w:r>
      <w:r w:rsidR="00B271FC">
        <w:t>,</w:t>
      </w:r>
      <w:r w:rsidR="001730D5">
        <w:t xml:space="preserve"> </w:t>
      </w:r>
      <w:r w:rsidR="00076497">
        <w:t>is</w:t>
      </w:r>
      <w:r w:rsidR="001730D5">
        <w:t xml:space="preserve"> the relation between</w:t>
      </w:r>
      <w:r w:rsidR="00B271FC">
        <w:t xml:space="preserve"> it</w:t>
      </w:r>
      <w:r w:rsidR="001730D5">
        <w:t xml:space="preserve"> </w:t>
      </w:r>
      <w:r w:rsidR="00B271FC">
        <w:t xml:space="preserve">and </w:t>
      </w:r>
      <w:r w:rsidR="001730D5">
        <w:t>social-scientific models</w:t>
      </w:r>
      <w:r w:rsidR="00D91E91">
        <w:t xml:space="preserve">? </w:t>
      </w:r>
      <w:r w:rsidR="005C5542">
        <w:t>It</w:t>
      </w:r>
      <w:r w:rsidR="00076497">
        <w:t xml:space="preserve"> is</w:t>
      </w:r>
      <w:r w:rsidR="005C5542">
        <w:t xml:space="preserve"> highly doubtful that Ramsified social-scientific theory as a whole – </w:t>
      </w:r>
      <w:r w:rsidR="00B271FC">
        <w:t>a t</w:t>
      </w:r>
      <w:r w:rsidR="005C5542">
        <w:t>heory of political organizations</w:t>
      </w:r>
      <w:r w:rsidR="00B271FC">
        <w:t xml:space="preserve"> or a</w:t>
      </w:r>
      <w:r w:rsidR="005C5542">
        <w:t xml:space="preserve"> theory of judicial organizations – </w:t>
      </w:r>
      <w:r w:rsidR="00B271FC">
        <w:t>has anything like the</w:t>
      </w:r>
      <w:r w:rsidR="00076497">
        <w:t xml:space="preserve"> same</w:t>
      </w:r>
      <w:r w:rsidR="005C5542">
        <w:t xml:space="preserve"> structure of the Ramsey sentence of human psychology. </w:t>
      </w:r>
      <w:r w:rsidR="00DA7B39">
        <w:t>In which case, g</w:t>
      </w:r>
      <w:r w:rsidR="005C5542">
        <w:t>iven the holistic nature of functionalist state-individuation, humans and the groups in question</w:t>
      </w:r>
      <w:r w:rsidR="00DA7B39">
        <w:t xml:space="preserve"> share </w:t>
      </w:r>
      <w:r w:rsidR="00DA7B39">
        <w:rPr>
          <w:i/>
        </w:rPr>
        <w:t>none</w:t>
      </w:r>
      <w:r w:rsidR="00DA7B39">
        <w:t xml:space="preserve"> of the</w:t>
      </w:r>
      <w:r w:rsidR="00C00B32">
        <w:t xml:space="preserve"> relevant </w:t>
      </w:r>
      <w:r w:rsidR="00DA7B39">
        <w:t>states.</w:t>
      </w:r>
      <w:r w:rsidR="005C5542">
        <w:t xml:space="preserve"> At the very least, we sh</w:t>
      </w:r>
      <w:r w:rsidR="00B271FC">
        <w:t>ould demand</w:t>
      </w:r>
      <w:r w:rsidR="005C5542">
        <w:t xml:space="preserve"> a positive account of sameness of natural kind</w:t>
      </w:r>
      <w:r w:rsidR="00B271FC">
        <w:t xml:space="preserve"> </w:t>
      </w:r>
      <w:r w:rsidR="005C5542">
        <w:t>– beyond the bare comparison of our explanation of group behavior to folk-psychological belief-desire explanation</w:t>
      </w:r>
      <w:r w:rsidR="00B271FC">
        <w:t xml:space="preserve"> – to support the realist’s claim that the natural kinds in question are the same.</w:t>
      </w:r>
      <w:r w:rsidR="00DA7B39">
        <w:rPr>
          <w:rStyle w:val="FootnoteReference"/>
        </w:rPr>
        <w:footnoteReference w:id="8"/>
      </w:r>
    </w:p>
    <w:p w14:paraId="4A6D5111" w14:textId="7A786D8F" w:rsidR="00A22FDD" w:rsidRDefault="005C5542" w:rsidP="002F195A">
      <w:pPr>
        <w:pStyle w:val="Standard"/>
      </w:pPr>
      <w:r>
        <w:tab/>
        <w:t xml:space="preserve">What </w:t>
      </w:r>
      <w:r w:rsidR="00B271FC">
        <w:t>tends to</w:t>
      </w:r>
      <w:r>
        <w:t xml:space="preserve"> obscure th</w:t>
      </w:r>
      <w:r w:rsidR="00B271FC">
        <w:t>e</w:t>
      </w:r>
      <w:r>
        <w:t xml:space="preserve"> problem </w:t>
      </w:r>
      <w:r w:rsidR="00B271FC">
        <w:t xml:space="preserve">at issue </w:t>
      </w:r>
      <w:r>
        <w:t xml:space="preserve">is the fragmentary nature of </w:t>
      </w:r>
      <w:r w:rsidR="00AB2373">
        <w:t>many influential results in the</w:t>
      </w:r>
      <w:r w:rsidR="005A5878">
        <w:t xml:space="preserve"> </w:t>
      </w:r>
      <w:r>
        <w:t>social</w:t>
      </w:r>
      <w:r w:rsidR="00AB2373">
        <w:t xml:space="preserve"> </w:t>
      </w:r>
      <w:r>
        <w:t>scien</w:t>
      </w:r>
      <w:r w:rsidR="00AB2373">
        <w:t>ces</w:t>
      </w:r>
      <w:r w:rsidR="00B271FC">
        <w:t xml:space="preserve"> of interest to </w:t>
      </w:r>
      <w:r w:rsidR="005A5878">
        <w:t>List</w:t>
      </w:r>
      <w:r>
        <w:t xml:space="preserve">. </w:t>
      </w:r>
      <w:r w:rsidR="00AB2373">
        <w:t>B</w:t>
      </w:r>
      <w:r w:rsidR="005A5878">
        <w:t xml:space="preserve">ear in mind the </w:t>
      </w:r>
      <w:r w:rsidR="00C00B32">
        <w:t>fragmentary</w:t>
      </w:r>
      <w:r w:rsidR="005A5878">
        <w:t xml:space="preserve"> nature of typical game-theoretic or decision-theoretic explanatory structure</w:t>
      </w:r>
      <w:r w:rsidR="00AB2373">
        <w:t>s</w:t>
      </w:r>
      <w:r w:rsidR="00620C38">
        <w:t>,</w:t>
      </w:r>
      <w:r w:rsidR="005A5878">
        <w:t xml:space="preserve"> </w:t>
      </w:r>
      <w:r w:rsidR="00820E51">
        <w:t xml:space="preserve">for example, </w:t>
      </w:r>
      <w:r w:rsidR="005A5878">
        <w:t>th</w:t>
      </w:r>
      <w:r w:rsidR="00076497">
        <w:t>os</w:t>
      </w:r>
      <w:r w:rsidR="00820E51">
        <w:t>e discussed in connection</w:t>
      </w:r>
      <w:r w:rsidR="005A5878">
        <w:t xml:space="preserve"> </w:t>
      </w:r>
      <w:r w:rsidR="00491B1D">
        <w:t xml:space="preserve">with </w:t>
      </w:r>
      <w:r w:rsidR="005A5878">
        <w:t>the Prisoner’s Dilemma</w:t>
      </w:r>
      <w:r w:rsidR="00620C38">
        <w:t xml:space="preserve"> (List and Pettit 2011, 107–108)</w:t>
      </w:r>
      <w:r w:rsidR="00AB2373">
        <w:t xml:space="preserve"> </w:t>
      </w:r>
      <w:r w:rsidR="005A5878">
        <w:t xml:space="preserve">or the mechanism for maintaining overall consistency in group-level decisions </w:t>
      </w:r>
      <w:r w:rsidR="00C00B32">
        <w:t>when confronting th</w:t>
      </w:r>
      <w:r w:rsidR="005A5878">
        <w:t>e Discursive Dilemma</w:t>
      </w:r>
      <w:r w:rsidR="00620C38">
        <w:t xml:space="preserve"> (</w:t>
      </w:r>
      <w:r w:rsidR="00620C38">
        <w:rPr>
          <w:i/>
        </w:rPr>
        <w:t>ibid.</w:t>
      </w:r>
      <w:r w:rsidR="00620C38">
        <w:t>, 45–46)</w:t>
      </w:r>
      <w:r w:rsidR="00AB2373">
        <w:t xml:space="preserve">. </w:t>
      </w:r>
      <w:r w:rsidR="005A5878">
        <w:t xml:space="preserve">Of course, many explanatory structures deployed </w:t>
      </w:r>
      <w:r w:rsidR="00620C38">
        <w:t>in cognitive</w:t>
      </w:r>
      <w:r w:rsidR="005A5878">
        <w:t xml:space="preserve"> model</w:t>
      </w:r>
      <w:r w:rsidR="00620C38">
        <w:t>ing</w:t>
      </w:r>
      <w:r w:rsidR="00AB2373">
        <w:t xml:space="preserve"> are mere</w:t>
      </w:r>
      <w:r w:rsidR="005A5878">
        <w:t xml:space="preserve"> fragment</w:t>
      </w:r>
      <w:r w:rsidR="00AB2373">
        <w:t>s of psychological theory</w:t>
      </w:r>
      <w:r w:rsidR="005A5878">
        <w:t xml:space="preserve">, </w:t>
      </w:r>
      <w:r w:rsidR="005A5878">
        <w:lastRenderedPageBreak/>
        <w:t>but the holy grail of cognitive science is clearly the construction of an architecture (</w:t>
      </w:r>
      <w:r w:rsidR="00491B1D">
        <w:t xml:space="preserve">e.g., </w:t>
      </w:r>
      <w:r w:rsidR="005A5878">
        <w:t>SOAR, LEABRA, ACT-R,</w:t>
      </w:r>
      <w:r w:rsidR="00491B1D">
        <w:t xml:space="preserve"> or</w:t>
      </w:r>
      <w:r w:rsidR="005A5878">
        <w:t xml:space="preserve"> GPS)</w:t>
      </w:r>
      <w:r w:rsidR="00AB2373">
        <w:t>,</w:t>
      </w:r>
      <w:r w:rsidR="005A5878">
        <w:t xml:space="preserve"> within the context of which the various fragments</w:t>
      </w:r>
      <w:r w:rsidR="00AB2373">
        <w:t xml:space="preserve"> will cohere as part of a single account of cognition (where</w:t>
      </w:r>
      <w:r w:rsidR="005A5878">
        <w:t xml:space="preserve"> various bits of the language parser</w:t>
      </w:r>
      <w:r w:rsidR="00AB2373">
        <w:t xml:space="preserve"> are</w:t>
      </w:r>
      <w:r w:rsidR="005A5878">
        <w:t xml:space="preserve"> functionally</w:t>
      </w:r>
      <w:r w:rsidR="00491B1D">
        <w:t xml:space="preserve"> inter</w:t>
      </w:r>
      <w:r w:rsidR="005A5878">
        <w:t>woven</w:t>
      </w:r>
      <w:r w:rsidR="00AB2373">
        <w:t>,</w:t>
      </w:r>
      <w:r w:rsidR="005A5878">
        <w:t xml:space="preserve"> which</w:t>
      </w:r>
      <w:r w:rsidR="00491B1D">
        <w:t>,</w:t>
      </w:r>
      <w:r w:rsidR="005A5878">
        <w:t xml:space="preserve"> a</w:t>
      </w:r>
      <w:r w:rsidR="00491B1D">
        <w:t>s a whole, is</w:t>
      </w:r>
      <w:r w:rsidR="005A5878">
        <w:t xml:space="preserve"> woven together with the face-recognition mechanisms, and so on</w:t>
      </w:r>
      <w:r w:rsidR="00AB2373">
        <w:t>)</w:t>
      </w:r>
      <w:r w:rsidR="005A5878">
        <w:t xml:space="preserve">. </w:t>
      </w:r>
      <w:r>
        <w:t>Consider the claim that a</w:t>
      </w:r>
      <w:r w:rsidR="00265E1A">
        <w:t xml:space="preserve"> corporation can act rationally in the market place, a claim that relies on the application of certain forms of optimization </w:t>
      </w:r>
      <w:r w:rsidR="00C00B32">
        <w:t xml:space="preserve">to the </w:t>
      </w:r>
      <w:r w:rsidR="00265E1A">
        <w:t>corporation</w:t>
      </w:r>
      <w:r w:rsidR="00C00B32">
        <w:t>’s input-output function</w:t>
      </w:r>
      <w:r w:rsidR="00265E1A">
        <w:t>. Taken out of the context of the entire Ramsification of human psychology, this might seem to reflect the operation of the same</w:t>
      </w:r>
      <w:r w:rsidR="00C00B32">
        <w:t xml:space="preserve"> kind of</w:t>
      </w:r>
      <w:r w:rsidR="00265E1A">
        <w:t xml:space="preserve"> states that motivate an individual human to optimize her performance with regard to</w:t>
      </w:r>
      <w:r w:rsidR="00C00B32">
        <w:t>, say,</w:t>
      </w:r>
      <w:r w:rsidR="00265E1A">
        <w:t xml:space="preserve"> household finances. But, when set within the context of the Ramsification of individual psychology as a whole and the Ramsification of the theory of corporate structure as a whole, </w:t>
      </w:r>
      <w:r w:rsidR="00AB2373">
        <w:t>there would seem to be no</w:t>
      </w:r>
      <w:r w:rsidR="00265E1A">
        <w:t xml:space="preserve"> merit</w:t>
      </w:r>
      <w:r w:rsidR="00AB2373">
        <w:t xml:space="preserve"> to</w:t>
      </w:r>
      <w:r w:rsidR="00265E1A">
        <w:t xml:space="preserve"> the claim of sameness of kind, given that the overlap between structures</w:t>
      </w:r>
      <w:r w:rsidR="00AB2373">
        <w:t xml:space="preserve"> </w:t>
      </w:r>
      <w:r w:rsidR="00265E1A">
        <w:t>is likely to be very small</w:t>
      </w:r>
      <w:r w:rsidR="00AB2373">
        <w:t xml:space="preserve"> and fragmentary</w:t>
      </w:r>
      <w:r w:rsidR="00265E1A">
        <w:t>.</w:t>
      </w:r>
      <w:r w:rsidR="005C018E">
        <w:t xml:space="preserve"> </w:t>
      </w:r>
      <w:r w:rsidR="00265E1A">
        <w:t>The particular</w:t>
      </w:r>
      <w:r w:rsidR="006060D5">
        <w:t xml:space="preserve"> group-level</w:t>
      </w:r>
      <w:r w:rsidR="00265E1A">
        <w:t xml:space="preserve"> explanation in question relies on a collection of interacting states the behavior of which might match a small collection of states in the Ramsification of human psychology, </w:t>
      </w:r>
      <w:r w:rsidR="00AB2373">
        <w:t>and</w:t>
      </w:r>
      <w:r w:rsidR="00265E1A">
        <w:t xml:space="preserve"> even then</w:t>
      </w:r>
      <w:r w:rsidR="00AB2373">
        <w:t>, only</w:t>
      </w:r>
      <w:r w:rsidR="00265E1A">
        <w:t xml:space="preserve"> within a </w:t>
      </w:r>
      <w:r w:rsidR="00AB2373">
        <w:t xml:space="preserve">highly </w:t>
      </w:r>
      <w:r w:rsidR="00265E1A">
        <w:t xml:space="preserve">limited range. The matching of a small fragment across a </w:t>
      </w:r>
      <w:r w:rsidR="005C018E">
        <w:t xml:space="preserve">highly </w:t>
      </w:r>
      <w:r w:rsidR="00265E1A">
        <w:t>limited range of cases</w:t>
      </w:r>
      <w:r w:rsidR="005C018E">
        <w:t xml:space="preserve"> is hardly grounds for asserting sameness of natural kind – at least not if one assumes, as List does, a functionalist conception of mental states. </w:t>
      </w:r>
      <w:r w:rsidR="00491B1D">
        <w:t>A</w:t>
      </w:r>
      <w:r w:rsidR="00820E51">
        <w:t xml:space="preserve">nyone attempting to evaluate </w:t>
      </w:r>
      <w:r w:rsidR="00E10163">
        <w:t>List’s argument should want</w:t>
      </w:r>
      <w:r w:rsidR="00820E51">
        <w:t xml:space="preserve">, at the very least, </w:t>
      </w:r>
      <w:r w:rsidR="00E10163">
        <w:t xml:space="preserve">a more explicit account of </w:t>
      </w:r>
      <w:r w:rsidR="00820E51">
        <w:t>the</w:t>
      </w:r>
      <w:r w:rsidR="00E10163">
        <w:t xml:space="preserve"> kind of evidence</w:t>
      </w:r>
      <w:r w:rsidR="00820E51">
        <w:t xml:space="preserve"> that would support his</w:t>
      </w:r>
      <w:r w:rsidR="00E10163">
        <w:t xml:space="preserve"> claim to sameness of </w:t>
      </w:r>
      <w:r w:rsidR="00820E51">
        <w:t xml:space="preserve">natural </w:t>
      </w:r>
      <w:r w:rsidR="00E10163">
        <w:t>kind</w:t>
      </w:r>
      <w:r w:rsidR="00820E51">
        <w:t xml:space="preserve"> across individuals and groups (that is, of the kind of evidence that would support the claim that the various uses of ‘belief’, etc. in question </w:t>
      </w:r>
      <w:r w:rsidR="00820E51">
        <w:lastRenderedPageBreak/>
        <w:t>refer to the same natural kind across the cases of humans and groups) and an application of that standard to the matters at hand</w:t>
      </w:r>
      <w:r w:rsidR="00E10163">
        <w:t>.</w:t>
      </w:r>
      <w:r w:rsidR="00A22FDD">
        <w:rPr>
          <w:rStyle w:val="FootnoteReference"/>
        </w:rPr>
        <w:footnoteReference w:id="9"/>
      </w:r>
    </w:p>
    <w:p w14:paraId="5F208C08" w14:textId="77777777" w:rsidR="004F31F4" w:rsidRDefault="004F31F4" w:rsidP="002F195A">
      <w:pPr>
        <w:pStyle w:val="Standard"/>
        <w:rPr>
          <w:i/>
        </w:rPr>
      </w:pPr>
    </w:p>
    <w:p w14:paraId="4497745C" w14:textId="6D218E24" w:rsidR="00A22FDD" w:rsidRDefault="005C018E" w:rsidP="002F195A">
      <w:pPr>
        <w:pStyle w:val="Standard"/>
      </w:pPr>
      <w:r w:rsidRPr="005C018E">
        <w:rPr>
          <w:i/>
        </w:rPr>
        <w:t xml:space="preserve">2. </w:t>
      </w:r>
      <w:r w:rsidR="00491B1D">
        <w:rPr>
          <w:i/>
        </w:rPr>
        <w:t>S</w:t>
      </w:r>
      <w:r w:rsidR="00B35A98">
        <w:rPr>
          <w:i/>
        </w:rPr>
        <w:t>imilarity</w:t>
      </w:r>
      <w:r w:rsidR="00491B1D">
        <w:rPr>
          <w:i/>
        </w:rPr>
        <w:t>-based arguments</w:t>
      </w:r>
      <w:r w:rsidR="001B747D">
        <w:tab/>
      </w:r>
    </w:p>
    <w:p w14:paraId="38451772" w14:textId="023A29EE" w:rsidR="00D66049" w:rsidRDefault="00096C43" w:rsidP="00D64B64">
      <w:pPr>
        <w:pStyle w:val="Standard"/>
      </w:pPr>
      <w:r>
        <w:t xml:space="preserve">Many authors have argued for realism by drawing direct comparisons to </w:t>
      </w:r>
      <w:r w:rsidR="0098393D">
        <w:t>the case of individual humans. It is claimed that group-level processing</w:t>
      </w:r>
      <w:r w:rsidR="00C65F1C">
        <w:t xml:space="preserve"> involves</w:t>
      </w:r>
      <w:r w:rsidR="000D0F02">
        <w:t xml:space="preserve"> the complex</w:t>
      </w:r>
      <w:r w:rsidR="00C65F1C">
        <w:t xml:space="preserve"> computation</w:t>
      </w:r>
      <w:r w:rsidR="000D0F02">
        <w:t>al transformation of representations (Hutchins 1995)</w:t>
      </w:r>
      <w:r w:rsidR="007D45C2">
        <w:t>, as is widely thought to be the basis of human cognition,</w:t>
      </w:r>
      <w:r w:rsidR="000D0F02">
        <w:t xml:space="preserve"> </w:t>
      </w:r>
      <w:r w:rsidR="00391DC6">
        <w:t>or</w:t>
      </w:r>
      <w:r w:rsidR="001050A2">
        <w:t xml:space="preserve"> </w:t>
      </w:r>
      <w:r w:rsidR="00896A2C">
        <w:t>it</w:t>
      </w:r>
      <w:r w:rsidR="00C65F1C">
        <w:t xml:space="preserve"> </w:t>
      </w:r>
      <w:r w:rsidR="00896A2C">
        <w:t>comprises the operation of</w:t>
      </w:r>
      <w:r w:rsidR="00C65F1C">
        <w:t xml:space="preserve"> algorithms</w:t>
      </w:r>
      <w:r w:rsidR="00896A2C">
        <w:t xml:space="preserve"> or mechanisms – such as lateral inhibition</w:t>
      </w:r>
      <w:r w:rsidR="00C65F1C">
        <w:t xml:space="preserve"> (Goldstone and </w:t>
      </w:r>
      <w:proofErr w:type="spellStart"/>
      <w:r w:rsidR="00C65F1C">
        <w:t>Th</w:t>
      </w:r>
      <w:r w:rsidR="00D66049">
        <w:t>einer</w:t>
      </w:r>
      <w:proofErr w:type="spellEnd"/>
      <w:r w:rsidR="007D45C2">
        <w:t xml:space="preserve"> 2017</w:t>
      </w:r>
      <w:r w:rsidR="00D66049">
        <w:t xml:space="preserve">) </w:t>
      </w:r>
      <w:r w:rsidR="00896A2C">
        <w:t xml:space="preserve">– </w:t>
      </w:r>
      <w:r w:rsidR="00D66049">
        <w:t>that play a</w:t>
      </w:r>
      <w:r w:rsidR="007D45C2">
        <w:t xml:space="preserve"> significant</w:t>
      </w:r>
      <w:r w:rsidR="00D66049">
        <w:t xml:space="preserve"> role in models of human processing.</w:t>
      </w:r>
      <w:r w:rsidR="002F195A">
        <w:t xml:space="preserve"> </w:t>
      </w:r>
      <w:r w:rsidR="00491B1D">
        <w:t>I</w:t>
      </w:r>
      <w:r w:rsidR="002F195A">
        <w:t xml:space="preserve">t </w:t>
      </w:r>
      <w:r w:rsidR="00491B1D">
        <w:t>has seemed to many</w:t>
      </w:r>
      <w:r w:rsidR="00896A2C">
        <w:t xml:space="preserve"> to follow</w:t>
      </w:r>
      <w:r w:rsidR="001050A2">
        <w:t xml:space="preserve"> from such similarities </w:t>
      </w:r>
      <w:r w:rsidR="002F195A">
        <w:t>that groups hav</w:t>
      </w:r>
      <w:r w:rsidR="007D45C2">
        <w:t>e the same kinds of</w:t>
      </w:r>
      <w:r w:rsidR="00491B1D">
        <w:t xml:space="preserve"> cognitive or mental</w:t>
      </w:r>
      <w:r w:rsidR="007D45C2">
        <w:t xml:space="preserve"> states</w:t>
      </w:r>
      <w:r w:rsidR="00F0706C">
        <w:t xml:space="preserve"> as humans</w:t>
      </w:r>
      <w:r w:rsidR="002D5812">
        <w:t xml:space="preserve"> (</w:t>
      </w:r>
      <w:r w:rsidR="00C668FB">
        <w:t>Huebner</w:t>
      </w:r>
      <w:r w:rsidR="00937AC0">
        <w:t xml:space="preserve"> 2008, 109,</w:t>
      </w:r>
      <w:r w:rsidR="00C668FB">
        <w:t xml:space="preserve"> 2013; </w:t>
      </w:r>
      <w:r w:rsidR="00A22FDD">
        <w:t xml:space="preserve">Rovane 2014, 1663; </w:t>
      </w:r>
      <w:proofErr w:type="spellStart"/>
      <w:r w:rsidR="00D64B64">
        <w:t>Tollefsen</w:t>
      </w:r>
      <w:proofErr w:type="spellEnd"/>
      <w:r w:rsidR="00D64B64">
        <w:t xml:space="preserve"> 2006, 144; </w:t>
      </w:r>
      <w:proofErr w:type="spellStart"/>
      <w:r w:rsidR="00D64B64">
        <w:t>Theiner</w:t>
      </w:r>
      <w:proofErr w:type="spellEnd"/>
      <w:r w:rsidR="00D64B64">
        <w:t xml:space="preserve"> and O’Connor 2010</w:t>
      </w:r>
      <w:r w:rsidR="00C668FB">
        <w:t>,</w:t>
      </w:r>
      <w:r w:rsidR="00D64B64">
        <w:t xml:space="preserve"> 89; </w:t>
      </w:r>
      <w:proofErr w:type="spellStart"/>
      <w:r w:rsidR="00D64B64">
        <w:t>Theiner</w:t>
      </w:r>
      <w:proofErr w:type="spellEnd"/>
      <w:r w:rsidR="00D64B64">
        <w:t xml:space="preserve"> et al. 2010</w:t>
      </w:r>
      <w:r w:rsidR="00C668FB">
        <w:t>,</w:t>
      </w:r>
      <w:r w:rsidR="00D64B64">
        <w:t xml:space="preserve"> 382–</w:t>
      </w:r>
      <w:r w:rsidR="00C668FB">
        <w:t>38</w:t>
      </w:r>
      <w:r w:rsidR="00D64B64">
        <w:t>3)</w:t>
      </w:r>
      <w:r w:rsidR="00F0706C">
        <w:t>.</w:t>
      </w:r>
    </w:p>
    <w:p w14:paraId="643FD25C" w14:textId="17804D1E" w:rsidR="00BB68C9" w:rsidRDefault="008943B9" w:rsidP="00D66049">
      <w:pPr>
        <w:pStyle w:val="Standard"/>
      </w:pPr>
      <w:r>
        <w:tab/>
      </w:r>
      <w:r w:rsidR="007D45C2">
        <w:t xml:space="preserve">Such arguments </w:t>
      </w:r>
      <w:r w:rsidR="00937AC0">
        <w:t>would seem most convincing</w:t>
      </w:r>
      <w:r w:rsidR="007D45C2">
        <w:t xml:space="preserve"> when they</w:t>
      </w:r>
      <w:r w:rsidR="004120AE">
        <w:t xml:space="preserve"> appeal to</w:t>
      </w:r>
      <w:r w:rsidR="007D45C2">
        <w:t xml:space="preserve"> fine-grained similarities across humans and groups, similarities in the sorts of properties and processes of interest in the scientific study of human cognition. </w:t>
      </w:r>
      <w:r w:rsidR="00BB68C9">
        <w:t>If we can identify</w:t>
      </w:r>
      <w:r w:rsidR="007D45C2">
        <w:t xml:space="preserve"> similarities with respect to the very processes, structures, and kinds that do causal-explanatory work in the </w:t>
      </w:r>
      <w:r w:rsidR="007D45C2">
        <w:lastRenderedPageBreak/>
        <w:t xml:space="preserve">cognitive-scientific modeling of </w:t>
      </w:r>
      <w:r w:rsidR="00BB68C9">
        <w:t>data involving</w:t>
      </w:r>
      <w:r w:rsidR="007D45C2">
        <w:t xml:space="preserve"> intelligent human performance, we c</w:t>
      </w:r>
      <w:r w:rsidR="004120AE">
        <w:t>an</w:t>
      </w:r>
      <w:r w:rsidR="007D45C2">
        <w:t xml:space="preserve"> be confident that we</w:t>
      </w:r>
      <w:r w:rsidR="004120AE">
        <w:t xml:space="preserve"> ha</w:t>
      </w:r>
      <w:r w:rsidR="00BB68C9">
        <w:t>ve</w:t>
      </w:r>
      <w:r w:rsidR="007D45C2">
        <w:t xml:space="preserve"> found shared</w:t>
      </w:r>
      <w:r w:rsidR="003C6879">
        <w:t xml:space="preserve"> natural</w:t>
      </w:r>
      <w:r w:rsidR="007D45C2">
        <w:t xml:space="preserve"> kinds of the right sort.</w:t>
      </w:r>
    </w:p>
    <w:p w14:paraId="0BAECA45" w14:textId="54835573" w:rsidR="008943B9" w:rsidRDefault="00BB68C9" w:rsidP="00D66049">
      <w:pPr>
        <w:pStyle w:val="Standard"/>
      </w:pPr>
      <w:r>
        <w:tab/>
      </w:r>
      <w:r w:rsidR="007D45C2">
        <w:t xml:space="preserve">This, however, is an incredibly tall order. </w:t>
      </w:r>
      <w:r w:rsidR="00F65647">
        <w:t>As an illustration, c</w:t>
      </w:r>
      <w:r w:rsidR="00DA4F49">
        <w:t>onsider</w:t>
      </w:r>
      <w:r w:rsidR="008943B9">
        <w:t xml:space="preserve"> </w:t>
      </w:r>
      <w:r w:rsidR="00937AC0">
        <w:t>the influential proposal that the</w:t>
      </w:r>
      <w:r w:rsidR="008943B9">
        <w:t xml:space="preserve"> architectur</w:t>
      </w:r>
      <w:r w:rsidR="00937AC0">
        <w:t>e of the human mind contains specialized</w:t>
      </w:r>
      <w:r w:rsidR="008943B9">
        <w:t xml:space="preserve"> modul</w:t>
      </w:r>
      <w:r w:rsidR="00937AC0">
        <w:t>es</w:t>
      </w:r>
      <w:r w:rsidR="008943B9">
        <w:t xml:space="preserve">. </w:t>
      </w:r>
      <w:r w:rsidR="00F65647">
        <w:t xml:space="preserve">On </w:t>
      </w:r>
      <w:r w:rsidR="00D66049">
        <w:t>Fodor</w:t>
      </w:r>
      <w:r w:rsidR="00F65647">
        <w:t>’s view</w:t>
      </w:r>
      <w:r w:rsidR="00D66049">
        <w:t xml:space="preserve"> (1983)</w:t>
      </w:r>
      <w:r w:rsidR="00F65647">
        <w:t>,</w:t>
      </w:r>
      <w:r w:rsidR="00D66049">
        <w:t xml:space="preserve"> the human architecture consists of</w:t>
      </w:r>
      <w:r w:rsidR="00F0706C">
        <w:t xml:space="preserve"> (at least)</w:t>
      </w:r>
      <w:r w:rsidR="00D66049">
        <w:t xml:space="preserve"> </w:t>
      </w:r>
      <w:r w:rsidR="00F0706C">
        <w:t xml:space="preserve">(a) </w:t>
      </w:r>
      <w:r>
        <w:t xml:space="preserve">peripheral </w:t>
      </w:r>
      <w:r w:rsidR="00D66049">
        <w:t>transd</w:t>
      </w:r>
      <w:r w:rsidR="00F0706C">
        <w:t>ucers, (b) domain-specific</w:t>
      </w:r>
      <w:r w:rsidR="00D66049">
        <w:t xml:space="preserve"> modules</w:t>
      </w:r>
      <w:r w:rsidR="0053379F">
        <w:t xml:space="preserve"> (e.g., </w:t>
      </w:r>
      <w:r w:rsidR="00F0706C">
        <w:t>sensory systems), (c)</w:t>
      </w:r>
      <w:r w:rsidR="00D66049">
        <w:t xml:space="preserve"> a central-processing</w:t>
      </w:r>
      <w:r w:rsidR="008943B9">
        <w:t xml:space="preserve"> unit</w:t>
      </w:r>
      <w:r w:rsidR="00D66049">
        <w:t xml:space="preserve"> that reasons holistically</w:t>
      </w:r>
      <w:r w:rsidR="00F0706C">
        <w:t xml:space="preserve">, and (d) output systems. </w:t>
      </w:r>
      <w:r>
        <w:t xml:space="preserve">This is a schematic start. But, </w:t>
      </w:r>
      <w:r w:rsidR="003C6879">
        <w:t xml:space="preserve">of course, </w:t>
      </w:r>
      <w:r>
        <w:t>cognitive scientists spend most of their time filling in details of such architectural schemata. For example, with regard to output systems, it has been claimed the human motor system includes</w:t>
      </w:r>
      <w:r w:rsidR="00D66049">
        <w:t xml:space="preserve"> emulator circuits; part of such</w:t>
      </w:r>
      <w:r>
        <w:t xml:space="preserve"> a circuit receives </w:t>
      </w:r>
      <w:r w:rsidR="00DE78C4">
        <w:t>a</w:t>
      </w:r>
      <w:r>
        <w:t xml:space="preserve"> </w:t>
      </w:r>
      <w:r w:rsidR="00D66049">
        <w:t xml:space="preserve">copy of </w:t>
      </w:r>
      <w:r w:rsidR="00F65647">
        <w:t xml:space="preserve">an </w:t>
      </w:r>
      <w:r w:rsidR="00D66049">
        <w:t>outgoing motor command</w:t>
      </w:r>
      <w:r>
        <w:t xml:space="preserve"> (a so-called efferent copy)</w:t>
      </w:r>
      <w:r w:rsidR="00D66049">
        <w:t xml:space="preserve"> and runs a very </w:t>
      </w:r>
      <w:r w:rsidR="00F0706C">
        <w:t xml:space="preserve">fast simulation that can, </w:t>
      </w:r>
      <w:r>
        <w:t xml:space="preserve">for instance, predict whether </w:t>
      </w:r>
      <w:r w:rsidR="00F65647">
        <w:t>the</w:t>
      </w:r>
      <w:r w:rsidR="00F0706C">
        <w:t xml:space="preserve"> appendage</w:t>
      </w:r>
      <w:r>
        <w:t xml:space="preserve"> being moved</w:t>
      </w:r>
      <w:r w:rsidR="00D66049">
        <w:t xml:space="preserve"> will land where </w:t>
      </w:r>
      <w:r w:rsidR="00F65647">
        <w:t>it was meant to land</w:t>
      </w:r>
      <w:r>
        <w:t>, all in time for a compensatory motor command to be sent</w:t>
      </w:r>
      <w:r w:rsidR="003C6879">
        <w:t xml:space="preserve">, if </w:t>
      </w:r>
      <w:r w:rsidR="00DA4F49">
        <w:t>the appendage</w:t>
      </w:r>
      <w:r w:rsidR="003C6879">
        <w:t xml:space="preserve"> does not appear to be on its proper path</w:t>
      </w:r>
      <w:r w:rsidR="00D66049">
        <w:t xml:space="preserve"> (Grush 1997). </w:t>
      </w:r>
      <w:r w:rsidR="00F65647">
        <w:t>W</w:t>
      </w:r>
      <w:r w:rsidR="00F0706C">
        <w:t xml:space="preserve">ith regard to </w:t>
      </w:r>
      <w:r w:rsidR="004C281D">
        <w:t>the fleshing out of the details of human cognitive processing</w:t>
      </w:r>
      <w:r w:rsidR="00F0706C">
        <w:t>, that</w:t>
      </w:r>
      <w:r w:rsidR="00DA4F49">
        <w:t xml:space="preserve"> i</w:t>
      </w:r>
      <w:r w:rsidR="004C281D">
        <w:t xml:space="preserve">s the tip of the iceberg. </w:t>
      </w:r>
      <w:r>
        <w:t>As such detail mounts</w:t>
      </w:r>
      <w:r w:rsidR="008943B9">
        <w:t>, the idea that group processing might have the same structure as human processing</w:t>
      </w:r>
      <w:r w:rsidR="004C281D">
        <w:t xml:space="preserve"> – at the same level of grain typically of interest</w:t>
      </w:r>
      <w:r w:rsidR="008943B9">
        <w:t xml:space="preserve"> </w:t>
      </w:r>
      <w:r w:rsidR="004C281D">
        <w:t xml:space="preserve">to cognitive scientists – </w:t>
      </w:r>
      <w:r w:rsidR="008943B9">
        <w:t xml:space="preserve">seems </w:t>
      </w:r>
      <w:r w:rsidR="00DA4F49">
        <w:t>incredible</w:t>
      </w:r>
      <w:r w:rsidR="008943B9">
        <w:t>.</w:t>
      </w:r>
      <w:r w:rsidR="004C281D">
        <w:t xml:space="preserve"> Detailed profiles of human cognitive functioning fill</w:t>
      </w:r>
      <w:r w:rsidR="00F65647">
        <w:t xml:space="preserve"> millions</w:t>
      </w:r>
      <w:r>
        <w:t xml:space="preserve"> of pages, tome after tome,</w:t>
      </w:r>
      <w:r w:rsidR="004C281D">
        <w:t xml:space="preserve"> journa</w:t>
      </w:r>
      <w:r>
        <w:t>l article after journal article, cataloguing</w:t>
      </w:r>
      <w:r w:rsidR="004C281D">
        <w:t xml:space="preserve"> the often-quirky, highly specific workings of, for example, human memory and human vision. I</w:t>
      </w:r>
      <w:r w:rsidR="00A10E9C">
        <w:t>f one focuses on the sorts of states, processes, and causal profiles of interest to working cognitive scientists</w:t>
      </w:r>
      <w:r w:rsidR="004C281D">
        <w:t>,</w:t>
      </w:r>
      <w:r w:rsidR="00A10E9C">
        <w:t xml:space="preserve"> </w:t>
      </w:r>
      <w:r w:rsidR="004C281D">
        <w:t>similarity reasoning</w:t>
      </w:r>
      <w:r>
        <w:t xml:space="preserve"> appears to</w:t>
      </w:r>
      <w:r w:rsidR="00DA4F49">
        <w:t xml:space="preserve"> be a dead end</w:t>
      </w:r>
      <w:r w:rsidR="008D4904">
        <w:t>.</w:t>
      </w:r>
    </w:p>
    <w:p w14:paraId="4425BBD0" w14:textId="70D8C918" w:rsidR="008943B9" w:rsidRPr="00B35A98" w:rsidRDefault="008943B9" w:rsidP="00D66049">
      <w:pPr>
        <w:pStyle w:val="Standard"/>
      </w:pPr>
      <w:r>
        <w:tab/>
        <w:t xml:space="preserve">At the same time, as such details pile up, one </w:t>
      </w:r>
      <w:r w:rsidR="00D66049">
        <w:t>begins to chafe at the chauvinism</w:t>
      </w:r>
      <w:r w:rsidR="00361547">
        <w:t xml:space="preserve"> of it all</w:t>
      </w:r>
      <w:r w:rsidR="00D66049">
        <w:t>; perhaps the human architecture</w:t>
      </w:r>
      <w:r w:rsidR="004C281D">
        <w:t xml:space="preserve"> – with all of its quirky, kludgy forms of processing </w:t>
      </w:r>
      <w:r w:rsidR="004C281D">
        <w:lastRenderedPageBreak/>
        <w:t>–</w:t>
      </w:r>
      <w:r w:rsidR="00D66049">
        <w:t xml:space="preserve"> suffices for cognition</w:t>
      </w:r>
      <w:r w:rsidR="00DA4F49">
        <w:t>. B</w:t>
      </w:r>
      <w:r w:rsidR="00D66049">
        <w:t>ut</w:t>
      </w:r>
      <w:r w:rsidR="00DA4F49">
        <w:t>, is it necessary? M</w:t>
      </w:r>
      <w:r w:rsidR="00BB68C9">
        <w:t xml:space="preserve">ust a group really work in </w:t>
      </w:r>
      <w:r w:rsidR="00BB68C9" w:rsidRPr="003C6879">
        <w:rPr>
          <w:i/>
        </w:rPr>
        <w:t>just that way</w:t>
      </w:r>
      <w:r w:rsidR="004E426D" w:rsidRPr="003C6879">
        <w:t xml:space="preserve"> in </w:t>
      </w:r>
      <w:r w:rsidR="004E426D">
        <w:t>order to cognize</w:t>
      </w:r>
      <w:r w:rsidR="00D66049">
        <w:t>? Why not say, instead, that</w:t>
      </w:r>
      <w:r w:rsidR="00BB68C9">
        <w:t xml:space="preserve"> </w:t>
      </w:r>
      <w:r w:rsidR="00DA4F49">
        <w:t xml:space="preserve">some </w:t>
      </w:r>
      <w:r w:rsidR="00BB68C9">
        <w:t>group</w:t>
      </w:r>
      <w:r w:rsidR="00DA4F49">
        <w:t>s</w:t>
      </w:r>
      <w:r w:rsidR="00BB68C9">
        <w:t xml:space="preserve"> cogn</w:t>
      </w:r>
      <w:r w:rsidR="00DA4F49">
        <w:t>ize,</w:t>
      </w:r>
      <w:r w:rsidR="00BB68C9">
        <w:t xml:space="preserve"> but that </w:t>
      </w:r>
      <w:r w:rsidR="00DA4F49">
        <w:t>it is</w:t>
      </w:r>
      <w:r w:rsidR="00BB68C9">
        <w:t xml:space="preserve"> a different </w:t>
      </w:r>
      <w:r w:rsidR="00BB68C9">
        <w:rPr>
          <w:i/>
        </w:rPr>
        <w:t>kind</w:t>
      </w:r>
      <w:r w:rsidR="00BB68C9">
        <w:t xml:space="preserve"> of cognition from human cognition</w:t>
      </w:r>
      <w:r w:rsidR="00D66049">
        <w:t>?</w:t>
      </w:r>
      <w:r w:rsidR="00DB0C9E">
        <w:rPr>
          <w:rStyle w:val="FootnoteReference"/>
        </w:rPr>
        <w:footnoteReference w:id="10"/>
      </w:r>
      <w:r w:rsidR="00B35A98">
        <w:t xml:space="preserve"> T</w:t>
      </w:r>
      <w:r w:rsidR="00F65647">
        <w:t>o make such a case convincing</w:t>
      </w:r>
      <w:r w:rsidR="00B35A98">
        <w:t>, however,</w:t>
      </w:r>
      <w:r w:rsidR="00F65647">
        <w:t xml:space="preserve"> </w:t>
      </w:r>
      <w:r w:rsidR="00B35A98">
        <w:t>require</w:t>
      </w:r>
      <w:r w:rsidR="00F65647">
        <w:t>s</w:t>
      </w:r>
      <w:r w:rsidR="00B35A98">
        <w:t xml:space="preserve"> an account of when two </w:t>
      </w:r>
      <w:r w:rsidR="00F65647">
        <w:t xml:space="preserve">kinds are two species of the same overarching, generic kind </w:t>
      </w:r>
      <w:r w:rsidR="00F65647">
        <w:rPr>
          <w:i/>
        </w:rPr>
        <w:t>cognition</w:t>
      </w:r>
    </w:p>
    <w:p w14:paraId="5AA17474" w14:textId="767E02BD" w:rsidR="00737C15" w:rsidRDefault="00737C15" w:rsidP="00737C15">
      <w:pPr>
        <w:pStyle w:val="Standard"/>
        <w:jc w:val="center"/>
      </w:pPr>
      <w:r>
        <w:t>I</w:t>
      </w:r>
      <w:r w:rsidR="009D27D3">
        <w:t>II</w:t>
      </w:r>
      <w:r>
        <w:t xml:space="preserve">. The Tweak-and-Extend </w:t>
      </w:r>
      <w:r w:rsidR="00DA4F49">
        <w:t>Account of</w:t>
      </w:r>
      <w:r>
        <w:t xml:space="preserve"> Shared Kind-hood</w:t>
      </w:r>
    </w:p>
    <w:p w14:paraId="0669A8F4" w14:textId="4EDF62B4" w:rsidR="00737C15" w:rsidRDefault="00D66049" w:rsidP="00D66049">
      <w:pPr>
        <w:pStyle w:val="Standard"/>
      </w:pPr>
      <w:r w:rsidRPr="00494C64">
        <w:t>What, then, disting</w:t>
      </w:r>
      <w:r>
        <w:t>uishes a</w:t>
      </w:r>
      <w:r w:rsidRPr="00494C64">
        <w:t xml:space="preserve"> generic</w:t>
      </w:r>
      <w:r>
        <w:t xml:space="preserve"> but still natural</w:t>
      </w:r>
      <w:r w:rsidRPr="00494C64">
        <w:t xml:space="preserve"> kind from a merely</w:t>
      </w:r>
      <w:r>
        <w:t xml:space="preserve"> </w:t>
      </w:r>
      <w:r w:rsidRPr="00494C64">
        <w:t>nominal</w:t>
      </w:r>
      <w:r w:rsidR="000310D3">
        <w:t xml:space="preserve"> kind</w:t>
      </w:r>
      <w:r>
        <w:t>?</w:t>
      </w:r>
      <w:r w:rsidRPr="00494C64">
        <w:t xml:space="preserve"> </w:t>
      </w:r>
      <w:r>
        <w:t>Minimally, various species</w:t>
      </w:r>
      <w:r w:rsidRPr="00494C64">
        <w:t xml:space="preserve"> of</w:t>
      </w:r>
      <w:r w:rsidR="00361547">
        <w:t xml:space="preserve"> a </w:t>
      </w:r>
      <w:r w:rsidR="003E2260">
        <w:t xml:space="preserve">generic </w:t>
      </w:r>
      <w:r w:rsidR="00361547">
        <w:t>natural kind</w:t>
      </w:r>
      <w:r w:rsidRPr="00494C64">
        <w:t xml:space="preserve"> bear </w:t>
      </w:r>
      <w:r w:rsidR="003E2260">
        <w:t xml:space="preserve">a </w:t>
      </w:r>
      <w:r w:rsidRPr="00494C64">
        <w:t>family resemblance to each other (</w:t>
      </w:r>
      <w:r w:rsidR="003E2260" w:rsidRPr="003E2260">
        <w:t>W</w:t>
      </w:r>
      <w:r w:rsidRPr="00494C64">
        <w:t>heeler</w:t>
      </w:r>
      <w:r>
        <w:t xml:space="preserve"> </w:t>
      </w:r>
      <w:r w:rsidRPr="00494C64">
        <w:t>2011</w:t>
      </w:r>
      <w:r w:rsidR="00361547">
        <w:t xml:space="preserve">), but </w:t>
      </w:r>
      <w:r>
        <w:t xml:space="preserve">not </w:t>
      </w:r>
      <w:r w:rsidRPr="00494C64">
        <w:t>just an</w:t>
      </w:r>
      <w:r>
        <w:t>y family resemblance</w:t>
      </w:r>
      <w:r w:rsidR="00361547">
        <w:t xml:space="preserve"> will</w:t>
      </w:r>
      <w:r w:rsidR="003E2260">
        <w:t xml:space="preserve"> suffice</w:t>
      </w:r>
      <w:r w:rsidR="00E06E3F">
        <w:t>;</w:t>
      </w:r>
      <w:r>
        <w:t xml:space="preserve"> there must</w:t>
      </w:r>
      <w:r w:rsidR="00F65647">
        <w:t>, I contend,</w:t>
      </w:r>
      <w:r>
        <w:t xml:space="preserve"> be a</w:t>
      </w:r>
      <w:r w:rsidR="000310D3">
        <w:t xml:space="preserve"> causal-explanatory</w:t>
      </w:r>
      <w:r>
        <w:t xml:space="preserve"> unity </w:t>
      </w:r>
      <w:r w:rsidRPr="00494C64">
        <w:t>to various instances</w:t>
      </w:r>
      <w:r w:rsidR="00F65647">
        <w:t xml:space="preserve"> of a kind</w:t>
      </w:r>
      <w:r w:rsidR="000310D3">
        <w:t xml:space="preserve">. </w:t>
      </w:r>
      <w:r w:rsidR="002014E0">
        <w:t>C</w:t>
      </w:r>
      <w:r w:rsidR="000310D3">
        <w:t>laims to sameness of kind are most convincingly</w:t>
      </w:r>
      <w:r w:rsidRPr="00494C64">
        <w:t xml:space="preserve"> legitimated by</w:t>
      </w:r>
      <w:r w:rsidR="000310D3">
        <w:t xml:space="preserve"> a certain pattern in models of</w:t>
      </w:r>
      <w:r w:rsidR="004E426D">
        <w:t xml:space="preserve"> the phenomena</w:t>
      </w:r>
      <w:r w:rsidR="000310D3">
        <w:t xml:space="preserve"> of interest: our best</w:t>
      </w:r>
      <w:r w:rsidRPr="00494C64">
        <w:t xml:space="preserve"> models of the way in which various</w:t>
      </w:r>
      <w:r>
        <w:t xml:space="preserve"> </w:t>
      </w:r>
      <w:r w:rsidRPr="00494C64">
        <w:t xml:space="preserve">species produce instances of the relevant </w:t>
      </w:r>
      <w:r w:rsidRPr="00361547">
        <w:rPr>
          <w:i/>
        </w:rPr>
        <w:t>explananda</w:t>
      </w:r>
      <w:r w:rsidRPr="00494C64">
        <w:t xml:space="preserve"> must have significantly overlapping</w:t>
      </w:r>
      <w:r>
        <w:t xml:space="preserve"> </w:t>
      </w:r>
      <w:r w:rsidRPr="00494C64">
        <w:t>elements and relations among th</w:t>
      </w:r>
      <w:r w:rsidR="00E06E3F">
        <w:t>ose elements</w:t>
      </w:r>
      <w:r w:rsidRPr="00494C64">
        <w:t>. This would seem to be the order of the</w:t>
      </w:r>
      <w:r>
        <w:t xml:space="preserve"> </w:t>
      </w:r>
      <w:r w:rsidRPr="00494C64">
        <w:t>day in most sciences; an initial (typically simple) model of some paradigmatic</w:t>
      </w:r>
      <w:r>
        <w:t xml:space="preserve"> </w:t>
      </w:r>
      <w:r w:rsidRPr="00494C64">
        <w:t>phenomenon succeeds (well enough),</w:t>
      </w:r>
      <w:r w:rsidR="000310D3">
        <w:t xml:space="preserve"> and</w:t>
      </w:r>
      <w:r w:rsidRPr="00494C64">
        <w:t xml:space="preserve"> then related phenomena are modeled by the</w:t>
      </w:r>
      <w:r w:rsidRPr="00494C64">
        <w:rPr>
          <w:rFonts w:ascii="a231+20" w:hAnsi="a231+20" w:cs="a231+20"/>
          <w:sz w:val="20"/>
          <w:szCs w:val="20"/>
        </w:rPr>
        <w:t xml:space="preserve"> </w:t>
      </w:r>
      <w:r w:rsidR="000310D3">
        <w:t xml:space="preserve">“tweaking” of the initial model – </w:t>
      </w:r>
      <w:r w:rsidRPr="00494C64">
        <w:t>terms</w:t>
      </w:r>
      <w:r w:rsidR="002014E0">
        <w:t xml:space="preserve"> and model elements</w:t>
      </w:r>
      <w:r w:rsidRPr="00494C64">
        <w:t xml:space="preserve"> are added, parameter values adjusted</w:t>
      </w:r>
      <w:r w:rsidR="00E06E3F">
        <w:t>,</w:t>
      </w:r>
      <w:r w:rsidRPr="00494C64">
        <w:t xml:space="preserve"> etc.</w:t>
      </w:r>
      <w:r w:rsidR="00E06E3F">
        <w:t xml:space="preserve"> – and the application of the family of models in question is thereby extended</w:t>
      </w:r>
      <w:r w:rsidR="003E2260">
        <w:t xml:space="preserve"> and perhaps sharpened</w:t>
      </w:r>
      <w:r w:rsidR="002014E0">
        <w:t xml:space="preserve"> (</w:t>
      </w:r>
      <w:r w:rsidR="003E2260">
        <w:t>that is, made more accurate as models of systems to which their pre-tweaked cousins had been applied)</w:t>
      </w:r>
      <w:r w:rsidR="00E06E3F">
        <w:t>.</w:t>
      </w:r>
      <w:r w:rsidRPr="00494C64">
        <w:t xml:space="preserve"> If</w:t>
      </w:r>
      <w:r>
        <w:t xml:space="preserve"> </w:t>
      </w:r>
      <w:r w:rsidRPr="00494C64">
        <w:t>a phenome</w:t>
      </w:r>
      <w:r w:rsidR="000310D3">
        <w:t>non we might have thought to be of a piece with some</w:t>
      </w:r>
      <w:r w:rsidRPr="00494C64">
        <w:t xml:space="preserve"> others turns out</w:t>
      </w:r>
      <w:r>
        <w:t xml:space="preserve"> </w:t>
      </w:r>
      <w:r w:rsidRPr="00494C64">
        <w:t>not to be amenable to this “tweak</w:t>
      </w:r>
      <w:r w:rsidR="002014E0">
        <w:t>-</w:t>
      </w:r>
      <w:r w:rsidRPr="00494C64">
        <w:t>and</w:t>
      </w:r>
      <w:r w:rsidR="002014E0">
        <w:t>-</w:t>
      </w:r>
      <w:r w:rsidRPr="00494C64">
        <w:t>extend” treatment, it is, and should be, treated</w:t>
      </w:r>
      <w:r>
        <w:t xml:space="preserve"> </w:t>
      </w:r>
      <w:r w:rsidRPr="00494C64">
        <w:t>as a differe</w:t>
      </w:r>
      <w:r w:rsidR="000310D3">
        <w:t xml:space="preserve">nt kind of phenomenon after all; we should conclude that, </w:t>
      </w:r>
      <w:r w:rsidR="000310D3">
        <w:lastRenderedPageBreak/>
        <w:t>pending further developments,</w:t>
      </w:r>
      <w:r w:rsidRPr="00494C64">
        <w:t xml:space="preserve"> there is no generic kind</w:t>
      </w:r>
      <w:r>
        <w:t xml:space="preserve"> </w:t>
      </w:r>
      <w:r w:rsidR="000310D3">
        <w:t>that subsumes all of the relevant cases</w:t>
      </w:r>
      <w:r w:rsidRPr="00494C64">
        <w:t>.</w:t>
      </w:r>
    </w:p>
    <w:p w14:paraId="14475131" w14:textId="7D8CF83C" w:rsidR="00645D6A" w:rsidRDefault="00737C15" w:rsidP="00D66049">
      <w:pPr>
        <w:pStyle w:val="Standard"/>
      </w:pPr>
      <w:r>
        <w:tab/>
      </w:r>
      <w:r w:rsidR="003E2260">
        <w:t>How</w:t>
      </w:r>
      <w:r w:rsidR="00D66049">
        <w:t xml:space="preserve"> might the tweak-and-extend</w:t>
      </w:r>
      <w:r w:rsidR="004E426D">
        <w:t xml:space="preserve"> approach </w:t>
      </w:r>
      <w:r w:rsidR="003E2260">
        <w:t>play out</w:t>
      </w:r>
      <w:r w:rsidR="00D66049">
        <w:t xml:space="preserve"> in cognitive</w:t>
      </w:r>
      <w:r w:rsidR="003E2260">
        <w:t>-</w:t>
      </w:r>
      <w:r w:rsidR="00D66049">
        <w:t>scientific practice? Consider, for example, Rumelhart, Hinton, and McClelland’s (1986)</w:t>
      </w:r>
      <w:r w:rsidR="00645D6A">
        <w:t xml:space="preserve"> </w:t>
      </w:r>
      <w:r w:rsidR="0025076C">
        <w:t xml:space="preserve">schematic </w:t>
      </w:r>
      <w:r w:rsidR="00D66049">
        <w:t>presentation</w:t>
      </w:r>
      <w:r w:rsidR="0025076C">
        <w:t xml:space="preserve"> of the idea of</w:t>
      </w:r>
      <w:r w:rsidR="00D66049">
        <w:t xml:space="preserve"> a connectionist model</w:t>
      </w:r>
      <w:r w:rsidR="000310D3">
        <w:t xml:space="preserve">; it contains, among other things, units </w:t>
      </w:r>
      <w:r w:rsidR="002014E0">
        <w:t xml:space="preserve">with </w:t>
      </w:r>
      <w:r w:rsidR="000310D3">
        <w:t>individual levels of activation, arranged in layers, and that can pass activation</w:t>
      </w:r>
      <w:r w:rsidR="00645D6A">
        <w:t xml:space="preserve"> forward</w:t>
      </w:r>
      <w:r w:rsidR="000310D3">
        <w:t xml:space="preserve"> to units</w:t>
      </w:r>
      <w:r w:rsidR="00645D6A">
        <w:t xml:space="preserve"> in the adjacent layer,</w:t>
      </w:r>
      <w:r w:rsidR="000310D3">
        <w:t xml:space="preserve"> the activation levels of which </w:t>
      </w:r>
      <w:r w:rsidR="006807A4">
        <w:t xml:space="preserve">are </w:t>
      </w:r>
      <w:r w:rsidR="000310D3">
        <w:t>determined by a function that takes incoming activation (or inhibition) as input</w:t>
      </w:r>
      <w:r w:rsidR="002014E0">
        <w:t>, and so on</w:t>
      </w:r>
      <w:r w:rsidR="000310D3">
        <w:t>.</w:t>
      </w:r>
      <w:r w:rsidR="00AF6B55">
        <w:t xml:space="preserve"> </w:t>
      </w:r>
      <w:r w:rsidR="000310D3">
        <w:t>The authors lay out these</w:t>
      </w:r>
      <w:r w:rsidR="00D66049">
        <w:t xml:space="preserve"> basic e</w:t>
      </w:r>
      <w:r w:rsidR="000310D3">
        <w:t>lements</w:t>
      </w:r>
      <w:r w:rsidR="0025076C">
        <w:t xml:space="preserve"> </w:t>
      </w:r>
      <w:r w:rsidR="006807A4">
        <w:t>and</w:t>
      </w:r>
      <w:r w:rsidR="0025076C">
        <w:t>,</w:t>
      </w:r>
      <w:r w:rsidR="00D66049">
        <w:t xml:space="preserve"> with respect to each of the</w:t>
      </w:r>
      <w:r w:rsidR="000310D3">
        <w:t>m,</w:t>
      </w:r>
      <w:r w:rsidR="00D66049">
        <w:t xml:space="preserve"> describe </w:t>
      </w:r>
      <w:r w:rsidR="006807A4">
        <w:t>differe</w:t>
      </w:r>
      <w:r w:rsidR="00645D6A">
        <w:t>ntial effects of possible</w:t>
      </w:r>
      <w:r w:rsidR="006807A4">
        <w:t xml:space="preserve"> parameter settings</w:t>
      </w:r>
      <w:r w:rsidR="0025076C">
        <w:t xml:space="preserve"> or choice of function</w:t>
      </w:r>
      <w:r w:rsidR="00645D6A">
        <w:t>.</w:t>
      </w:r>
      <w:r w:rsidR="00D66049">
        <w:t xml:space="preserve"> </w:t>
      </w:r>
      <w:r w:rsidR="0025076C">
        <w:t>Different ways of filling in the schema</w:t>
      </w:r>
      <w:r w:rsidR="00D66049">
        <w:t xml:space="preserve"> produce different kinds of behavior in the resulting network</w:t>
      </w:r>
      <w:r w:rsidR="0025076C">
        <w:t>s</w:t>
      </w:r>
      <w:r w:rsidR="00645D6A">
        <w:t>, introducing</w:t>
      </w:r>
      <w:r w:rsidR="00D66049">
        <w:t xml:space="preserve"> the possibility that </w:t>
      </w:r>
      <w:r w:rsidR="00645D6A">
        <w:t xml:space="preserve">one can </w:t>
      </w:r>
      <w:r w:rsidR="002014E0">
        <w:t xml:space="preserve">construct an </w:t>
      </w:r>
      <w:r w:rsidR="00645D6A">
        <w:t>expanding family of interrelated models that account</w:t>
      </w:r>
      <w:r w:rsidR="002014E0">
        <w:t>s</w:t>
      </w:r>
      <w:r w:rsidR="00645D6A">
        <w:t xml:space="preserve"> for a broader and broader</w:t>
      </w:r>
      <w:r w:rsidR="00D66049">
        <w:t xml:space="preserve"> range of forms of intelligent behavior</w:t>
      </w:r>
      <w:r w:rsidR="00AF6B55">
        <w:t xml:space="preserve"> (</w:t>
      </w:r>
      <w:r w:rsidR="00AF6B55">
        <w:rPr>
          <w:i/>
        </w:rPr>
        <w:t>ibid.</w:t>
      </w:r>
      <w:r w:rsidR="00AF6B55">
        <w:t>, 46</w:t>
      </w:r>
      <w:r w:rsidR="00AF6B55" w:rsidRPr="00AF6B55">
        <w:rPr>
          <w:i/>
        </w:rPr>
        <w:t>ff</w:t>
      </w:r>
      <w:r w:rsidR="00AF6B55">
        <w:t>)</w:t>
      </w:r>
      <w:r w:rsidR="00D66049">
        <w:t>.</w:t>
      </w:r>
      <w:r w:rsidR="000310D3">
        <w:t xml:space="preserve"> </w:t>
      </w:r>
    </w:p>
    <w:p w14:paraId="2DBCA9C5" w14:textId="241C03F2" w:rsidR="00645D6A" w:rsidRDefault="00645D6A" w:rsidP="00D66049">
      <w:pPr>
        <w:pStyle w:val="Standard"/>
      </w:pPr>
      <w:r>
        <w:tab/>
      </w:r>
      <w:r w:rsidR="000310D3">
        <w:t xml:space="preserve">What it is to be a connectionist model, then, is to </w:t>
      </w:r>
      <w:r w:rsidR="003C7571">
        <w:t xml:space="preserve">be </w:t>
      </w:r>
      <w:r w:rsidR="0025076C">
        <w:t>a model</w:t>
      </w:r>
      <w:r w:rsidR="003C7571">
        <w:t xml:space="preserve"> that bears a tweak-and-</w:t>
      </w:r>
      <w:r w:rsidR="000310D3">
        <w:t>extend relation to model</w:t>
      </w:r>
      <w:r w:rsidR="0025076C">
        <w:t>s constructed from Rumelhart et al.’s recipe or to models that themselves bear a tweak-and-extend relation to instantiations of Rumelhart et al.’s schema</w:t>
      </w:r>
      <w:r w:rsidR="000310D3">
        <w:t>.</w:t>
      </w:r>
      <w:r w:rsidR="003C7571">
        <w:t xml:space="preserve"> And our best evidence that two kinds of process are both instances of </w:t>
      </w:r>
      <w:r w:rsidR="003C7571">
        <w:rPr>
          <w:i/>
        </w:rPr>
        <w:t>connectionist processing</w:t>
      </w:r>
      <w:r w:rsidR="003C7571">
        <w:t xml:space="preserve"> – that is, that they share the natural kind in question – is that our best models of the two processes are both connectionist models. This approach rules out certain possibilities</w:t>
      </w:r>
      <w:r w:rsidR="00D66049">
        <w:t xml:space="preserve">: one cannot without excessive contortions </w:t>
      </w:r>
      <w:r w:rsidR="00AF6B55">
        <w:t xml:space="preserve">begin with an </w:t>
      </w:r>
      <w:proofErr w:type="spellStart"/>
      <w:r w:rsidR="00AF6B55" w:rsidRPr="006807A4">
        <w:rPr>
          <w:i/>
        </w:rPr>
        <w:t>ur</w:t>
      </w:r>
      <w:proofErr w:type="spellEnd"/>
      <w:r w:rsidR="00AF6B55">
        <w:t>-PDP model</w:t>
      </w:r>
      <w:r w:rsidR="0025076C">
        <w:t xml:space="preserve"> (a straightforward instantiation of Rumelhart et al.’s schema)</w:t>
      </w:r>
      <w:r w:rsidR="00D66049">
        <w:t xml:space="preserve"> and t</w:t>
      </w:r>
      <w:r w:rsidR="00AF6B55">
        <w:t xml:space="preserve">ransform it by tweaks into </w:t>
      </w:r>
      <w:r w:rsidR="00D66049">
        <w:t>a look</w:t>
      </w:r>
      <w:r w:rsidR="00AF6B55">
        <w:t>-</w:t>
      </w:r>
      <w:r w:rsidR="00D66049">
        <w:t>up table.</w:t>
      </w:r>
      <w:r w:rsidR="006807A4">
        <w:rPr>
          <w:rStyle w:val="FootnoteReference"/>
        </w:rPr>
        <w:footnoteReference w:id="11"/>
      </w:r>
    </w:p>
    <w:p w14:paraId="372C80CC" w14:textId="1970F061" w:rsidR="006807A4" w:rsidRDefault="00645D6A" w:rsidP="00D66049">
      <w:pPr>
        <w:pStyle w:val="Standard"/>
      </w:pPr>
      <w:r>
        <w:lastRenderedPageBreak/>
        <w:tab/>
      </w:r>
      <w:r w:rsidR="006807A4" w:rsidRPr="006807A4">
        <w:t xml:space="preserve">I propose the tweak-and-extend approach as a general account of evidence relevant to judgements about the sameness of kinds, </w:t>
      </w:r>
      <w:r w:rsidR="0025076C">
        <w:t>one that makes</w:t>
      </w:r>
      <w:r w:rsidR="006807A4" w:rsidRPr="006807A4">
        <w:t xml:space="preserve"> sense of work across the sciences. Take, for example, </w:t>
      </w:r>
      <w:r w:rsidR="006807A4" w:rsidRPr="00645D6A">
        <w:rPr>
          <w:i/>
        </w:rPr>
        <w:t>being a harmonic oscillator</w:t>
      </w:r>
      <w:r w:rsidR="006807A4" w:rsidRPr="006807A4">
        <w:t xml:space="preserve">. One begins with a simple equation describing the behavior of an idealized pendulum; in an attempt to model a wider ranges of systems, one adds a term for friction, and then a forcing function, and so on. That this family of “tweaked-and-extended” models has fruitful application to a variety of physical systems is strong evidence that those systems instantiate </w:t>
      </w:r>
      <w:r w:rsidR="0025076C">
        <w:t>a shared</w:t>
      </w:r>
      <w:r w:rsidR="006807A4" w:rsidRPr="006807A4">
        <w:t xml:space="preserve"> kind – </w:t>
      </w:r>
      <w:r w:rsidR="006807A4" w:rsidRPr="00645D6A">
        <w:rPr>
          <w:i/>
        </w:rPr>
        <w:t>harmonic oscillator</w:t>
      </w:r>
      <w:r w:rsidR="006807A4" w:rsidRPr="006807A4">
        <w:t>.</w:t>
      </w:r>
    </w:p>
    <w:p w14:paraId="4A83468D" w14:textId="78DCC54A" w:rsidR="00FD733F" w:rsidRDefault="00645D6A" w:rsidP="00D66049">
      <w:pPr>
        <w:pStyle w:val="Standard"/>
      </w:pPr>
      <w:r>
        <w:tab/>
      </w:r>
      <w:r w:rsidR="006B258E">
        <w:t>A full-dress</w:t>
      </w:r>
      <w:r w:rsidR="00C45412">
        <w:t xml:space="preserve"> presentation</w:t>
      </w:r>
      <w:r w:rsidR="006B258E">
        <w:t xml:space="preserve"> of the tweak-and-extend approach</w:t>
      </w:r>
      <w:r w:rsidR="00A8753E">
        <w:t xml:space="preserve"> would extend far beyond what current limitations of space allow</w:t>
      </w:r>
      <w:r w:rsidR="00D175FC">
        <w:t xml:space="preserve">. Here I content myself with the discussion of </w:t>
      </w:r>
      <w:r w:rsidR="00C45412">
        <w:t xml:space="preserve">one </w:t>
      </w:r>
      <w:r w:rsidR="00D175FC">
        <w:t xml:space="preserve">potential objection, to do with </w:t>
      </w:r>
      <w:r>
        <w:t>t</w:t>
      </w:r>
      <w:r w:rsidR="00D66049">
        <w:t>he boundary between models that are related by tweak-and-extend</w:t>
      </w:r>
      <w:r w:rsidR="00A8753E">
        <w:t>, on the one hand,</w:t>
      </w:r>
      <w:r w:rsidR="00D66049">
        <w:t xml:space="preserve"> and those that are not</w:t>
      </w:r>
      <w:r w:rsidR="00A8753E">
        <w:t xml:space="preserve"> so related, on the other</w:t>
      </w:r>
      <w:r>
        <w:t xml:space="preserve">. </w:t>
      </w:r>
      <w:r w:rsidR="00D175FC">
        <w:t>How, o</w:t>
      </w:r>
      <w:r w:rsidRPr="006807A4">
        <w:t>ne might wonder</w:t>
      </w:r>
      <w:r w:rsidR="00D175FC">
        <w:t>, does</w:t>
      </w:r>
      <w:r w:rsidRPr="006807A4">
        <w:t xml:space="preserve"> the view handle </w:t>
      </w:r>
      <w:r w:rsidR="006D0070">
        <w:t>a long series of tweaks</w:t>
      </w:r>
      <w:r w:rsidR="00D175FC">
        <w:t>?</w:t>
      </w:r>
      <w:r w:rsidRPr="006807A4">
        <w:t xml:space="preserve"> </w:t>
      </w:r>
      <w:r w:rsidR="002D6782">
        <w:t>M</w:t>
      </w:r>
      <w:r w:rsidRPr="006807A4">
        <w:t>ight</w:t>
      </w:r>
      <w:r w:rsidR="00A05EFC">
        <w:t xml:space="preserve"> </w:t>
      </w:r>
      <w:r w:rsidR="00B74C7E">
        <w:t>it be easy enough to</w:t>
      </w:r>
      <w:r w:rsidRPr="006807A4">
        <w:t xml:space="preserve"> construct</w:t>
      </w:r>
      <w:r w:rsidR="002D6782">
        <w:t>, i</w:t>
      </w:r>
      <w:r w:rsidR="002D6782" w:rsidRPr="006807A4">
        <w:t>n the</w:t>
      </w:r>
      <w:r w:rsidR="002D6782">
        <w:t xml:space="preserve"> incremental</w:t>
      </w:r>
      <w:r w:rsidR="002D6782" w:rsidRPr="006807A4">
        <w:t xml:space="preserve"> fashion of a sorites argument, </w:t>
      </w:r>
      <w:r w:rsidRPr="006807A4">
        <w:t xml:space="preserve">a family of models </w:t>
      </w:r>
      <w:r w:rsidR="00B74C7E">
        <w:t xml:space="preserve">interrelated by tweaks, </w:t>
      </w:r>
      <w:r w:rsidR="006D0070">
        <w:t>two of the members of which,</w:t>
      </w:r>
      <w:r w:rsidRPr="006807A4">
        <w:t xml:space="preserve"> considered pairwise, seem quite unrelated to each other</w:t>
      </w:r>
      <w:r w:rsidR="00A05EFC">
        <w:t>?</w:t>
      </w:r>
      <w:r w:rsidR="006D0070">
        <w:rPr>
          <w:rStyle w:val="FootnoteReference"/>
        </w:rPr>
        <w:footnoteReference w:id="12"/>
      </w:r>
      <w:r w:rsidR="002D6782">
        <w:t xml:space="preserve"> Perhaps t</w:t>
      </w:r>
      <w:r w:rsidR="006D0070">
        <w:t>he</w:t>
      </w:r>
      <w:r w:rsidR="00DC2394">
        <w:t xml:space="preserve"> simplest reasonable</w:t>
      </w:r>
      <w:r w:rsidR="006D0070">
        <w:t xml:space="preserve"> approach </w:t>
      </w:r>
      <w:r w:rsidR="002D6782">
        <w:t xml:space="preserve">to such cases would be </w:t>
      </w:r>
      <w:r w:rsidR="006D0070">
        <w:t>defer to the intuitions of experts</w:t>
      </w:r>
      <w:r w:rsidR="002D6782">
        <w:t xml:space="preserve"> and practitioners</w:t>
      </w:r>
      <w:r w:rsidR="00B74C7E">
        <w:t>, to tell us when a series of tweaks produces a result “beyond recognition</w:t>
      </w:r>
      <w:r w:rsidR="002D6782">
        <w:t>.</w:t>
      </w:r>
      <w:r w:rsidR="00B74C7E">
        <w:t>”</w:t>
      </w:r>
      <w:r w:rsidR="00B74C7E">
        <w:rPr>
          <w:rStyle w:val="FootnoteReference"/>
        </w:rPr>
        <w:footnoteReference w:id="13"/>
      </w:r>
      <w:r>
        <w:t xml:space="preserve"> </w:t>
      </w:r>
      <w:r w:rsidR="00FD733F">
        <w:t xml:space="preserve">Ideally, though, we </w:t>
      </w:r>
      <w:r w:rsidR="002D6782">
        <w:t>sh</w:t>
      </w:r>
      <w:r w:rsidR="00FD733F">
        <w:t>ould</w:t>
      </w:r>
      <w:r w:rsidR="002D6782">
        <w:t xml:space="preserve"> want </w:t>
      </w:r>
      <w:r w:rsidR="00FD733F">
        <w:t>to identify an aspect of the data vari</w:t>
      </w:r>
      <w:r w:rsidR="006A4E76">
        <w:t>ation</w:t>
      </w:r>
      <w:r w:rsidR="00FD733F">
        <w:t xml:space="preserve"> in which is accounted for by </w:t>
      </w:r>
      <w:r w:rsidR="003620CE">
        <w:t xml:space="preserve">the </w:t>
      </w:r>
      <w:r w:rsidR="00FD733F">
        <w:t>models</w:t>
      </w:r>
      <w:r w:rsidR="003620CE">
        <w:t>’ shared components</w:t>
      </w:r>
      <w:r w:rsidR="00FD733F">
        <w:t xml:space="preserve"> (that is, whatever remains common to them, despite tweaking).</w:t>
      </w:r>
      <w:r w:rsidR="002D6782">
        <w:t xml:space="preserve"> </w:t>
      </w:r>
      <w:r w:rsidR="003620CE">
        <w:t>The method</w:t>
      </w:r>
      <w:r w:rsidR="006A4E76">
        <w:t xml:space="preserve"> of identification</w:t>
      </w:r>
      <w:r w:rsidR="003620CE">
        <w:t xml:space="preserve"> would take something like the following form: fix on</w:t>
      </w:r>
      <w:r w:rsidR="002D6782" w:rsidRPr="002D6782">
        <w:t xml:space="preserve"> two candidate models; identify their shared </w:t>
      </w:r>
      <w:r w:rsidR="003620CE">
        <w:t>elements</w:t>
      </w:r>
      <w:r w:rsidR="002D6782" w:rsidRPr="002D6782">
        <w:t xml:space="preserve"> or structure; vary</w:t>
      </w:r>
      <w:r w:rsidR="003620CE" w:rsidRPr="003620CE">
        <w:t xml:space="preserve"> systems </w:t>
      </w:r>
      <w:r w:rsidR="006A4E76">
        <w:t xml:space="preserve">that those models have </w:t>
      </w:r>
      <w:r w:rsidR="006A4E76">
        <w:lastRenderedPageBreak/>
        <w:t xml:space="preserve">successfully targeted in the past </w:t>
      </w:r>
      <w:r w:rsidR="003620CE" w:rsidRPr="003620CE">
        <w:t>along the dimension that corresponds to the</w:t>
      </w:r>
      <w:r w:rsidR="006A4E76">
        <w:t xml:space="preserve"> models’</w:t>
      </w:r>
      <w:r w:rsidR="003620CE" w:rsidRPr="003620CE">
        <w:t xml:space="preserve"> shared component</w:t>
      </w:r>
      <w:r w:rsidR="003620CE">
        <w:t>;</w:t>
      </w:r>
      <w:r w:rsidR="002D6782" w:rsidRPr="002D6782">
        <w:t xml:space="preserve"> see whether th</w:t>
      </w:r>
      <w:r w:rsidR="003620CE">
        <w:t>e corresponding variation in the shared component of the models accounts for</w:t>
      </w:r>
      <w:r w:rsidR="002D6782" w:rsidRPr="002D6782">
        <w:t xml:space="preserve"> varia</w:t>
      </w:r>
      <w:r w:rsidR="003620CE">
        <w:t>nce in other quantities of the target systems</w:t>
      </w:r>
      <w:r w:rsidR="00DC2394">
        <w:t xml:space="preserve"> (variance that accompanies variation in the part of the target systems that corresponds to</w:t>
      </w:r>
      <w:r w:rsidR="006A4E76">
        <w:t xml:space="preserve"> the</w:t>
      </w:r>
      <w:r w:rsidR="00DC2394">
        <w:t xml:space="preserve"> models’ shared component)</w:t>
      </w:r>
      <w:r w:rsidR="002D6782" w:rsidRPr="002D6782">
        <w:t xml:space="preserve">. The idea is to try to find evidence that what is shared by two candidate models plays a causal-explanatory role. If it does, then we place the candidate models in the same family, even if, </w:t>
      </w:r>
      <w:r w:rsidR="002D6782" w:rsidRPr="002D6782">
        <w:rPr>
          <w:i/>
        </w:rPr>
        <w:t>prima facie</w:t>
      </w:r>
      <w:r w:rsidR="002D6782" w:rsidRPr="002D6782">
        <w:t xml:space="preserve">, the extent of the tweaking and extending involved renders the models distant cousins. Note that even if </w:t>
      </w:r>
      <w:r w:rsidR="006A4E76">
        <w:t>a</w:t>
      </w:r>
      <w:r w:rsidR="002D6782" w:rsidRPr="002D6782">
        <w:t xml:space="preserve"> shared element does causal-explanatory work, the question remains how </w:t>
      </w:r>
      <w:r w:rsidR="003620CE">
        <w:t xml:space="preserve">best to </w:t>
      </w:r>
      <w:r w:rsidR="002D6782" w:rsidRPr="002D6782">
        <w:t>individuate the natural kind for the presence of whic</w:t>
      </w:r>
      <w:r w:rsidR="00DC2394">
        <w:t>h</w:t>
      </w:r>
      <w:r w:rsidR="002D6782" w:rsidRPr="002D6782">
        <w:t xml:space="preserve"> evidence</w:t>
      </w:r>
      <w:r w:rsidR="00DC2394">
        <w:t xml:space="preserve"> has been provided</w:t>
      </w:r>
      <w:r w:rsidR="002D6782" w:rsidRPr="002D6782">
        <w:t>. The</w:t>
      </w:r>
      <w:r w:rsidR="00DC2394">
        <w:t xml:space="preserve"> relevant</w:t>
      </w:r>
      <w:r w:rsidR="002D6782" w:rsidRPr="002D6782">
        <w:t xml:space="preserve"> aspec</w:t>
      </w:r>
      <w:r w:rsidR="00DC2394">
        <w:t xml:space="preserve">ts of the target system (the aspects that </w:t>
      </w:r>
      <w:r w:rsidR="00C53F50">
        <w:t>correspond</w:t>
      </w:r>
      <w:r w:rsidR="00DC2394">
        <w:t xml:space="preserve"> to the shared component in question as well as those variance in which is accounted for by changes in the value of the shared component)</w:t>
      </w:r>
      <w:r w:rsidR="002D6782" w:rsidRPr="002D6782">
        <w:t xml:space="preserve"> should guide our characterization of the kind</w:t>
      </w:r>
      <w:r w:rsidR="00DC2394">
        <w:t xml:space="preserve">. If, for example, we are to treat the models’ shared component as indicative of the presence of the generic kind </w:t>
      </w:r>
      <w:r w:rsidR="00DC2394" w:rsidRPr="00DC2394">
        <w:rPr>
          <w:i/>
        </w:rPr>
        <w:t>cognition</w:t>
      </w:r>
      <w:r w:rsidR="00DC2394">
        <w:t>, then the data in question had</w:t>
      </w:r>
      <w:r w:rsidR="006A4E76">
        <w:t xml:space="preserve"> better</w:t>
      </w:r>
      <w:r w:rsidR="00DC2394">
        <w:t xml:space="preserve"> be relevant to what we take to be cognitive phenomena, not to, for instance, overall size or mass of the target systems.</w:t>
      </w:r>
    </w:p>
    <w:p w14:paraId="7A7B2929" w14:textId="769C3CCF" w:rsidR="006807A4" w:rsidRDefault="00FD733F" w:rsidP="00D66049">
      <w:pPr>
        <w:pStyle w:val="Standard"/>
      </w:pPr>
      <w:r>
        <w:tab/>
      </w:r>
      <w:r w:rsidR="00DC2394">
        <w:t xml:space="preserve">The preceding is, by needs, sketchy and incomplete. </w:t>
      </w:r>
      <w:r w:rsidR="006D0070">
        <w:t>Bear in mind</w:t>
      </w:r>
      <w:r w:rsidR="00DC2394">
        <w:t xml:space="preserve">, however, </w:t>
      </w:r>
      <w:r w:rsidR="006D0070">
        <w:t>that my purpose is not to</w:t>
      </w:r>
      <w:r>
        <w:t xml:space="preserve"> </w:t>
      </w:r>
      <w:r w:rsidR="006A4E76">
        <w:t>present</w:t>
      </w:r>
      <w:r>
        <w:t xml:space="preserve"> a</w:t>
      </w:r>
      <w:r w:rsidR="006A4E76">
        <w:t xml:space="preserve"> </w:t>
      </w:r>
      <w:r>
        <w:t>theory of</w:t>
      </w:r>
      <w:r w:rsidR="006D0070">
        <w:t xml:space="preserve"> what it is to be a generic kind, but to </w:t>
      </w:r>
      <w:r w:rsidR="006B258E">
        <w:t>articulate</w:t>
      </w:r>
      <w:r w:rsidR="006D0070">
        <w:t xml:space="preserve"> a more structured framework within which to </w:t>
      </w:r>
      <w:r w:rsidR="00DC2394">
        <w:t>attempt to construct</w:t>
      </w:r>
      <w:r w:rsidR="006B258E">
        <w:t xml:space="preserve"> a naturalistic argument for</w:t>
      </w:r>
      <w:r w:rsidR="006D0070">
        <w:t xml:space="preserve"> realis</w:t>
      </w:r>
      <w:r w:rsidR="006B258E">
        <w:t>m</w:t>
      </w:r>
      <w:r w:rsidR="006D0070">
        <w:t>.</w:t>
      </w:r>
    </w:p>
    <w:p w14:paraId="6C18796F" w14:textId="4C3E6969" w:rsidR="002F195A" w:rsidRDefault="00CE7B62" w:rsidP="00CE7B62">
      <w:pPr>
        <w:pStyle w:val="Standard"/>
        <w:jc w:val="center"/>
      </w:pPr>
      <w:r>
        <w:t>IV. What Is Cognition?</w:t>
      </w:r>
    </w:p>
    <w:p w14:paraId="30B56339" w14:textId="1EA29EB1" w:rsidR="00367469" w:rsidRDefault="003C244D" w:rsidP="004947BD">
      <w:pPr>
        <w:pStyle w:val="Standard"/>
      </w:pPr>
      <w:r>
        <w:t>Whether groups have cognitive states</w:t>
      </w:r>
      <w:r w:rsidR="00AC0EC9">
        <w:t xml:space="preserve"> – that is, are in states of the same natural kind as human cognitive states –</w:t>
      </w:r>
      <w:r>
        <w:t xml:space="preserve"> depends partly, of </w:t>
      </w:r>
      <w:r w:rsidR="00FD1FA2">
        <w:t>course</w:t>
      </w:r>
      <w:r>
        <w:t>, on</w:t>
      </w:r>
      <w:r w:rsidR="00AC0EC9">
        <w:t xml:space="preserve"> the</w:t>
      </w:r>
      <w:r w:rsidR="007C7757">
        <w:t xml:space="preserve"> empirical</w:t>
      </w:r>
      <w:r w:rsidR="00AC0EC9">
        <w:t xml:space="preserve"> </w:t>
      </w:r>
      <w:r w:rsidR="00025457">
        <w:t>facts about</w:t>
      </w:r>
      <w:r w:rsidR="00F401FE">
        <w:t xml:space="preserve"> cognition itself</w:t>
      </w:r>
      <w:r w:rsidR="007C7757">
        <w:t xml:space="preserve">. </w:t>
      </w:r>
      <w:r w:rsidR="00F401FE">
        <w:t>Cognitio</w:t>
      </w:r>
      <w:r w:rsidR="007C7757">
        <w:t>n</w:t>
      </w:r>
      <w:r w:rsidR="00F401FE">
        <w:t xml:space="preserve"> is a</w:t>
      </w:r>
      <w:r>
        <w:t xml:space="preserve"> scientific</w:t>
      </w:r>
      <w:r w:rsidR="00F401FE">
        <w:t xml:space="preserve"> kind</w:t>
      </w:r>
      <w:r>
        <w:t>,</w:t>
      </w:r>
      <w:r w:rsidR="00F401FE">
        <w:t xml:space="preserve"> hypothesized by the relevant sciences</w:t>
      </w:r>
      <w:r w:rsidR="003C7571">
        <w:t xml:space="preserve"> to explain </w:t>
      </w:r>
      <w:r w:rsidR="003C7571">
        <w:lastRenderedPageBreak/>
        <w:t>(what we take to be) a</w:t>
      </w:r>
      <w:r>
        <w:t xml:space="preserve"> particular domain of phenomena</w:t>
      </w:r>
      <w:r w:rsidR="007C7757">
        <w:t xml:space="preserve"> concerning, in the first instance, the behavior of individual humans</w:t>
      </w:r>
      <w:r w:rsidR="009469F6">
        <w:t>:</w:t>
      </w:r>
      <w:r w:rsidR="003C7571">
        <w:t xml:space="preserve"> conversation in real time,</w:t>
      </w:r>
      <w:r w:rsidR="008E5AB2">
        <w:t xml:space="preserve"> patterns of similarity in the treatment of</w:t>
      </w:r>
      <w:r w:rsidR="003C7571">
        <w:t xml:space="preserve"> objects</w:t>
      </w:r>
      <w:r w:rsidR="008E5AB2">
        <w:t xml:space="preserve"> (reidentification)</w:t>
      </w:r>
      <w:r w:rsidR="00F07E4B">
        <w:t>, the production of works</w:t>
      </w:r>
      <w:r w:rsidR="007C7757">
        <w:t xml:space="preserve"> of art</w:t>
      </w:r>
      <w:r w:rsidR="00F07E4B">
        <w:t>, the formulation and testing of scientific theories,</w:t>
      </w:r>
      <w:r w:rsidR="003C7571">
        <w:t xml:space="preserve"> the playing of chess</w:t>
      </w:r>
      <w:r w:rsidR="00824DD7">
        <w:t>,</w:t>
      </w:r>
      <w:r w:rsidR="00F07E4B">
        <w:t xml:space="preserve"> </w:t>
      </w:r>
      <w:r w:rsidR="003C7571">
        <w:t>performance on reading comprehension exams, etc.</w:t>
      </w:r>
      <w:r w:rsidR="007C7757">
        <w:rPr>
          <w:rStyle w:val="FootnoteReference"/>
        </w:rPr>
        <w:footnoteReference w:id="14"/>
      </w:r>
    </w:p>
    <w:p w14:paraId="6C3DD59B" w14:textId="704C97E7" w:rsidR="0002153E" w:rsidRDefault="00367469" w:rsidP="0056475D">
      <w:pPr>
        <w:pStyle w:val="Standard"/>
      </w:pPr>
      <w:r>
        <w:tab/>
      </w:r>
      <w:r w:rsidR="003C5CD2">
        <w:t>What, then, is cognition</w:t>
      </w:r>
      <w:r w:rsidR="00F07E4B">
        <w:t xml:space="preserve">? </w:t>
      </w:r>
      <w:r w:rsidR="004947BD">
        <w:t>In other work (2004</w:t>
      </w:r>
      <w:r w:rsidR="00F65CEC">
        <w:t>, 2009, 2010), I have argued</w:t>
      </w:r>
      <w:r w:rsidR="004947BD">
        <w:t xml:space="preserve"> </w:t>
      </w:r>
      <w:r w:rsidR="00374276">
        <w:t xml:space="preserve">that </w:t>
      </w:r>
      <w:r w:rsidR="004947BD">
        <w:t>virtually all</w:t>
      </w:r>
      <w:r w:rsidR="00374276">
        <w:t xml:space="preserve"> successful</w:t>
      </w:r>
      <w:r w:rsidR="004947BD">
        <w:t xml:space="preserve"> forms of cognitive modeling</w:t>
      </w:r>
      <w:r w:rsidR="008E5AB2">
        <w:t xml:space="preserve"> – computational, brute biological, robotics-based, connectionist, and dynamicist –</w:t>
      </w:r>
      <w:r w:rsidR="004947BD">
        <w:t xml:space="preserve"> distinguish between, on the one hand, the </w:t>
      </w:r>
      <w:r w:rsidR="008E5AB2">
        <w:t xml:space="preserve">relatively integrated, relatively </w:t>
      </w:r>
      <w:r w:rsidR="004947BD">
        <w:t>persisting architecture, and</w:t>
      </w:r>
      <w:r w:rsidR="00A221B7">
        <w:t>,</w:t>
      </w:r>
      <w:r w:rsidR="004947BD">
        <w:t xml:space="preserve"> on the other, more transient causal contributors that, together with aspects of the architecture, produce intelligent behavior (</w:t>
      </w:r>
      <w:r w:rsidR="004947BD" w:rsidRPr="001139FF">
        <w:rPr>
          <w:i/>
        </w:rPr>
        <w:t>cf.</w:t>
      </w:r>
      <w:r w:rsidR="004947BD">
        <w:t xml:space="preserve"> Wilson</w:t>
      </w:r>
      <w:r w:rsidR="00EE1C84">
        <w:t>’s</w:t>
      </w:r>
      <w:r w:rsidR="004947BD">
        <w:t xml:space="preserve"> </w:t>
      </w:r>
      <w:r w:rsidR="00EE1C84">
        <w:t>[</w:t>
      </w:r>
      <w:r w:rsidR="004947BD">
        <w:t>2002</w:t>
      </w:r>
      <w:r w:rsidR="00EE1C84">
        <w:t>] distinction between obligate and facultative systems</w:t>
      </w:r>
      <w:r w:rsidR="004947BD">
        <w:t>)</w:t>
      </w:r>
      <w:r w:rsidR="001139FF">
        <w:t>, and, moreover, that this provides our best clue to the distinction between genuinely cognitive causes to the production of intelligent behavior and other contributing causes.</w:t>
      </w:r>
      <w:r w:rsidR="004947BD">
        <w:t xml:space="preserve"> Think of this as an inference to the best (available) explanation, twic</w:t>
      </w:r>
      <w:r w:rsidR="00FD5FF2">
        <w:t>e over. First,</w:t>
      </w:r>
      <w:r w:rsidR="00F65CEC">
        <w:t xml:space="preserve"> that some</w:t>
      </w:r>
      <w:r w:rsidR="004947BD">
        <w:t xml:space="preserve"> distinctive and cent</w:t>
      </w:r>
      <w:r w:rsidR="00AA11F0">
        <w:t>ral aspect of cognitive processing</w:t>
      </w:r>
      <w:r w:rsidR="004947BD">
        <w:t xml:space="preserve"> is typically instantiated within</w:t>
      </w:r>
      <w:r w:rsidR="008E5AB2">
        <w:t xml:space="preserve"> the boundary of</w:t>
      </w:r>
      <w:r w:rsidR="00B95554">
        <w:t xml:space="preserve"> individual</w:t>
      </w:r>
      <w:r w:rsidR="004947BD">
        <w:t xml:space="preserve"> organism</w:t>
      </w:r>
      <w:r w:rsidR="00B95554">
        <w:t>s</w:t>
      </w:r>
      <w:r w:rsidR="004947BD">
        <w:t xml:space="preserve"> explains why</w:t>
      </w:r>
      <w:r w:rsidR="00B95554">
        <w:t xml:space="preserve"> various modeling approaches that focus on the individual have been as</w:t>
      </w:r>
      <w:r w:rsidR="004947BD">
        <w:t xml:space="preserve"> success</w:t>
      </w:r>
      <w:r w:rsidR="00B95554">
        <w:t>ful as they have been.</w:t>
      </w:r>
      <w:r w:rsidR="004947BD">
        <w:t xml:space="preserve"> Second, that the persisting architecture is the distinctively cognitive thing</w:t>
      </w:r>
      <w:r w:rsidR="00FD5FF2">
        <w:t xml:space="preserve"> in question</w:t>
      </w:r>
      <w:r w:rsidR="004947BD">
        <w:t xml:space="preserve"> best explains</w:t>
      </w:r>
      <w:r w:rsidR="00EE1C84">
        <w:t xml:space="preserve"> why it runs through the various</w:t>
      </w:r>
      <w:r w:rsidR="004947BD">
        <w:t xml:space="preserve"> forms of </w:t>
      </w:r>
      <w:r w:rsidR="00374276">
        <w:t>successful</w:t>
      </w:r>
      <w:r w:rsidR="00F65CEC">
        <w:t xml:space="preserve"> individual-level</w:t>
      </w:r>
      <w:r w:rsidR="00374276">
        <w:t xml:space="preserve"> </w:t>
      </w:r>
      <w:r w:rsidR="00EE1C84">
        <w:t>modeling.</w:t>
      </w:r>
    </w:p>
    <w:p w14:paraId="09BFC35D" w14:textId="6E62081B" w:rsidR="0056475D" w:rsidRPr="00C427D4" w:rsidRDefault="0002153E" w:rsidP="0056475D">
      <w:pPr>
        <w:pStyle w:val="Standard"/>
      </w:pPr>
      <w:r>
        <w:tab/>
      </w:r>
      <w:r w:rsidR="00CA191A">
        <w:t xml:space="preserve">Can anything more precise be said about the central characteristics of </w:t>
      </w:r>
      <w:r w:rsidR="001139FF">
        <w:t>an</w:t>
      </w:r>
      <w:r w:rsidR="00CA191A">
        <w:t xml:space="preserve"> architecture?</w:t>
      </w:r>
      <w:r w:rsidR="00B95554">
        <w:t xml:space="preserve"> I have proposed </w:t>
      </w:r>
      <w:r w:rsidR="00E668DB">
        <w:t xml:space="preserve">that </w:t>
      </w:r>
      <w:r w:rsidR="00B95554">
        <w:t xml:space="preserve">a cognitive system consists of a </w:t>
      </w:r>
      <w:r w:rsidR="00E668DB">
        <w:t xml:space="preserve">collection of </w:t>
      </w:r>
      <w:r w:rsidR="00E668DB">
        <w:lastRenderedPageBreak/>
        <w:t>mechanisms that co-contribute in overlapping sub</w:t>
      </w:r>
      <w:r w:rsidR="008324B2">
        <w:t>s</w:t>
      </w:r>
      <w:r w:rsidR="00E668DB">
        <w:t>ets to the production of a wide range of forms of intelligent behavior</w:t>
      </w:r>
      <w:r w:rsidR="001139FF">
        <w:t xml:space="preserve"> as well as </w:t>
      </w:r>
      <w:r w:rsidR="009C30EB">
        <w:t xml:space="preserve">a </w:t>
      </w:r>
      <w:r w:rsidR="001139FF">
        <w:t>mathematical</w:t>
      </w:r>
      <w:r w:rsidR="00E668DB">
        <w:t xml:space="preserve"> </w:t>
      </w:r>
      <w:r w:rsidR="0056475D">
        <w:t xml:space="preserve">measure </w:t>
      </w:r>
      <w:r w:rsidR="00E668DB">
        <w:t xml:space="preserve">of </w:t>
      </w:r>
      <w:r w:rsidR="0056475D">
        <w:t>systemic integration</w:t>
      </w:r>
      <w:r w:rsidR="00E668DB">
        <w:t xml:space="preserve"> among those mechanisms</w:t>
      </w:r>
      <w:r w:rsidR="0056475D">
        <w:t xml:space="preserve"> (Rupert 2009</w:t>
      </w:r>
      <w:r w:rsidR="009C30EB">
        <w:t>, 2010</w:t>
      </w:r>
      <w:r w:rsidR="0056475D">
        <w:t>)</w:t>
      </w:r>
      <w:r w:rsidR="00E668DB">
        <w:t xml:space="preserve">, </w:t>
      </w:r>
      <w:r w:rsidR="001139FF">
        <w:t>a modestly refined version of</w:t>
      </w:r>
      <w:r w:rsidR="00B95554">
        <w:t xml:space="preserve"> which is presented </w:t>
      </w:r>
      <w:r w:rsidR="00275E7A">
        <w:t xml:space="preserve">below. The measure is meant to be location-neutral, in </w:t>
      </w:r>
      <w:r w:rsidR="00CA191A">
        <w:t xml:space="preserve">that </w:t>
      </w:r>
      <w:r w:rsidR="00275E7A">
        <w:t>it is meant to distinguish between the two kinds of causal contributor, wherever they appear, to the production of intelligent behavior</w:t>
      </w:r>
      <w:r w:rsidR="00CA191A">
        <w:t>.</w:t>
      </w:r>
      <w:r w:rsidR="00275E7A">
        <w:t xml:space="preserve"> </w:t>
      </w:r>
      <w:r w:rsidR="00CA191A">
        <w:t>T</w:t>
      </w:r>
      <w:r w:rsidR="00275E7A">
        <w:t xml:space="preserve">alk of mechanisms is a way of referring </w:t>
      </w:r>
      <w:r w:rsidR="001139FF">
        <w:t xml:space="preserve">indiscriminately </w:t>
      </w:r>
      <w:r w:rsidR="00275E7A">
        <w:t xml:space="preserve">to </w:t>
      </w:r>
      <w:r w:rsidR="00CA191A">
        <w:t xml:space="preserve">all </w:t>
      </w:r>
      <w:r w:rsidR="00275E7A">
        <w:t>such causal contributors.</w:t>
      </w:r>
    </w:p>
    <w:p w14:paraId="1CB68CC5" w14:textId="492F1E35" w:rsidR="0056475D" w:rsidRDefault="00B95554" w:rsidP="0056475D">
      <w:pPr>
        <w:pStyle w:val="Standard"/>
      </w:pPr>
      <w:r>
        <w:tab/>
      </w:r>
      <w:r w:rsidR="00AA11F0">
        <w:t xml:space="preserve">Here, then, is the </w:t>
      </w:r>
      <w:r>
        <w:t>formal account</w:t>
      </w:r>
      <w:r w:rsidR="00AA11F0">
        <w:t>:</w:t>
      </w:r>
    </w:p>
    <w:p w14:paraId="48480775" w14:textId="77777777" w:rsidR="00AA11F0" w:rsidRDefault="00AA11F0" w:rsidP="0056475D">
      <w:pPr>
        <w:pStyle w:val="Standard"/>
      </w:pPr>
    </w:p>
    <w:p w14:paraId="22432E12" w14:textId="27465125" w:rsidR="0056475D" w:rsidRDefault="0056475D" w:rsidP="0056475D">
      <w:pPr>
        <w:pStyle w:val="Standard"/>
      </w:pPr>
      <w:r>
        <w:t xml:space="preserve">1. </w:t>
      </w:r>
      <w:r w:rsidRPr="00C427D4">
        <w:t xml:space="preserve">For a subject at a time, form each non-singleton subset of </w:t>
      </w:r>
      <w:r>
        <w:t xml:space="preserve">the </w:t>
      </w:r>
      <w:r w:rsidRPr="00C427D4">
        <w:t>mechanisms that have distinctively causally contributed to the production of any form of intelligent behavior</w:t>
      </w:r>
      <w:r w:rsidR="00275E7A">
        <w:t xml:space="preserve"> (where the </w:t>
      </w:r>
      <w:r w:rsidR="00FD5FF2">
        <w:t>distinctive</w:t>
      </w:r>
      <w:r w:rsidR="00275E7A">
        <w:t>ness requirement</w:t>
      </w:r>
      <w:r w:rsidR="00CA191A">
        <w:t xml:space="preserve"> effectively brackets</w:t>
      </w:r>
      <w:r w:rsidR="00B908B9">
        <w:t xml:space="preserve"> </w:t>
      </w:r>
      <w:r w:rsidR="00677D1A">
        <w:t>background</w:t>
      </w:r>
      <w:r w:rsidR="00275E7A">
        <w:t xml:space="preserve"> conditions such</w:t>
      </w:r>
      <w:r w:rsidR="00AA11F0">
        <w:t xml:space="preserve"> as</w:t>
      </w:r>
      <w:r w:rsidR="00CA191A">
        <w:t xml:space="preserve"> the</w:t>
      </w:r>
      <w:r w:rsidR="00B908B9">
        <w:t xml:space="preserve"> air pressure</w:t>
      </w:r>
      <w:r w:rsidR="00275E7A">
        <w:t>’s falling within a certain range</w:t>
      </w:r>
      <w:r w:rsidR="00B908B9">
        <w:t>)</w:t>
      </w:r>
      <w:r w:rsidRPr="00C427D4">
        <w:t>.</w:t>
      </w:r>
    </w:p>
    <w:p w14:paraId="79AA0C4B" w14:textId="77777777" w:rsidR="00FD5FF2" w:rsidRPr="00C427D4" w:rsidRDefault="00FD5FF2" w:rsidP="0056475D">
      <w:pPr>
        <w:pStyle w:val="Standard"/>
      </w:pPr>
    </w:p>
    <w:p w14:paraId="6DC1C948" w14:textId="6CE3FC2A" w:rsidR="00454C03" w:rsidRDefault="0056475D" w:rsidP="0056475D">
      <w:pPr>
        <w:pStyle w:val="Standard"/>
      </w:pPr>
      <w:r>
        <w:t xml:space="preserve">2. </w:t>
      </w:r>
      <w:r w:rsidRPr="00C427D4">
        <w:t>For each subset, relative to each form of intelligent behavior,</w:t>
      </w:r>
      <w:r w:rsidR="00694202">
        <w:rPr>
          <w:rStyle w:val="FootnoteReference"/>
        </w:rPr>
        <w:footnoteReference w:id="15"/>
      </w:r>
      <w:r w:rsidRPr="00C427D4">
        <w:t xml:space="preserve"> there is, for each of its proper subsets, a probability of its being a causal contributor to the production of that form of behavior conditional on</w:t>
      </w:r>
      <w:r w:rsidR="00CA191A">
        <w:t xml:space="preserve"> every member of</w:t>
      </w:r>
      <w:r w:rsidRPr="00C427D4">
        <w:t xml:space="preserve"> the complement of that set’s</w:t>
      </w:r>
      <w:r>
        <w:t xml:space="preserve"> </w:t>
      </w:r>
      <w:r w:rsidRPr="00C427D4">
        <w:t>contribu</w:t>
      </w:r>
      <w:r w:rsidR="00CA191A">
        <w:t>ting causally</w:t>
      </w:r>
      <w:r w:rsidRPr="00C427D4">
        <w:t>.</w:t>
      </w:r>
      <w:r w:rsidR="00B908B9">
        <w:t xml:space="preserve"> (</w:t>
      </w:r>
      <w:r>
        <w:t xml:space="preserve">Here’s an illustration: Take an edge-detection mechanism. It causally contributes to the avoidance of obstacles. So does a mechanism that </w:t>
      </w:r>
      <w:r w:rsidR="00CA191A">
        <w:t>computes</w:t>
      </w:r>
      <w:r>
        <w:t xml:space="preserve"> distance from retinal disparity and so does a mechanism that calculates shape from </w:t>
      </w:r>
      <w:r>
        <w:lastRenderedPageBreak/>
        <w:t>detected shading</w:t>
      </w:r>
      <w:r w:rsidR="00CA191A">
        <w:t xml:space="preserve"> [Marr 1982]</w:t>
      </w:r>
      <w:r>
        <w:t xml:space="preserve">. Relative to this </w:t>
      </w:r>
      <w:r w:rsidR="00CA191A">
        <w:t>pattern</w:t>
      </w:r>
      <w:r>
        <w:t xml:space="preserve"> of behavior – obstacle avoidance – each of these three mechanisms can appear in two different two-member sets, and each can appear in one three-membered set. For each two-membered set, two conditional probabilities are relevant: the first-mechanism’s contributing conditional on the second’s, and vice versa. For the three-membered set, there are six relevant conditional probabilities: each single mechanism’s contributing conditional on the other two’s, and each combination of two’s contributing conditional on the third’s. Now go through this procedure – in principle! – for every grouping of all causally contributing mechanisms relative to each form of intelligent behavior that</w:t>
      </w:r>
      <w:r w:rsidR="00CA191A">
        <w:t xml:space="preserve"> ha</w:t>
      </w:r>
      <w:r>
        <w:t>s been exhibited by the subject in question [so long as the subject has exhibited a reasonably wide range of forms of intelligent behavior –</w:t>
      </w:r>
      <w:r w:rsidR="00677D1A">
        <w:t xml:space="preserve"> if not, all bets are off,</w:t>
      </w:r>
      <w:r>
        <w:t xml:space="preserve"> for this richness of repertoire is one of the central features of the </w:t>
      </w:r>
      <w:r w:rsidRPr="00472E23">
        <w:rPr>
          <w:i/>
        </w:rPr>
        <w:t>explananda</w:t>
      </w:r>
      <w:r w:rsidR="008324B2">
        <w:t xml:space="preserve"> of cognitive science].)</w:t>
      </w:r>
    </w:p>
    <w:p w14:paraId="2E4CE4EE" w14:textId="77777777" w:rsidR="00454C03" w:rsidRPr="00C427D4" w:rsidRDefault="00454C03" w:rsidP="0056475D">
      <w:pPr>
        <w:pStyle w:val="Standard"/>
      </w:pPr>
    </w:p>
    <w:p w14:paraId="138EE08B" w14:textId="3FA2502F" w:rsidR="0056475D" w:rsidRPr="00C427D4" w:rsidRDefault="0056475D" w:rsidP="0056475D">
      <w:pPr>
        <w:pStyle w:val="Standard"/>
      </w:pPr>
      <w:r>
        <w:t>3.</w:t>
      </w:r>
      <w:r w:rsidR="00454C03">
        <w:t xml:space="preserve"> R</w:t>
      </w:r>
      <w:r w:rsidR="00694202">
        <w:t>ank</w:t>
      </w:r>
      <w:r w:rsidR="00454C03">
        <w:t xml:space="preserve"> order</w:t>
      </w:r>
      <w:r>
        <w:t xml:space="preserve"> </w:t>
      </w:r>
      <w:r w:rsidR="00694202">
        <w:t>all such</w:t>
      </w:r>
      <w:r w:rsidRPr="00C427D4">
        <w:t xml:space="preserve"> conditional pro</w:t>
      </w:r>
      <w:r w:rsidR="00B908B9">
        <w:t>babilities</w:t>
      </w:r>
      <w:r>
        <w:t>.</w:t>
      </w:r>
    </w:p>
    <w:p w14:paraId="6B48E6EC" w14:textId="77777777" w:rsidR="0056475D" w:rsidRPr="00C427D4" w:rsidRDefault="0056475D" w:rsidP="0056475D">
      <w:pPr>
        <w:pStyle w:val="Standard"/>
      </w:pPr>
    </w:p>
    <w:p w14:paraId="66CFCEF0" w14:textId="3ED25DA3" w:rsidR="0056475D" w:rsidRDefault="0056475D" w:rsidP="0056475D">
      <w:pPr>
        <w:pStyle w:val="Standard"/>
      </w:pPr>
      <w:r>
        <w:t xml:space="preserve">4. </w:t>
      </w:r>
      <w:r w:rsidRPr="00C427D4">
        <w:t>Take the natural cut-off between the high</w:t>
      </w:r>
      <w:r w:rsidR="00454C03">
        <w:t>er probabilit</w:t>
      </w:r>
      <w:r w:rsidR="00694202">
        <w:t xml:space="preserve">ies and lower ones. </w:t>
      </w:r>
      <w:r w:rsidRPr="00C427D4">
        <w:t xml:space="preserve">(If </w:t>
      </w:r>
      <w:r>
        <w:t xml:space="preserve">something’s being an integrated system </w:t>
      </w:r>
      <w:r w:rsidRPr="00C427D4">
        <w:t>is a natural kin</w:t>
      </w:r>
      <w:r>
        <w:t xml:space="preserve">d, </w:t>
      </w:r>
      <w:r w:rsidR="00CA191A">
        <w:t xml:space="preserve">and the current proposal is on the right track, </w:t>
      </w:r>
      <w:r>
        <w:t>we should expect</w:t>
      </w:r>
      <w:r w:rsidRPr="00C427D4">
        <w:t xml:space="preserve"> such a statistically significant gap</w:t>
      </w:r>
      <w:r w:rsidR="00CA191A">
        <w:t xml:space="preserve"> to appear</w:t>
      </w:r>
      <w:r w:rsidRPr="00C427D4">
        <w:t>.)</w:t>
      </w:r>
    </w:p>
    <w:p w14:paraId="4D42B9E8" w14:textId="77777777" w:rsidR="0056475D" w:rsidRDefault="0056475D" w:rsidP="0056475D">
      <w:pPr>
        <w:pStyle w:val="Standard"/>
      </w:pPr>
    </w:p>
    <w:p w14:paraId="13E2E8A1" w14:textId="56E3AE0E" w:rsidR="0056475D" w:rsidRPr="00C427D4" w:rsidRDefault="0056475D" w:rsidP="0056475D">
      <w:pPr>
        <w:pStyle w:val="Standard"/>
      </w:pPr>
      <w:r>
        <w:t xml:space="preserve">5. </w:t>
      </w:r>
      <w:r w:rsidRPr="00C427D4">
        <w:t>For each mechanism appearing on the list of sets with higher conditional probabilities</w:t>
      </w:r>
      <w:r>
        <w:t xml:space="preserve"> (that is, the sets above the gap)</w:t>
      </w:r>
      <w:r w:rsidRPr="00C427D4">
        <w:t xml:space="preserve">, count the number of times </w:t>
      </w:r>
      <w:r w:rsidR="00CA191A">
        <w:t>that mechanism</w:t>
      </w:r>
      <w:r w:rsidRPr="00C427D4">
        <w:t xml:space="preserve"> appears</w:t>
      </w:r>
      <w:r w:rsidR="00CA191A">
        <w:t>;</w:t>
      </w:r>
      <w:r w:rsidRPr="00C427D4">
        <w:t xml:space="preserve"> rank order </w:t>
      </w:r>
      <w:r w:rsidR="00B908B9">
        <w:t xml:space="preserve">individual </w:t>
      </w:r>
      <w:r w:rsidRPr="00C427D4">
        <w:t>mechanisms</w:t>
      </w:r>
      <w:r w:rsidR="00B908B9">
        <w:t xml:space="preserve"> </w:t>
      </w:r>
      <w:r w:rsidRPr="00C427D4">
        <w:t>accordingly</w:t>
      </w:r>
      <w:r w:rsidR="005966DF">
        <w:t xml:space="preserve"> (that is, according to their</w:t>
      </w:r>
      <w:r w:rsidR="00CA191A">
        <w:t xml:space="preserve"> number of</w:t>
      </w:r>
      <w:r w:rsidR="005966DF">
        <w:t xml:space="preserve"> appearances on the list)</w:t>
      </w:r>
      <w:r w:rsidRPr="00C427D4">
        <w:t>.</w:t>
      </w:r>
    </w:p>
    <w:p w14:paraId="030318D2" w14:textId="77777777" w:rsidR="0056475D" w:rsidRPr="00C427D4" w:rsidRDefault="0056475D" w:rsidP="0056475D">
      <w:pPr>
        <w:pStyle w:val="Standard"/>
      </w:pPr>
    </w:p>
    <w:p w14:paraId="28DBE9D6" w14:textId="2D082F0D" w:rsidR="0056475D" w:rsidRPr="00C427D4" w:rsidRDefault="0056475D" w:rsidP="0056475D">
      <w:pPr>
        <w:pStyle w:val="Standard"/>
      </w:pPr>
      <w:r>
        <w:lastRenderedPageBreak/>
        <w:t xml:space="preserve">6. </w:t>
      </w:r>
      <w:r w:rsidRPr="00C427D4">
        <w:t>A statistically significant gap separates those mechanisms tha</w:t>
      </w:r>
      <w:r w:rsidR="00275E7A">
        <w:t>t appear frequently on the</w:t>
      </w:r>
      <w:r w:rsidRPr="00C427D4">
        <w:t xml:space="preserve"> list from those that do</w:t>
      </w:r>
      <w:r w:rsidR="00CA191A">
        <w:t xml:space="preserve"> </w:t>
      </w:r>
      <w:r w:rsidRPr="00C427D4">
        <w:t>n</w:t>
      </w:r>
      <w:r w:rsidR="00CA191A">
        <w:t>o</w:t>
      </w:r>
      <w:r w:rsidRPr="00C427D4">
        <w:t>t.</w:t>
      </w:r>
    </w:p>
    <w:p w14:paraId="17A67D68" w14:textId="77777777" w:rsidR="0056475D" w:rsidRPr="00C427D4" w:rsidRDefault="0056475D" w:rsidP="0056475D">
      <w:pPr>
        <w:pStyle w:val="Standard"/>
      </w:pPr>
    </w:p>
    <w:p w14:paraId="6925ADE9" w14:textId="4F272405" w:rsidR="0056475D" w:rsidRDefault="0056475D" w:rsidP="0056475D">
      <w:pPr>
        <w:pStyle w:val="Standard"/>
      </w:pPr>
      <w:r>
        <w:t xml:space="preserve">7. </w:t>
      </w:r>
      <w:r w:rsidRPr="00C427D4">
        <w:t>The integrated</w:t>
      </w:r>
      <w:r>
        <w:t xml:space="preserve"> cognitive</w:t>
      </w:r>
      <w:r w:rsidRPr="00C427D4">
        <w:t xml:space="preserve"> system comprises all and only</w:t>
      </w:r>
      <w:r w:rsidR="00275E7A">
        <w:t xml:space="preserve"> those mechanisms</w:t>
      </w:r>
      <w:r w:rsidRPr="00C427D4">
        <w:t xml:space="preserve"> appear</w:t>
      </w:r>
      <w:r w:rsidR="00275E7A">
        <w:t>ing</w:t>
      </w:r>
      <w:r w:rsidRPr="00C427D4">
        <w:t xml:space="preserve"> above the gap.</w:t>
      </w:r>
      <w:r>
        <w:rPr>
          <w:rStyle w:val="FootnoteReference"/>
        </w:rPr>
        <w:footnoteReference w:id="16"/>
      </w:r>
    </w:p>
    <w:p w14:paraId="693900A4" w14:textId="77777777" w:rsidR="0065481A" w:rsidRDefault="0065481A" w:rsidP="0056475D">
      <w:pPr>
        <w:pStyle w:val="Standard"/>
      </w:pPr>
    </w:p>
    <w:p w14:paraId="7B0AD7D4" w14:textId="6BE179F6" w:rsidR="007B0009" w:rsidRPr="00575E35" w:rsidRDefault="00575E35" w:rsidP="004947BD">
      <w:pPr>
        <w:pStyle w:val="Standard"/>
      </w:pPr>
      <w:r>
        <w:t xml:space="preserve">I won’t defend </w:t>
      </w:r>
      <w:r w:rsidR="0056475D">
        <w:t>t</w:t>
      </w:r>
      <w:r w:rsidR="00D23854">
        <w:t>his</w:t>
      </w:r>
      <w:r w:rsidR="008324B2">
        <w:t xml:space="preserve"> view</w:t>
      </w:r>
      <w:r w:rsidR="00B908B9">
        <w:t xml:space="preserve"> here</w:t>
      </w:r>
      <w:r w:rsidR="00D23854">
        <w:t xml:space="preserve">; the details </w:t>
      </w:r>
      <w:r>
        <w:t xml:space="preserve">of it </w:t>
      </w:r>
      <w:r w:rsidR="00D23854">
        <w:t>may fail to capture</w:t>
      </w:r>
      <w:r w:rsidR="0056475D">
        <w:t xml:space="preserve"> what is common to the architectures presupposed by the various for</w:t>
      </w:r>
      <w:r w:rsidR="008324B2">
        <w:t>ms of</w:t>
      </w:r>
      <w:r w:rsidR="0065481A">
        <w:t xml:space="preserve"> successful</w:t>
      </w:r>
      <w:r w:rsidR="0002153E">
        <w:t xml:space="preserve"> cognitive</w:t>
      </w:r>
      <w:r w:rsidR="008324B2">
        <w:t xml:space="preserve"> modeling</w:t>
      </w:r>
      <w:r w:rsidR="00D23854">
        <w:t xml:space="preserve"> (</w:t>
      </w:r>
      <w:r w:rsidR="00D23854" w:rsidRPr="00985141">
        <w:rPr>
          <w:i/>
        </w:rPr>
        <w:t>cf.</w:t>
      </w:r>
      <w:r w:rsidR="00D23854">
        <w:t xml:space="preserve"> </w:t>
      </w:r>
      <w:r w:rsidR="00D23854" w:rsidRPr="00247186">
        <w:rPr>
          <w:lang w:val="en-GB"/>
        </w:rPr>
        <w:t>Klein 2010, de Brigard</w:t>
      </w:r>
      <w:r w:rsidR="00D23854">
        <w:rPr>
          <w:lang w:val="en-GB"/>
        </w:rPr>
        <w:t xml:space="preserve"> 2017).</w:t>
      </w:r>
      <w:r w:rsidR="00D23854">
        <w:t xml:space="preserve"> </w:t>
      </w:r>
      <w:r w:rsidR="007258D5">
        <w:t xml:space="preserve">But, the view </w:t>
      </w:r>
      <w:r w:rsidR="00985141">
        <w:t xml:space="preserve">on offer </w:t>
      </w:r>
      <w:r w:rsidR="007258D5">
        <w:t>provides</w:t>
      </w:r>
      <w:r w:rsidR="00677D1A">
        <w:t xml:space="preserve"> something plausible and</w:t>
      </w:r>
      <w:r w:rsidR="007258D5">
        <w:t xml:space="preserve"> concrete, such that we can ask how it might be tweaked-and-extended to allow for group-level cognition</w:t>
      </w:r>
      <w:r>
        <w:t xml:space="preserve">, to give us at least some idea how we might identify different species of a generic kind </w:t>
      </w:r>
      <w:r>
        <w:rPr>
          <w:i/>
        </w:rPr>
        <w:t>cognition</w:t>
      </w:r>
      <w:r>
        <w:t>.</w:t>
      </w:r>
      <w:r w:rsidR="006A30A2">
        <w:rPr>
          <w:rStyle w:val="FootnoteReference"/>
        </w:rPr>
        <w:footnoteReference w:id="17"/>
      </w:r>
    </w:p>
    <w:p w14:paraId="0DE32CF5" w14:textId="416E8829" w:rsidR="00A221B7" w:rsidRDefault="00A221B7" w:rsidP="004947BD">
      <w:pPr>
        <w:pStyle w:val="Standard"/>
      </w:pPr>
      <w:r>
        <w:tab/>
      </w:r>
      <w:r w:rsidR="00575E35">
        <w:t>Before moving on, let me provide a bit of context. The preceding account of (or necessary condition on) cognition was initially formulated in an attempt to adjudicate claims about extended cognition</w:t>
      </w:r>
      <w:r w:rsidR="006A30A2">
        <w:t xml:space="preserve">, </w:t>
      </w:r>
      <w:r w:rsidR="00575E35">
        <w:t>in particular, the claim that contemporary cognitive science has revealed human cognition to be extended in a deep and theoretically important way</w:t>
      </w:r>
      <w:r w:rsidR="006A30A2">
        <w:t xml:space="preserve"> (Clark and Chalmers 1998)</w:t>
      </w:r>
      <w:r w:rsidR="00575E35">
        <w:t>. If the preceding condition on cognition is correct – that is, if cognition must occur within the cognitive system as delineated above – then it would seem that</w:t>
      </w:r>
      <w:r>
        <w:t xml:space="preserve"> for most individual human subjects at most times,</w:t>
      </w:r>
      <w:r w:rsidR="00575E35">
        <w:t xml:space="preserve"> cognitive processing occurs within the boundaries of</w:t>
      </w:r>
      <w:r w:rsidR="00985141">
        <w:t xml:space="preserve"> the subject’s</w:t>
      </w:r>
      <w:r w:rsidR="00575E35">
        <w:t xml:space="preserve"> body</w:t>
      </w:r>
      <w:r w:rsidR="006A30A2">
        <w:t xml:space="preserve">; for, generally speaking, </w:t>
      </w:r>
      <w:r w:rsidR="006A30A2">
        <w:lastRenderedPageBreak/>
        <w:t>the preceding characterization of the cognitive system cuts against the inclusion of special-purpose tools and one-offs</w:t>
      </w:r>
      <w:r w:rsidR="00BE5E26">
        <w:t>, which tends to be the status of causal contributors beyond the boundary of the body.</w:t>
      </w:r>
      <w:r w:rsidR="00B00A58">
        <w:t xml:space="preserve"> </w:t>
      </w:r>
      <w:r w:rsidR="00985141">
        <w:t>Th</w:t>
      </w:r>
      <w:r w:rsidR="00BE5E26">
        <w:t>e location of individual human cognition</w:t>
      </w:r>
      <w:r w:rsidR="00985141">
        <w:t xml:space="preserve"> is</w:t>
      </w:r>
      <w:r w:rsidR="00B00A58">
        <w:t xml:space="preserve"> largely an empirical matter, though.</w:t>
      </w:r>
      <w:r>
        <w:t xml:space="preserve"> Th</w:t>
      </w:r>
      <w:r w:rsidR="00BE5E26">
        <w:t>e</w:t>
      </w:r>
      <w:r>
        <w:t xml:space="preserve"> syste</w:t>
      </w:r>
      <w:r w:rsidR="00B00A58">
        <w:t>ms-based proposal</w:t>
      </w:r>
      <w:r>
        <w:t xml:space="preserve"> leave</w:t>
      </w:r>
      <w:r w:rsidR="00985141">
        <w:t>s</w:t>
      </w:r>
      <w:r>
        <w:t xml:space="preserve"> open the possibility that a tool that consistently contributes to the production of a variety of forms of intelligent behavior (a smart pho</w:t>
      </w:r>
      <w:r w:rsidR="00B00A58">
        <w:t>ne, perhaps – Chalmers, 2008)</w:t>
      </w:r>
      <w:r>
        <w:t xml:space="preserve"> </w:t>
      </w:r>
      <w:r w:rsidR="00B00A58">
        <w:t>across a variety of contexts</w:t>
      </w:r>
      <w:r w:rsidR="006A30A2">
        <w:t>, contributing with a shifting set of co-collaborators,</w:t>
      </w:r>
      <w:r w:rsidR="00B00A58">
        <w:t xml:space="preserve"> </w:t>
      </w:r>
      <w:r w:rsidR="00985141">
        <w:t>is</w:t>
      </w:r>
      <w:r>
        <w:t xml:space="preserve"> part of a human’s cognitive system. </w:t>
      </w:r>
    </w:p>
    <w:p w14:paraId="3A7E9F2E" w14:textId="1D40E1FC" w:rsidR="0065481A" w:rsidRDefault="0065481A" w:rsidP="0065481A">
      <w:pPr>
        <w:pStyle w:val="Standard"/>
        <w:jc w:val="center"/>
      </w:pPr>
      <w:r>
        <w:t>V</w:t>
      </w:r>
      <w:r w:rsidR="007258D5">
        <w:t>. Group Cognitive States</w:t>
      </w:r>
      <w:r w:rsidR="00A221B7">
        <w:t>?</w:t>
      </w:r>
    </w:p>
    <w:p w14:paraId="1E8EC3B2" w14:textId="336BA92E" w:rsidR="00B71778" w:rsidRDefault="00A221B7" w:rsidP="00A221B7">
      <w:pPr>
        <w:pStyle w:val="Standard"/>
      </w:pPr>
      <w:r>
        <w:t>We have in hand, then, an abstract</w:t>
      </w:r>
      <w:r w:rsidR="00257583">
        <w:t xml:space="preserve"> characterization of </w:t>
      </w:r>
      <w:r w:rsidR="001F7846">
        <w:t xml:space="preserve">the </w:t>
      </w:r>
      <w:r w:rsidR="00257583">
        <w:t>c</w:t>
      </w:r>
      <w:r w:rsidR="001F7846">
        <w:t>ognitive system that</w:t>
      </w:r>
      <w:r>
        <w:t xml:space="preserve"> </w:t>
      </w:r>
      <w:r w:rsidR="002E3983">
        <w:t>deliver</w:t>
      </w:r>
      <w:r>
        <w:t>s</w:t>
      </w:r>
      <w:r w:rsidR="002E3983">
        <w:t xml:space="preserve"> a minimal subject of co</w:t>
      </w:r>
      <w:r w:rsidR="0065481A">
        <w:t>gnitive states. G</w:t>
      </w:r>
      <w:r w:rsidR="001F7846">
        <w:t>iven the</w:t>
      </w:r>
      <w:r w:rsidR="002E3983">
        <w:t xml:space="preserve"> thin</w:t>
      </w:r>
      <w:r w:rsidR="001F7846">
        <w:t>-ness</w:t>
      </w:r>
      <w:r w:rsidR="0065481A">
        <w:t xml:space="preserve"> </w:t>
      </w:r>
      <w:r w:rsidR="001F7846">
        <w:t xml:space="preserve">of that </w:t>
      </w:r>
      <w:r w:rsidR="0065481A">
        <w:t>subject</w:t>
      </w:r>
      <w:r w:rsidR="001F7846">
        <w:t>,</w:t>
      </w:r>
      <w:r w:rsidR="00D66049">
        <w:t xml:space="preserve"> proponents of group cognition might take heart. </w:t>
      </w:r>
      <w:r w:rsidR="007A600E">
        <w:t>It appears that</w:t>
      </w:r>
      <w:r w:rsidR="00D66049">
        <w:t xml:space="preserve"> the individual human</w:t>
      </w:r>
      <w:r w:rsidR="0065481A">
        <w:t>’s cognitive system</w:t>
      </w:r>
      <w:r w:rsidR="00257583">
        <w:t xml:space="preserve"> – regardless of whether it</w:t>
      </w:r>
      <w:r w:rsidR="007A600E">
        <w:t xml:space="preserve"> is</w:t>
      </w:r>
      <w:r w:rsidR="00257583">
        <w:t xml:space="preserve"> wholly internal –</w:t>
      </w:r>
      <w:r w:rsidR="0065481A">
        <w:t xml:space="preserve"> </w:t>
      </w:r>
      <w:r w:rsidR="00A41B4C">
        <w:t>is</w:t>
      </w:r>
      <w:r w:rsidR="00D66049">
        <w:t xml:space="preserve"> little more than a</w:t>
      </w:r>
      <w:r w:rsidR="00AC0487">
        <w:t xml:space="preserve"> jointly packaged</w:t>
      </w:r>
      <w:r w:rsidR="00D66049">
        <w:t xml:space="preserve"> collection of “demons,” all doing their individual b</w:t>
      </w:r>
      <w:r w:rsidR="00257583">
        <w:t>its to produce</w:t>
      </w:r>
      <w:r w:rsidR="001F7846">
        <w:t xml:space="preserve"> flexible behavior, absent a</w:t>
      </w:r>
      <w:r w:rsidR="00257583">
        <w:t xml:space="preserve"> Cartesian theatre and</w:t>
      </w:r>
      <w:r w:rsidR="001F7846">
        <w:t xml:space="preserve"> with</w:t>
      </w:r>
      <w:r w:rsidR="00257583">
        <w:t xml:space="preserve"> little in the way of a</w:t>
      </w:r>
      <w:r w:rsidR="00D66049">
        <w:t xml:space="preserve"> central controller</w:t>
      </w:r>
      <w:r w:rsidR="00257583">
        <w:t xml:space="preserve"> </w:t>
      </w:r>
      <w:r w:rsidR="00D66049">
        <w:t>(Dennett 1991). Surely, in many extant groups</w:t>
      </w:r>
      <w:r w:rsidR="00AC0487">
        <w:t xml:space="preserve">, we find something like this, </w:t>
      </w:r>
      <w:r w:rsidR="00D66049">
        <w:t>perhaps even a relatively persisting collection of mechanisms that contribute in overlapping subsets to the production of a wide variety of</w:t>
      </w:r>
      <w:r w:rsidR="00257583">
        <w:t xml:space="preserve"> forms of behavior!</w:t>
      </w:r>
      <w:r w:rsidR="00D66049">
        <w:t xml:space="preserve"> Thus, some</w:t>
      </w:r>
      <w:r w:rsidR="00A41B4C">
        <w:t>,</w:t>
      </w:r>
      <w:r w:rsidR="00D66049">
        <w:t xml:space="preserve"> perhaps many</w:t>
      </w:r>
      <w:r w:rsidR="00A41B4C">
        <w:t xml:space="preserve">, </w:t>
      </w:r>
      <w:r w:rsidR="002E3983">
        <w:t>groups would appear to</w:t>
      </w:r>
      <w:r w:rsidR="00D66049">
        <w:t xml:space="preserve"> meet the systems-based necessary</w:t>
      </w:r>
      <w:r w:rsidR="00AC0487">
        <w:t xml:space="preserve"> condition for the possession of</w:t>
      </w:r>
      <w:r w:rsidR="00D66049">
        <w:t xml:space="preserve"> c</w:t>
      </w:r>
      <w:r w:rsidR="00AC0487">
        <w:t>ognitive states</w:t>
      </w:r>
      <w:r w:rsidR="00D66049">
        <w:t>.</w:t>
      </w:r>
    </w:p>
    <w:p w14:paraId="403DAC10" w14:textId="35E79F3C" w:rsidR="00A221B7" w:rsidRDefault="00257583" w:rsidP="00D66049">
      <w:pPr>
        <w:pStyle w:val="Standard"/>
      </w:pPr>
      <w:r>
        <w:tab/>
      </w:r>
      <w:r w:rsidR="001F7846">
        <w:t xml:space="preserve">Given the extensive differences in detail across the group and individual case, however, we should want to know what exactly </w:t>
      </w:r>
      <w:r w:rsidR="00A41B4C">
        <w:t>to</w:t>
      </w:r>
      <w:r w:rsidR="001F7846">
        <w:t xml:space="preserve"> look for, if we</w:t>
      </w:r>
      <w:r w:rsidR="007C7C87">
        <w:t xml:space="preserve"> a</w:t>
      </w:r>
      <w:r w:rsidR="001F7846">
        <w:t xml:space="preserve">re to find cognition at the group level. </w:t>
      </w:r>
      <w:r>
        <w:t xml:space="preserve">The material from </w:t>
      </w:r>
      <w:r w:rsidR="00A41B4C">
        <w:t>S</w:t>
      </w:r>
      <w:r>
        <w:t>ections III and IV suggests the foll</w:t>
      </w:r>
      <w:r w:rsidR="001F7846">
        <w:t>owing picture. Imagine that social scientists have completed careful studies of organization</w:t>
      </w:r>
      <w:r w:rsidR="00585108">
        <w:t>al</w:t>
      </w:r>
      <w:r w:rsidR="001F7846">
        <w:t xml:space="preserve"> structure, group dynamics, etc. In fact, s</w:t>
      </w:r>
      <w:r>
        <w:t>uf</w:t>
      </w:r>
      <w:r w:rsidR="001F7846">
        <w:t>ficient resources have been devoted to such study</w:t>
      </w:r>
      <w:r>
        <w:t xml:space="preserve"> as to </w:t>
      </w:r>
      <w:r>
        <w:lastRenderedPageBreak/>
        <w:t>provide f</w:t>
      </w:r>
      <w:r w:rsidR="001F7846">
        <w:t>or experimental interventions. And, imagine that o</w:t>
      </w:r>
      <w:r>
        <w:t xml:space="preserve">ur best models of the </w:t>
      </w:r>
      <w:r w:rsidR="00DA0F43">
        <w:t>data collected</w:t>
      </w:r>
      <w:r>
        <w:t xml:space="preserve"> draw a consistent distinction between relatively persisting resources and the passing parade of other resources that causally contribute to the production of the phenomena of interest. But, imagine that </w:t>
      </w:r>
      <w:r w:rsidR="00DA0F43">
        <w:t>when one models the co-contribution relations between the components of the persisting package, the relation that emerges is not best captured by conditional probabilitie</w:t>
      </w:r>
      <w:r w:rsidR="001F7846">
        <w:t xml:space="preserve">s of co-contributions </w:t>
      </w:r>
      <w:r w:rsidR="00DA0F43">
        <w:t>in the manner of</w:t>
      </w:r>
      <w:r w:rsidR="001F7846">
        <w:t xml:space="preserve"> the construction of </w:t>
      </w:r>
      <w:r w:rsidR="00A41B4C">
        <w:t>S</w:t>
      </w:r>
      <w:r w:rsidR="001F7846">
        <w:t>ection IV</w:t>
      </w:r>
      <w:r w:rsidR="00DA0F43">
        <w:t>. The probabilistic measure the fitting of which best captures the relations between what would appear to be the obligate parts</w:t>
      </w:r>
      <w:r w:rsidR="00A41B4C">
        <w:t xml:space="preserve"> of the group system</w:t>
      </w:r>
      <w:r w:rsidR="00DA0F43">
        <w:t xml:space="preserve"> is instead grounded in the relation</w:t>
      </w:r>
      <w:r w:rsidR="00A41B4C">
        <w:t xml:space="preserve"> </w:t>
      </w:r>
      <w:r w:rsidR="00DA0F43" w:rsidRPr="00A41B4C">
        <w:rPr>
          <w:i/>
        </w:rPr>
        <w:t>changing the likelihood of co-contribution</w:t>
      </w:r>
      <w:r w:rsidR="005004A3">
        <w:rPr>
          <w:i/>
        </w:rPr>
        <w:t xml:space="preserve"> of two others</w:t>
      </w:r>
      <w:r w:rsidR="00DA0F43">
        <w:t xml:space="preserve"> (</w:t>
      </w:r>
      <w:r w:rsidR="007C7C87" w:rsidRPr="007C7C87">
        <w:rPr>
          <w:i/>
        </w:rPr>
        <w:t>cf.</w:t>
      </w:r>
      <w:r w:rsidR="00DA0F43">
        <w:t xml:space="preserve"> Klein 2010): take any three</w:t>
      </w:r>
      <w:r w:rsidR="001F7846">
        <w:t xml:space="preserve"> causally contributing</w:t>
      </w:r>
      <w:r w:rsidR="00DA0F43">
        <w:t xml:space="preserve"> mechanisms and ask whether the presence of any one of the three alter</w:t>
      </w:r>
      <w:r w:rsidR="001F7846">
        <w:t>s</w:t>
      </w:r>
      <w:r w:rsidR="00DA0F43">
        <w:t xml:space="preserve"> the probability of the co-contribution of the other two; then cluster the resulting values in a fashion analogous to the manner in which conditional probabilities of co-contribution are clustered above.</w:t>
      </w:r>
    </w:p>
    <w:p w14:paraId="02EE8CEA" w14:textId="564C2BE9" w:rsidR="00923D4E" w:rsidRDefault="00DA0F43" w:rsidP="00923D4E">
      <w:pPr>
        <w:pStyle w:val="Standard"/>
      </w:pPr>
      <w:r>
        <w:tab/>
      </w:r>
      <w:r w:rsidR="007C7C87">
        <w:t>S</w:t>
      </w:r>
      <w:r w:rsidR="001F7846">
        <w:t xml:space="preserve">uch a model would bear </w:t>
      </w:r>
      <w:r w:rsidR="007C7C87">
        <w:t>a</w:t>
      </w:r>
      <w:r w:rsidR="001F7846">
        <w:t xml:space="preserve"> tweak-and-extend relation</w:t>
      </w:r>
      <w:r>
        <w:t xml:space="preserve"> </w:t>
      </w:r>
      <w:r w:rsidR="001F7846">
        <w:t xml:space="preserve">to </w:t>
      </w:r>
      <w:r w:rsidR="007C7C87">
        <w:t>S</w:t>
      </w:r>
      <w:r>
        <w:t>ection IV</w:t>
      </w:r>
      <w:r w:rsidR="001F7846">
        <w:t xml:space="preserve">’s model of </w:t>
      </w:r>
      <w:r w:rsidR="007C7C87">
        <w:t>a</w:t>
      </w:r>
      <w:r w:rsidR="001F7846">
        <w:t xml:space="preserve"> cognitive system.</w:t>
      </w:r>
      <w:r>
        <w:t xml:space="preserve"> </w:t>
      </w:r>
      <w:r w:rsidR="00923D4E">
        <w:t xml:space="preserve">For example, “1. </w:t>
      </w:r>
      <w:r w:rsidR="00923D4E" w:rsidRPr="00C427D4">
        <w:t xml:space="preserve">For a subject at a time, form each non-singleton subset of </w:t>
      </w:r>
      <w:r w:rsidR="00923D4E">
        <w:t xml:space="preserve">the </w:t>
      </w:r>
      <w:r w:rsidR="00923D4E" w:rsidRPr="00C427D4">
        <w:t>mechanisms that have distinctively causally contributed to the production of any form of intelligent behavior</w:t>
      </w:r>
      <w:r w:rsidR="00923D4E">
        <w:t xml:space="preserve">...” becomes “1. </w:t>
      </w:r>
      <w:r w:rsidR="00923D4E" w:rsidRPr="00C427D4">
        <w:t>For a subject at a tim</w:t>
      </w:r>
      <w:r w:rsidR="00923D4E">
        <w:t>e, form each triplet</w:t>
      </w:r>
      <w:r w:rsidR="00923D4E" w:rsidRPr="00C427D4">
        <w:t xml:space="preserve"> of </w:t>
      </w:r>
      <w:r w:rsidR="00923D4E">
        <w:t xml:space="preserve">the </w:t>
      </w:r>
      <w:r w:rsidR="00923D4E" w:rsidRPr="00C427D4">
        <w:t>mechanisms that have distinctively causally contributed to the production of any form of intelligent behavior</w:t>
      </w:r>
      <w:r w:rsidR="00923D4E">
        <w:t>...”</w:t>
      </w:r>
      <w:r w:rsidR="001F7846">
        <w:t>, which clearly constitute</w:t>
      </w:r>
      <w:r w:rsidR="005004A3">
        <w:t>s</w:t>
      </w:r>
      <w:r w:rsidR="001F7846">
        <w:t xml:space="preserve"> a tweak.</w:t>
      </w:r>
      <w:r w:rsidR="005A2FA0">
        <w:t xml:space="preserve"> </w:t>
      </w:r>
      <w:r w:rsidR="005004A3">
        <w:t>C</w:t>
      </w:r>
      <w:r w:rsidR="008766CC">
        <w:t>ommon to the models is some</w:t>
      </w:r>
      <w:r w:rsidR="001F7846">
        <w:t xml:space="preserve"> probabilistic</w:t>
      </w:r>
      <w:r w:rsidR="008766CC">
        <w:t xml:space="preserve"> relation </w:t>
      </w:r>
      <w:r w:rsidR="001F7846">
        <w:t>of co-contribution that binds</w:t>
      </w:r>
      <w:r w:rsidR="005004A3">
        <w:t xml:space="preserve"> some of the</w:t>
      </w:r>
      <w:r w:rsidR="001F7846">
        <w:t xml:space="preserve"> </w:t>
      </w:r>
      <w:r w:rsidR="008766CC">
        <w:t>causally contributing mechanisms together</w:t>
      </w:r>
      <w:r w:rsidR="005004A3">
        <w:t>, into a single system,</w:t>
      </w:r>
      <w:r w:rsidR="008766CC">
        <w:t xml:space="preserve"> in contrast to</w:t>
      </w:r>
      <w:r w:rsidR="005004A3">
        <w:t xml:space="preserve"> the status of</w:t>
      </w:r>
      <w:r w:rsidR="008766CC">
        <w:t xml:space="preserve"> oth</w:t>
      </w:r>
      <w:r w:rsidR="001F7846">
        <w:t>er contributing mechanisms.</w:t>
      </w:r>
      <w:r w:rsidR="007A600E">
        <w:t xml:space="preserve"> Th</w:t>
      </w:r>
      <w:r w:rsidR="005004A3">
        <w:t>is provides a</w:t>
      </w:r>
      <w:r w:rsidR="005A2FA0">
        <w:t xml:space="preserve"> </w:t>
      </w:r>
      <w:r w:rsidR="007A600E">
        <w:t xml:space="preserve">concrete </w:t>
      </w:r>
      <w:r w:rsidR="005A2FA0">
        <w:t>sense of what it would be for a group to engage in a different kind of cognition from an individual human</w:t>
      </w:r>
      <w:r w:rsidR="007C7C87">
        <w:t>, but cognition nevertheless</w:t>
      </w:r>
      <w:r w:rsidR="008766CC">
        <w:t>.</w:t>
      </w:r>
    </w:p>
    <w:p w14:paraId="1F10F622" w14:textId="2D98B565" w:rsidR="007258D5" w:rsidRDefault="007258D5" w:rsidP="007258D5">
      <w:pPr>
        <w:pStyle w:val="Standard"/>
        <w:jc w:val="center"/>
      </w:pPr>
      <w:r>
        <w:lastRenderedPageBreak/>
        <w:t>VI. Complications</w:t>
      </w:r>
    </w:p>
    <w:p w14:paraId="149DF02E" w14:textId="7103E0E8" w:rsidR="00AC0487" w:rsidRDefault="007258D5" w:rsidP="00D66049">
      <w:pPr>
        <w:pStyle w:val="Standard"/>
      </w:pPr>
      <w:r>
        <w:t>Some readers may wonder</w:t>
      </w:r>
      <w:r w:rsidR="00D66049">
        <w:t xml:space="preserve"> whether I</w:t>
      </w:r>
      <w:r w:rsidR="007A600E">
        <w:t xml:space="preserve"> have</w:t>
      </w:r>
      <w:r w:rsidR="00D66049">
        <w:t xml:space="preserve"> made matters too easy for the propon</w:t>
      </w:r>
      <w:r w:rsidR="00427313">
        <w:t>ent of group cognition, p</w:t>
      </w:r>
      <w:r w:rsidR="00F96FF9">
        <w:t>erhaps</w:t>
      </w:r>
      <w:r w:rsidR="00427313">
        <w:t xml:space="preserve"> for the following reason. In virtually any case </w:t>
      </w:r>
      <w:r w:rsidR="007C7C87">
        <w:t xml:space="preserve">in which </w:t>
      </w:r>
      <w:r w:rsidR="00427313">
        <w:t>a pers</w:t>
      </w:r>
      <w:r w:rsidR="009A7FF2">
        <w:t>isting system of interest contributes</w:t>
      </w:r>
      <w:r w:rsidR="007C7C87">
        <w:t xml:space="preserve"> </w:t>
      </w:r>
      <w:r w:rsidR="00F620D4">
        <w:t>to</w:t>
      </w:r>
      <w:r w:rsidR="007C7C87">
        <w:t xml:space="preserve"> the production of</w:t>
      </w:r>
      <w:r w:rsidR="00F620D4">
        <w:t xml:space="preserve"> some</w:t>
      </w:r>
      <w:r w:rsidR="009A7FF2">
        <w:t xml:space="preserve"> phenomenon</w:t>
      </w:r>
      <w:r w:rsidR="00427313">
        <w:t xml:space="preserve"> of interest,</w:t>
      </w:r>
      <w:r w:rsidR="00F96FF9">
        <w:t xml:space="preserve"> alongside elements that persist to a much lesser temporal extent,</w:t>
      </w:r>
      <w:r w:rsidR="00427313">
        <w:t xml:space="preserve"> the components of the model of that pe</w:t>
      </w:r>
      <w:r w:rsidR="005B09DC">
        <w:t>rsisting system’s behavior</w:t>
      </w:r>
      <w:r w:rsidR="00427313">
        <w:t xml:space="preserve"> cluster together naturally enough according to </w:t>
      </w:r>
      <w:r w:rsidR="00427313" w:rsidRPr="007C7C87">
        <w:rPr>
          <w:i/>
        </w:rPr>
        <w:t>some</w:t>
      </w:r>
      <w:r w:rsidR="005B09DC">
        <w:t xml:space="preserve"> probabilistic</w:t>
      </w:r>
      <w:r w:rsidR="00427313">
        <w:t xml:space="preserve"> measure that’s related closely enough to the model of </w:t>
      </w:r>
      <w:r w:rsidR="007C7C87">
        <w:t>S</w:t>
      </w:r>
      <w:r w:rsidR="00427313">
        <w:t>ection IV to count as a “tweaked-and-extended” version of it. Think of it in this way: What makes models interesting</w:t>
      </w:r>
      <w:r w:rsidR="005B09DC">
        <w:t xml:space="preserve"> are the details of the dynamics they define,</w:t>
      </w:r>
      <w:r w:rsidR="00F96FF9">
        <w:t xml:space="preserve"> the</w:t>
      </w:r>
      <w:r w:rsidR="00427313">
        <w:t xml:space="preserve"> regular relations between elements</w:t>
      </w:r>
      <w:r w:rsidR="005B09DC">
        <w:t xml:space="preserve"> in the model</w:t>
      </w:r>
      <w:r w:rsidR="00427313">
        <w:t>, etc.</w:t>
      </w:r>
      <w:r w:rsidR="00F860B7">
        <w:rPr>
          <w:rStyle w:val="FootnoteReference"/>
        </w:rPr>
        <w:footnoteReference w:id="18"/>
      </w:r>
      <w:r w:rsidR="004D0AA0">
        <w:t xml:space="preserve"> </w:t>
      </w:r>
      <w:r w:rsidR="00427313">
        <w:t>A con</w:t>
      </w:r>
      <w:r w:rsidR="00290043">
        <w:t>nectionist model must include</w:t>
      </w:r>
      <w:r w:rsidR="00427313">
        <w:t xml:space="preserve"> processing units that have activation values and that can pass activation to other units to which they</w:t>
      </w:r>
      <w:r w:rsidR="0023109D">
        <w:t xml:space="preserve"> a</w:t>
      </w:r>
      <w:r w:rsidR="00427313">
        <w:t>re directly connected. This places a significant constraint on the “same-generic-kind-as” relation</w:t>
      </w:r>
      <w:r w:rsidR="009B6E59">
        <w:t xml:space="preserve"> in the case of </w:t>
      </w:r>
      <w:r w:rsidR="009B6E59">
        <w:rPr>
          <w:i/>
        </w:rPr>
        <w:t>being a connectionist network</w:t>
      </w:r>
      <w:r w:rsidR="00427313">
        <w:t>. But, a model that merely applies probabilistic measures to cluster</w:t>
      </w:r>
      <w:r w:rsidR="00F96FF9">
        <w:t xml:space="preserve"> certain of the</w:t>
      </w:r>
      <w:r w:rsidR="00427313">
        <w:t xml:space="preserve"> contributing causes</w:t>
      </w:r>
      <w:r w:rsidR="009B6E59">
        <w:t xml:space="preserve"> together makes very few demands on a system</w:t>
      </w:r>
      <w:r w:rsidR="00427313">
        <w:t xml:space="preserve"> – too few, one might t</w:t>
      </w:r>
      <w:r w:rsidR="009B6E59">
        <w:t>hink to be taken seriously as a</w:t>
      </w:r>
      <w:r w:rsidR="007C7C87">
        <w:t>n</w:t>
      </w:r>
      <w:r w:rsidR="00427313">
        <w:t xml:space="preserve"> account of </w:t>
      </w:r>
      <w:r w:rsidR="00427313" w:rsidRPr="009B6E59">
        <w:rPr>
          <w:i/>
        </w:rPr>
        <w:t>cognition</w:t>
      </w:r>
      <w:r w:rsidR="00F96FF9">
        <w:t>,</w:t>
      </w:r>
      <w:r w:rsidR="007C7C87">
        <w:t xml:space="preserve"> as a causal-explanatory kind</w:t>
      </w:r>
      <w:r w:rsidR="00427313">
        <w:t>.</w:t>
      </w:r>
      <w:r w:rsidR="00427313">
        <w:rPr>
          <w:rStyle w:val="FootnoteReference"/>
        </w:rPr>
        <w:footnoteReference w:id="19"/>
      </w:r>
      <w:r w:rsidR="005B09DC">
        <w:t xml:space="preserve"> T</w:t>
      </w:r>
      <w:r w:rsidR="00427313">
        <w:t>he remaind</w:t>
      </w:r>
      <w:r w:rsidR="009B6E59">
        <w:t xml:space="preserve">er of </w:t>
      </w:r>
      <w:r w:rsidR="009B6E59">
        <w:lastRenderedPageBreak/>
        <w:t xml:space="preserve">this section explores </w:t>
      </w:r>
      <w:r w:rsidR="005B09DC">
        <w:t>this potential problem and two</w:t>
      </w:r>
      <w:r w:rsidR="009B6E59">
        <w:t xml:space="preserve"> </w:t>
      </w:r>
      <w:r w:rsidR="005B09DC">
        <w:t>others, concluding with a</w:t>
      </w:r>
      <w:r w:rsidR="009B6E59">
        <w:t xml:space="preserve"> pessimistic e</w:t>
      </w:r>
      <w:r w:rsidR="005B09DC">
        <w:t>valuation of the prospects for a realism about group</w:t>
      </w:r>
      <w:r w:rsidR="009B6E59">
        <w:t xml:space="preserve"> cognitive states.</w:t>
      </w:r>
    </w:p>
    <w:p w14:paraId="7D6F267A" w14:textId="77777777" w:rsidR="00AC0487" w:rsidRDefault="00AC0487" w:rsidP="00D66049">
      <w:pPr>
        <w:pStyle w:val="Standard"/>
      </w:pPr>
    </w:p>
    <w:p w14:paraId="278A2338" w14:textId="5C1F90BB" w:rsidR="008766CC" w:rsidRDefault="00AC0487" w:rsidP="00D66049">
      <w:pPr>
        <w:pStyle w:val="Standard"/>
      </w:pPr>
      <w:r>
        <w:t xml:space="preserve">1. </w:t>
      </w:r>
      <w:r w:rsidR="00A46480">
        <w:rPr>
          <w:i/>
        </w:rPr>
        <w:t>The problem of</w:t>
      </w:r>
      <w:r w:rsidR="009B6E59">
        <w:rPr>
          <w:i/>
        </w:rPr>
        <w:t xml:space="preserve"> missing conditions</w:t>
      </w:r>
      <w:r w:rsidR="00A46480">
        <w:rPr>
          <w:i/>
        </w:rPr>
        <w:t>.</w:t>
      </w:r>
      <w:r w:rsidR="008766CC">
        <w:rPr>
          <w:i/>
        </w:rPr>
        <w:t xml:space="preserve"> </w:t>
      </w:r>
      <w:r w:rsidR="008766CC">
        <w:t>Something is clearly</w:t>
      </w:r>
      <w:r w:rsidR="00AD3803">
        <w:t xml:space="preserve"> missing from section IV’s characterization of the cognitive</w:t>
      </w:r>
      <w:r w:rsidR="00D66049">
        <w:t xml:space="preserve"> syste</w:t>
      </w:r>
      <w:r w:rsidR="00AD3803">
        <w:t>m, at least if it</w:t>
      </w:r>
      <w:r w:rsidR="00A76C67">
        <w:t xml:space="preserve"> i</w:t>
      </w:r>
      <w:r w:rsidR="00AD3803">
        <w:t xml:space="preserve">s intended to capture the kind </w:t>
      </w:r>
      <w:r w:rsidR="00AD3803">
        <w:rPr>
          <w:i/>
        </w:rPr>
        <w:t>being cognitive</w:t>
      </w:r>
      <w:r w:rsidR="00AD3803">
        <w:t>. Think of the problem in this way: my</w:t>
      </w:r>
      <w:r w:rsidR="008766CC">
        <w:t xml:space="preserve"> characterization requires, of the mechanisms in question, that they causally contribute to the produ</w:t>
      </w:r>
      <w:r w:rsidR="00AD3803">
        <w:t>ction of intelligent behavior; n</w:t>
      </w:r>
      <w:r w:rsidR="008766CC">
        <w:t>evertheless, the kind of systemic i</w:t>
      </w:r>
      <w:r w:rsidR="00AD3803">
        <w:t>ntegrity that emerges</w:t>
      </w:r>
      <w:r w:rsidR="008766CC">
        <w:t xml:space="preserve"> has nothing specifically to do with </w:t>
      </w:r>
      <w:r w:rsidR="00AD3803">
        <w:t>cognition. The measure of probabilistic clustering of contributing mechanisms</w:t>
      </w:r>
      <w:r w:rsidR="008766CC">
        <w:t xml:space="preserve"> could be used to capture</w:t>
      </w:r>
      <w:r w:rsidR="00AD3803">
        <w:t>, for example,</w:t>
      </w:r>
      <w:r w:rsidR="008766CC">
        <w:t xml:space="preserve"> biological or chemical systems.</w:t>
      </w:r>
      <w:r w:rsidR="00AD3803">
        <w:t xml:space="preserve"> Elsewhere (Rupert 2013), </w:t>
      </w:r>
      <w:r w:rsidR="00F11571">
        <w:t xml:space="preserve">I’ve expressed the concern in the following way: if </w:t>
      </w:r>
      <w:r w:rsidR="00F11571">
        <w:rPr>
          <w:i/>
        </w:rPr>
        <w:t xml:space="preserve">this </w:t>
      </w:r>
      <w:r w:rsidR="00F11571">
        <w:t xml:space="preserve">is cognition, then cognitive science isn’t about cognition! </w:t>
      </w:r>
      <w:r w:rsidR="00AD3803">
        <w:t>And t</w:t>
      </w:r>
      <w:r w:rsidR="00F11571">
        <w:t>his accounts for my inclination to treat the systems</w:t>
      </w:r>
      <w:r w:rsidR="00AD3803">
        <w:t>-based-view as an</w:t>
      </w:r>
      <w:r w:rsidR="00F11571">
        <w:t xml:space="preserve"> articulation of</w:t>
      </w:r>
      <w:r w:rsidR="00654D97">
        <w:t xml:space="preserve"> only</w:t>
      </w:r>
      <w:r w:rsidR="00F11571">
        <w:t xml:space="preserve"> a necessary condition for a state</w:t>
      </w:r>
      <w:r w:rsidR="00AD3803">
        <w:t>’s</w:t>
      </w:r>
      <w:r w:rsidR="00104011">
        <w:t xml:space="preserve"> </w:t>
      </w:r>
      <w:r w:rsidR="00AD3803">
        <w:t>being cognitive</w:t>
      </w:r>
      <w:r w:rsidR="00F11571">
        <w:t>.</w:t>
      </w:r>
      <w:r w:rsidR="000A576C">
        <w:rPr>
          <w:rStyle w:val="FootnoteReference"/>
        </w:rPr>
        <w:footnoteReference w:id="20"/>
      </w:r>
    </w:p>
    <w:p w14:paraId="7387D19A" w14:textId="6578D7BC" w:rsidR="00D66049" w:rsidRDefault="00F11571" w:rsidP="00D66049">
      <w:pPr>
        <w:pStyle w:val="Standard"/>
      </w:pPr>
      <w:r>
        <w:tab/>
      </w:r>
      <w:r w:rsidR="00D66049">
        <w:t xml:space="preserve">What must be added? </w:t>
      </w:r>
      <w:r w:rsidR="00AD3803">
        <w:t>One obvious suggestion</w:t>
      </w:r>
      <w:r>
        <w:t xml:space="preserve"> is that</w:t>
      </w:r>
      <w:r w:rsidR="00AC0487">
        <w:t xml:space="preserve"> the system trade in representations</w:t>
      </w:r>
      <w:r w:rsidR="0048069E">
        <w:t xml:space="preserve"> (Rupert 2005)</w:t>
      </w:r>
      <w:r>
        <w:t>.</w:t>
      </w:r>
      <w:r w:rsidR="007769D7">
        <w:t xml:space="preserve"> </w:t>
      </w:r>
      <w:r w:rsidR="0048069E">
        <w:t xml:space="preserve">Or, one might plausibly require that for something to be a </w:t>
      </w:r>
      <w:r w:rsidR="0048069E">
        <w:rPr>
          <w:i/>
        </w:rPr>
        <w:t xml:space="preserve">cognitive </w:t>
      </w:r>
      <w:r w:rsidR="0048069E">
        <w:t>system, it must have genuine species of specific kinds of cognitive state – that it must, for example, have some genuine kind of memory, belief, or perception. But, whatever else is demanded o</w:t>
      </w:r>
      <w:r w:rsidR="00AD3803">
        <w:t>f a</w:t>
      </w:r>
      <w:r>
        <w:t xml:space="preserve"> family of mode</w:t>
      </w:r>
      <w:r w:rsidR="00AD3803">
        <w:t>ls</w:t>
      </w:r>
      <w:r>
        <w:t xml:space="preserve"> that cap</w:t>
      </w:r>
      <w:r w:rsidR="00AD3803">
        <w:t>tures cognition, we will rightly worry that</w:t>
      </w:r>
      <w:r>
        <w:t xml:space="preserve"> its inclusion</w:t>
      </w:r>
      <w:r w:rsidR="00AC0487">
        <w:t xml:space="preserve"> raise</w:t>
      </w:r>
      <w:r>
        <w:t>s</w:t>
      </w:r>
      <w:r w:rsidR="00AC0487">
        <w:t xml:space="preserve"> the bar for group-level cognition to a height that typical groups do not meet.</w:t>
      </w:r>
      <w:r w:rsidR="004D3119">
        <w:t xml:space="preserve"> </w:t>
      </w:r>
    </w:p>
    <w:p w14:paraId="08389CF9" w14:textId="4ABFE267" w:rsidR="00AC0487" w:rsidRDefault="00F65CEC" w:rsidP="002A2031">
      <w:pPr>
        <w:pStyle w:val="Standard"/>
      </w:pPr>
      <w:r>
        <w:lastRenderedPageBreak/>
        <w:tab/>
      </w:r>
      <w:r w:rsidR="00ED6AB7">
        <w:t xml:space="preserve">Here’s another way to come at this concern. </w:t>
      </w:r>
      <w:r w:rsidR="00BB19C0">
        <w:t>To a great extent, a</w:t>
      </w:r>
      <w:r w:rsidR="00ED6AB7">
        <w:t xml:space="preserve">n ecumenical attitude toward the variety of </w:t>
      </w:r>
      <w:r w:rsidR="00BB19C0">
        <w:t>forms of successful cognitive-scientific modeling</w:t>
      </w:r>
      <w:r w:rsidR="00ED6AB7">
        <w:t xml:space="preserve"> motivate</w:t>
      </w:r>
      <w:r w:rsidR="00BB19C0">
        <w:t>d</w:t>
      </w:r>
      <w:r w:rsidR="00ED6AB7">
        <w:t xml:space="preserve"> the formulation of </w:t>
      </w:r>
      <w:r w:rsidR="00104011">
        <w:t>Section IV’s</w:t>
      </w:r>
      <w:r w:rsidR="00ED6AB7">
        <w:t xml:space="preserve"> systems-based</w:t>
      </w:r>
      <w:r w:rsidR="00BB19C0">
        <w:t xml:space="preserve"> </w:t>
      </w:r>
      <w:r w:rsidR="00ED6AB7">
        <w:t>crite</w:t>
      </w:r>
      <w:r w:rsidR="00AD3803">
        <w:t>rio</w:t>
      </w:r>
      <w:r w:rsidR="00104011">
        <w:t>n</w:t>
      </w:r>
      <w:r w:rsidR="00214F98">
        <w:t>.</w:t>
      </w:r>
      <w:r w:rsidR="00ED6AB7">
        <w:t xml:space="preserve"> Part of the idea</w:t>
      </w:r>
      <w:r w:rsidR="00BB19C0">
        <w:t xml:space="preserve"> </w:t>
      </w:r>
      <w:r w:rsidR="00ED6AB7">
        <w:t>was to show, without begging the question against, say, anti-</w:t>
      </w:r>
      <w:proofErr w:type="spellStart"/>
      <w:r w:rsidR="00ED6AB7">
        <w:t>representationalists</w:t>
      </w:r>
      <w:proofErr w:type="spellEnd"/>
      <w:r w:rsidR="00AD3803">
        <w:t>,</w:t>
      </w:r>
      <w:r w:rsidR="00ED6AB7">
        <w:t xml:space="preserve"> that a plausible necessary condition on cognition – </w:t>
      </w:r>
      <w:r w:rsidR="00AD3803">
        <w:t xml:space="preserve">one </w:t>
      </w:r>
      <w:r w:rsidR="00ED6AB7">
        <w:t>that</w:t>
      </w:r>
      <w:r w:rsidR="00AD3803">
        <w:t xml:space="preserve"> everyone </w:t>
      </w:r>
      <w:r w:rsidR="00104011">
        <w:t>sh</w:t>
      </w:r>
      <w:r w:rsidR="00AD3803">
        <w:t xml:space="preserve">ould agree </w:t>
      </w:r>
      <w:r w:rsidR="00104011">
        <w:t>to</w:t>
      </w:r>
      <w:r w:rsidR="00AD3803">
        <w:t xml:space="preserve"> –</w:t>
      </w:r>
      <w:r w:rsidR="00ED6AB7">
        <w:t xml:space="preserve"> cut</w:t>
      </w:r>
      <w:r w:rsidR="00AD3803">
        <w:t>s</w:t>
      </w:r>
      <w:r w:rsidR="00ED6AB7">
        <w:t xml:space="preserve"> ice in the debate over extended cognition. At other times the motive was pluralist</w:t>
      </w:r>
      <w:r w:rsidR="00104011">
        <w:t>:</w:t>
      </w:r>
      <w:r w:rsidR="00AD3803">
        <w:t xml:space="preserve"> perhaps all of the even moderately successful </w:t>
      </w:r>
      <w:r w:rsidR="00BB19C0">
        <w:t>forms of modeling in cognitive</w:t>
      </w:r>
      <w:r w:rsidR="00AD3803">
        <w:t xml:space="preserve"> science</w:t>
      </w:r>
      <w:r w:rsidR="00104011">
        <w:t xml:space="preserve"> have got hold of</w:t>
      </w:r>
      <w:r w:rsidR="00AD3803">
        <w:t xml:space="preserve"> something</w:t>
      </w:r>
      <w:r w:rsidR="00104011">
        <w:t xml:space="preserve"> important</w:t>
      </w:r>
      <w:r w:rsidR="00BB19C0">
        <w:t xml:space="preserve">, </w:t>
      </w:r>
      <w:r w:rsidR="00AD3803">
        <w:t>and</w:t>
      </w:r>
      <w:r w:rsidR="00104011">
        <w:t xml:space="preserve"> thus</w:t>
      </w:r>
      <w:r w:rsidR="00AD3803">
        <w:t xml:space="preserve"> what is common to the programs illuminates the nature of</w:t>
      </w:r>
      <w:r w:rsidR="00ED6AB7">
        <w:t xml:space="preserve"> cognition.</w:t>
      </w:r>
      <w:r w:rsidR="00214F98">
        <w:t xml:space="preserve"> </w:t>
      </w:r>
      <w:r w:rsidR="00ED6AB7">
        <w:t>Such open-minded-ness duly acknowledge</w:t>
      </w:r>
      <w:r w:rsidR="00AD3803">
        <w:t>d</w:t>
      </w:r>
      <w:r w:rsidR="00ED6AB7">
        <w:t>, i</w:t>
      </w:r>
      <w:r w:rsidR="00AD3803">
        <w:t>t</w:t>
      </w:r>
      <w:r w:rsidR="00BB19C0">
        <w:t xml:space="preserve"> i</w:t>
      </w:r>
      <w:r w:rsidR="00AD3803">
        <w:t>s entirely possible</w:t>
      </w:r>
      <w:r w:rsidR="00214F98">
        <w:t xml:space="preserve"> that </w:t>
      </w:r>
      <w:r w:rsidR="00104011">
        <w:t xml:space="preserve">a </w:t>
      </w:r>
      <w:r w:rsidR="00214F98">
        <w:t xml:space="preserve">certain </w:t>
      </w:r>
      <w:r w:rsidR="00104011">
        <w:t xml:space="preserve">family of </w:t>
      </w:r>
      <w:r w:rsidR="00214F98">
        <w:t>models of human cognition will</w:t>
      </w:r>
      <w:r w:rsidR="00BB19C0">
        <w:t xml:space="preserve">, as </w:t>
      </w:r>
      <w:r w:rsidR="00214F98">
        <w:t xml:space="preserve">cognitive science matures, </w:t>
      </w:r>
      <w:r w:rsidR="00BB19C0">
        <w:t xml:space="preserve">win out decisively; </w:t>
      </w:r>
      <w:r w:rsidR="00214F98">
        <w:t>in which case, ecumenical</w:t>
      </w:r>
      <w:r w:rsidR="00ED6AB7">
        <w:t xml:space="preserve"> and pluralistic</w:t>
      </w:r>
      <w:r w:rsidR="00214F98">
        <w:t xml:space="preserve"> motives will appear exce</w:t>
      </w:r>
      <w:r w:rsidR="00AD3803">
        <w:t>ssively circumspect. Instead, cognitive science</w:t>
      </w:r>
      <w:r w:rsidR="00214F98">
        <w:t xml:space="preserve"> will have identified cognition</w:t>
      </w:r>
      <w:r w:rsidR="00104011">
        <w:t>,</w:t>
      </w:r>
      <w:r w:rsidR="00ED6AB7">
        <w:t xml:space="preserve"> in the</w:t>
      </w:r>
      <w:r w:rsidR="00104011">
        <w:t xml:space="preserve"> human</w:t>
      </w:r>
      <w:r w:rsidR="00ED6AB7">
        <w:t xml:space="preserve"> case</w:t>
      </w:r>
      <w:r w:rsidR="00104011">
        <w:t>,</w:t>
      </w:r>
      <w:r w:rsidR="00AD3803">
        <w:t xml:space="preserve"> with some fairly specific kind of architecture and processes,</w:t>
      </w:r>
      <w:r w:rsidR="008A37FB">
        <w:t xml:space="preserve"> leaving little reason to think the study of our paradigmatic cases of cognition will yield a </w:t>
      </w:r>
      <w:r w:rsidR="00BB19C0">
        <w:t>property</w:t>
      </w:r>
      <w:r w:rsidR="008A37FB">
        <w:t xml:space="preserve"> </w:t>
      </w:r>
      <w:r w:rsidR="008A37FB" w:rsidRPr="00BB19C0">
        <w:rPr>
          <w:i/>
        </w:rPr>
        <w:t>being a cognitive system</w:t>
      </w:r>
      <w:r w:rsidR="008A37FB">
        <w:t xml:space="preserve"> that</w:t>
      </w:r>
      <w:r w:rsidR="00AD3803">
        <w:t xml:space="preserve"> groups</w:t>
      </w:r>
      <w:r w:rsidR="00BB19C0">
        <w:t xml:space="preserve"> instantiate</w:t>
      </w:r>
      <w:r w:rsidR="00AD3803">
        <w:t xml:space="preserve"> </w:t>
      </w:r>
      <w:r w:rsidR="00ED6AB7">
        <w:t xml:space="preserve">– as opposed </w:t>
      </w:r>
      <w:r w:rsidR="00BB19C0">
        <w:t xml:space="preserve">to </w:t>
      </w:r>
      <w:r w:rsidR="00104011">
        <w:t xml:space="preserve">their </w:t>
      </w:r>
      <w:r w:rsidR="008A37FB">
        <w:t>being</w:t>
      </w:r>
      <w:r w:rsidR="00BB19C0">
        <w:t xml:space="preserve"> merely</w:t>
      </w:r>
      <w:r w:rsidR="00AD3803">
        <w:t xml:space="preserve"> persisting</w:t>
      </w:r>
      <w:r w:rsidR="00ED6AB7">
        <w:t xml:space="preserve"> </w:t>
      </w:r>
      <w:r w:rsidR="00ED6AB7" w:rsidRPr="00BB19C0">
        <w:t>system</w:t>
      </w:r>
      <w:r w:rsidR="00BB19C0" w:rsidRPr="00BB19C0">
        <w:t>s</w:t>
      </w:r>
      <w:r w:rsidR="00ED6AB7" w:rsidRPr="00BB19C0">
        <w:t>,</w:t>
      </w:r>
      <w:r w:rsidR="00ED6AB7">
        <w:t xml:space="preserve"> which many groups clearly </w:t>
      </w:r>
      <w:r w:rsidR="00BB19C0">
        <w:t>are</w:t>
      </w:r>
      <w:r w:rsidR="00ED6AB7">
        <w:t>.</w:t>
      </w:r>
      <w:r w:rsidR="00214F98">
        <w:t xml:space="preserve"> </w:t>
      </w:r>
    </w:p>
    <w:p w14:paraId="6C29FC7F" w14:textId="77777777" w:rsidR="00214F98" w:rsidRDefault="00214F98" w:rsidP="002A2031">
      <w:pPr>
        <w:pStyle w:val="Standard"/>
      </w:pPr>
    </w:p>
    <w:p w14:paraId="4C7ECB7E" w14:textId="486D1684" w:rsidR="001A5897" w:rsidRDefault="00AC0487" w:rsidP="004777F0">
      <w:pPr>
        <w:pStyle w:val="Standard"/>
        <w:rPr>
          <w:i/>
        </w:rPr>
      </w:pPr>
      <w:r>
        <w:t xml:space="preserve">2. </w:t>
      </w:r>
      <w:r w:rsidR="003C5441" w:rsidRPr="00A46480">
        <w:rPr>
          <w:i/>
        </w:rPr>
        <w:t>The problem o</w:t>
      </w:r>
      <w:r w:rsidR="003C5441" w:rsidRPr="008A37FB">
        <w:rPr>
          <w:i/>
        </w:rPr>
        <w:t xml:space="preserve">f </w:t>
      </w:r>
      <w:r w:rsidR="008A37FB">
        <w:rPr>
          <w:i/>
        </w:rPr>
        <w:t xml:space="preserve">flexible, intelligent </w:t>
      </w:r>
      <w:r w:rsidR="003C5441" w:rsidRPr="008A37FB">
        <w:rPr>
          <w:i/>
        </w:rPr>
        <w:t>behavior.</w:t>
      </w:r>
      <w:r w:rsidR="003C5441">
        <w:t xml:space="preserve"> </w:t>
      </w:r>
      <w:r w:rsidR="003C5441" w:rsidRPr="00A46480">
        <w:t>Many</w:t>
      </w:r>
      <w:r w:rsidR="003C5441">
        <w:t xml:space="preserve"> groups simply do not produce a wide range of form</w:t>
      </w:r>
      <w:r w:rsidR="008A37FB">
        <w:t>s of inte</w:t>
      </w:r>
      <w:r w:rsidR="009A7FF2">
        <w:t>lligent behavior. Those</w:t>
      </w:r>
      <w:r w:rsidR="003C5441">
        <w:t xml:space="preserve"> that make frequent appearances in the literature </w:t>
      </w:r>
      <w:r w:rsidR="008A37FB">
        <w:t xml:space="preserve">on group cognition </w:t>
      </w:r>
      <w:r w:rsidR="003C5441">
        <w:t>exhibit a high-degree of task specificity: the U.S. Supreme Court produces decisions, the stock market predicts companies’ future performance, a basketball team plays basketball, a group of sailors pilot, but in each case, the group does</w:t>
      </w:r>
      <w:r w:rsidR="00BB19C0">
        <w:t xml:space="preserve"> </w:t>
      </w:r>
      <w:r w:rsidR="003C5441">
        <w:t>n</w:t>
      </w:r>
      <w:r w:rsidR="00BB19C0">
        <w:t>o</w:t>
      </w:r>
      <w:r w:rsidR="003C5441">
        <w:t xml:space="preserve">t </w:t>
      </w:r>
      <w:r w:rsidR="00104011">
        <w:t>do</w:t>
      </w:r>
      <w:r w:rsidR="003C5441">
        <w:t xml:space="preserve"> a whole lot else, as </w:t>
      </w:r>
      <w:r w:rsidR="00FA5473">
        <w:t>a</w:t>
      </w:r>
      <w:r w:rsidR="00104011">
        <w:t xml:space="preserve"> coherent</w:t>
      </w:r>
      <w:r w:rsidR="00FA5473">
        <w:t xml:space="preserve"> </w:t>
      </w:r>
      <w:r w:rsidR="003C5441">
        <w:t>group.</w:t>
      </w:r>
    </w:p>
    <w:p w14:paraId="77484AB0" w14:textId="1A3F4657" w:rsidR="00633031" w:rsidRDefault="001A5897" w:rsidP="004777F0">
      <w:pPr>
        <w:pStyle w:val="Standard"/>
      </w:pPr>
      <w:r>
        <w:lastRenderedPageBreak/>
        <w:tab/>
      </w:r>
      <w:r w:rsidR="00BB19C0">
        <w:t>In contrast, properly c</w:t>
      </w:r>
      <w:r w:rsidR="003C5441">
        <w:t>ognitive systems</w:t>
      </w:r>
      <w:r w:rsidR="008A37FB">
        <w:t xml:space="preserve"> </w:t>
      </w:r>
      <w:r w:rsidR="003C5441">
        <w:t>produce a wide range of forms of intelligent behavior</w:t>
      </w:r>
      <w:r w:rsidR="008A37FB">
        <w:t>;</w:t>
      </w:r>
      <w:r w:rsidR="003C5441">
        <w:t xml:space="preserve"> the characterization of any one form of a subject’s behavior as intelligent depends on the subject’s producing a wide range of</w:t>
      </w:r>
      <w:r w:rsidR="008A37FB">
        <w:t xml:space="preserve"> other</w:t>
      </w:r>
      <w:r w:rsidR="003C5441">
        <w:t xml:space="preserve"> forms of intelligent beh</w:t>
      </w:r>
      <w:r w:rsidR="008A37FB">
        <w:t>avior.</w:t>
      </w:r>
      <w:r w:rsidR="003C5441">
        <w:t xml:space="preserve"> It</w:t>
      </w:r>
      <w:r w:rsidR="00BB19C0">
        <w:t xml:space="preserve"> i</w:t>
      </w:r>
      <w:r w:rsidR="003C5441">
        <w:t xml:space="preserve">s the single subject’s </w:t>
      </w:r>
      <w:r w:rsidR="00104011">
        <w:t>ability to produce</w:t>
      </w:r>
      <w:r w:rsidR="003C5441">
        <w:t xml:space="preserve"> a wide range of forms of behavior that characterizes the subject matter of cognitive science.</w:t>
      </w:r>
      <w:r w:rsidR="00633031">
        <w:t xml:space="preserve"> </w:t>
      </w:r>
      <w:r w:rsidR="00104011">
        <w:t>Consider, in contrast,</w:t>
      </w:r>
      <w:r w:rsidR="00BB19C0">
        <w:t xml:space="preserve"> </w:t>
      </w:r>
      <w:r w:rsidR="00104011">
        <w:t>a</w:t>
      </w:r>
      <w:r w:rsidR="00633031">
        <w:t xml:space="preserve"> longstanding complaint about artificial intelligence: the achievements of Deep Blue, </w:t>
      </w:r>
      <w:r w:rsidR="007F26F9">
        <w:t>MYCIN</w:t>
      </w:r>
      <w:r w:rsidR="00633031">
        <w:t xml:space="preserve">, self-driving cars, Alpha Go, and many other specialized and expert systems </w:t>
      </w:r>
      <w:r w:rsidR="00104011">
        <w:t xml:space="preserve">are </w:t>
      </w:r>
      <w:r w:rsidR="00633031">
        <w:t xml:space="preserve">too narrow to manifest genuine intelligence. Intelligence is possessing the tools to solve all sorts of problems flexibly, to switch between strategies for the accomplishing a given task as the situation demands, to prioritize tasks, to switch between tasks in appropriate ways at appropriate times, and so on (to tell a joke or sing a song when it’s called for, to map out a long-term strategy to achieve </w:t>
      </w:r>
      <w:r w:rsidR="007F26F9">
        <w:t>an</w:t>
      </w:r>
      <w:r w:rsidR="00633031">
        <w:t xml:space="preserve"> overarching goal, when that’s called for</w:t>
      </w:r>
      <w:r w:rsidR="00BB19C0">
        <w:t xml:space="preserve">, </w:t>
      </w:r>
      <w:r w:rsidR="00104011">
        <w:t>etc.</w:t>
      </w:r>
      <w:r w:rsidR="00633031">
        <w:t xml:space="preserve">). </w:t>
      </w:r>
    </w:p>
    <w:p w14:paraId="7D0D29C6" w14:textId="15D99E43" w:rsidR="003C5441" w:rsidRPr="00633031" w:rsidRDefault="00633031" w:rsidP="004777F0">
      <w:pPr>
        <w:pStyle w:val="Standard"/>
      </w:pPr>
      <w:r>
        <w:tab/>
      </w:r>
      <w:r w:rsidR="008A37FB">
        <w:t>T</w:t>
      </w:r>
      <w:r w:rsidR="003C5441">
        <w:t>ypical groups do</w:t>
      </w:r>
      <w:r w:rsidR="00481D94">
        <w:t xml:space="preserve"> </w:t>
      </w:r>
      <w:r w:rsidR="003C5441">
        <w:t>n</w:t>
      </w:r>
      <w:r w:rsidR="00481D94">
        <w:t>o</w:t>
      </w:r>
      <w:r w:rsidR="003C5441">
        <w:t xml:space="preserve">t seem to have the right structure to exhibit a wide range of </w:t>
      </w:r>
      <w:r w:rsidR="00FA5473">
        <w:t>forms of intelligent behavior.</w:t>
      </w:r>
      <w:r>
        <w:t xml:space="preserve"> And, to the extent that groups exhibit some flexibility, a certain asymmetry in the production of such behavior seems telling. It</w:t>
      </w:r>
      <w:r w:rsidR="00BB19C0">
        <w:t xml:space="preserve"> i</w:t>
      </w:r>
      <w:r>
        <w:t xml:space="preserve">s virtually always the case that where a group exhibits flexibility of degree </w:t>
      </w:r>
      <w:r w:rsidRPr="00BB19C0">
        <w:rPr>
          <w:i/>
        </w:rPr>
        <w:t>y</w:t>
      </w:r>
      <w:r>
        <w:t xml:space="preserve">, each contributing individual in the group who helps to bring about the behavior in question is capable of cognitive flexibility of degree </w:t>
      </w:r>
      <w:r w:rsidRPr="00BB19C0">
        <w:rPr>
          <w:i/>
        </w:rPr>
        <w:t>x</w:t>
      </w:r>
      <w:r>
        <w:t xml:space="preserve">, where </w:t>
      </w:r>
      <w:r w:rsidRPr="00BB19C0">
        <w:rPr>
          <w:i/>
        </w:rPr>
        <w:t>x</w:t>
      </w:r>
      <w:r>
        <w:t xml:space="preserve"> is</w:t>
      </w:r>
      <w:r w:rsidR="00BB19C0">
        <w:t xml:space="preserve"> significantly</w:t>
      </w:r>
      <w:r>
        <w:t xml:space="preserve"> greater than </w:t>
      </w:r>
      <w:r w:rsidRPr="00BB19C0">
        <w:rPr>
          <w:i/>
        </w:rPr>
        <w:t>y</w:t>
      </w:r>
      <w:r>
        <w:t xml:space="preserve">. This would seem to be the opposite of the situation in the individual human’s case. Individual humans may well </w:t>
      </w:r>
      <w:r w:rsidR="00481D94">
        <w:t xml:space="preserve">have specialized subsystems, and relative to a given action, it might be that some specialized subsystem is responsible for </w:t>
      </w:r>
      <w:r w:rsidR="00104011">
        <w:t>performing</w:t>
      </w:r>
      <w:r w:rsidR="00481D94">
        <w:t xml:space="preserve"> much of the work. Nevertheless, the individual subject as a whole has a much more flexible capacity than </w:t>
      </w:r>
      <w:r w:rsidR="00104011">
        <w:t>any</w:t>
      </w:r>
      <w:r w:rsidR="00D01C86">
        <w:t xml:space="preserve"> individual</w:t>
      </w:r>
      <w:r w:rsidR="00481D94">
        <w:t xml:space="preserve"> module or specialized subsystem. </w:t>
      </w:r>
      <w:r w:rsidR="00D01C86">
        <w:t>In contrast, g</w:t>
      </w:r>
      <w:r w:rsidR="00481D94">
        <w:t>roup actions are virtually always carried out, or enacted, by individual members (or representatives) of the group</w:t>
      </w:r>
      <w:r w:rsidR="00D01C86">
        <w:t xml:space="preserve">, which members </w:t>
      </w:r>
      <w:r w:rsidR="00D01C86">
        <w:lastRenderedPageBreak/>
        <w:t>are individually significantly more flexible than the group.</w:t>
      </w:r>
      <w:r w:rsidR="00481D94">
        <w:t xml:space="preserve"> Perhaps this fact alone does</w:t>
      </w:r>
      <w:r w:rsidR="00104011">
        <w:t xml:space="preserve"> </w:t>
      </w:r>
      <w:r w:rsidR="00481D94">
        <w:t>n</w:t>
      </w:r>
      <w:r w:rsidR="00104011">
        <w:t>o</w:t>
      </w:r>
      <w:r w:rsidR="00481D94">
        <w:t>t speak against realism about group states. But, th</w:t>
      </w:r>
      <w:r w:rsidR="00104011">
        <w:t>is</w:t>
      </w:r>
      <w:r w:rsidR="00481D94">
        <w:t xml:space="preserve"> asymmetry – the fact that the individuals are more flexible than the group – should give us pause; i</w:t>
      </w:r>
      <w:r w:rsidR="00D01C86">
        <w:t>n</w:t>
      </w:r>
      <w:r w:rsidR="00481D94">
        <w:t xml:space="preserve"> such a case, it would appear that genuinely intelligent beings are cooperating to organize a group that is, as in the case of A.I, only a relatively inflexible replica of a specialized skill.</w:t>
      </w:r>
      <w:r w:rsidR="00481D94">
        <w:rPr>
          <w:rStyle w:val="FootnoteReference"/>
        </w:rPr>
        <w:footnoteReference w:id="21"/>
      </w:r>
      <w:r w:rsidR="00481D94">
        <w:t xml:space="preserve"> </w:t>
      </w:r>
    </w:p>
    <w:p w14:paraId="63157907" w14:textId="77777777" w:rsidR="00633031" w:rsidRDefault="00633031" w:rsidP="009C6154">
      <w:pPr>
        <w:pStyle w:val="Standard"/>
      </w:pPr>
    </w:p>
    <w:p w14:paraId="6C1A920F" w14:textId="122B3114" w:rsidR="009C6154" w:rsidRDefault="003C5441" w:rsidP="009C6154">
      <w:pPr>
        <w:pStyle w:val="Standard"/>
      </w:pPr>
      <w:r>
        <w:t xml:space="preserve">3. </w:t>
      </w:r>
      <w:r w:rsidRPr="00A46480">
        <w:rPr>
          <w:i/>
        </w:rPr>
        <w:t>The problem of constraints on model-selection</w:t>
      </w:r>
      <w:r>
        <w:t>. We derive substantive conclusions from tweak-and-extend relations only when the models in question are our best models of the</w:t>
      </w:r>
      <w:r w:rsidR="00BF5E51">
        <w:t xml:space="preserve"> relevant</w:t>
      </w:r>
      <w:r>
        <w:t xml:space="preserve"> ph</w:t>
      </w:r>
      <w:r w:rsidR="00BF5E51">
        <w:t>enomena. Thus,</w:t>
      </w:r>
      <w:r w:rsidR="009C6154">
        <w:t xml:space="preserve"> </w:t>
      </w:r>
      <w:r>
        <w:t>canons of model-selection</w:t>
      </w:r>
      <w:r w:rsidR="00640A94">
        <w:t xml:space="preserve"> – and methodological considerations, more generally speaking –</w:t>
      </w:r>
      <w:r>
        <w:t xml:space="preserve"> bear</w:t>
      </w:r>
      <w:r w:rsidR="00BF5E51">
        <w:t xml:space="preserve"> </w:t>
      </w:r>
      <w:r>
        <w:t>on th</w:t>
      </w:r>
      <w:r w:rsidR="009C6154">
        <w:t>e</w:t>
      </w:r>
      <w:r w:rsidR="00BF5E51">
        <w:t xml:space="preserve"> debate about group cognition. </w:t>
      </w:r>
      <w:r w:rsidR="00640A94">
        <w:t>These include such methodological</w:t>
      </w:r>
      <w:r>
        <w:t xml:space="preserve"> </w:t>
      </w:r>
      <w:r w:rsidR="00640A94">
        <w:t>desiderata</w:t>
      </w:r>
      <w:r>
        <w:t xml:space="preserve"> as simplicity, conservatism, </w:t>
      </w:r>
      <w:r w:rsidR="00640A94">
        <w:t>and unity of science</w:t>
      </w:r>
      <w:r>
        <w:t>, as well as</w:t>
      </w:r>
      <w:r w:rsidR="008B15F4">
        <w:t xml:space="preserve"> the</w:t>
      </w:r>
      <w:r w:rsidR="00640A94">
        <w:t xml:space="preserve"> guiding principles of statistical modeling</w:t>
      </w:r>
      <w:r w:rsidR="009C6154">
        <w:t>.</w:t>
      </w:r>
    </w:p>
    <w:p w14:paraId="4DF06360" w14:textId="05455B38" w:rsidR="00A46480" w:rsidRPr="00137E13" w:rsidRDefault="00BF5E51" w:rsidP="00717D0D">
      <w:pPr>
        <w:pStyle w:val="Standard"/>
      </w:pPr>
      <w:r>
        <w:tab/>
        <w:t>The contribution of</w:t>
      </w:r>
      <w:r w:rsidR="00640A94">
        <w:t xml:space="preserve"> methodological principles</w:t>
      </w:r>
      <w:r>
        <w:t xml:space="preserve"> </w:t>
      </w:r>
      <w:r w:rsidR="008B15F4">
        <w:t>threatens to cause problems for realists</w:t>
      </w:r>
      <w:r w:rsidR="00CF41E3">
        <w:t xml:space="preserve">. If, for example, a constraint on a state’s being cognitive is that it be </w:t>
      </w:r>
      <w:r>
        <w:t>representational, then concerns</w:t>
      </w:r>
      <w:r w:rsidR="00CF41E3">
        <w:t xml:space="preserve"> about, for example, quantitat</w:t>
      </w:r>
      <w:r>
        <w:t>ive parsimony (Nolan 1997</w:t>
      </w:r>
      <w:r w:rsidR="0092201D">
        <w:t>) rear</w:t>
      </w:r>
      <w:r>
        <w:t xml:space="preserve"> their head</w:t>
      </w:r>
      <w:r w:rsidR="00CF41E3">
        <w:t>. Consider a case in which all of the members of a court vote to uphold a conviction, although not one of them believes the party in question is gu</w:t>
      </w:r>
      <w:r>
        <w:t>ilty. Does that show that the court is in</w:t>
      </w:r>
      <w:r w:rsidR="00CF41E3">
        <w:t xml:space="preserve"> a representational state – </w:t>
      </w:r>
      <w:r>
        <w:t>perhaps a belief that the accused is guilty</w:t>
      </w:r>
      <w:r w:rsidR="00CF41E3">
        <w:t xml:space="preserve"> – that differs from</w:t>
      </w:r>
      <w:r>
        <w:t>, and exists in addition to,</w:t>
      </w:r>
      <w:r w:rsidR="00CF41E3">
        <w:t xml:space="preserve"> the cognitive states of the i</w:t>
      </w:r>
      <w:r>
        <w:t>ndividual court members</w:t>
      </w:r>
      <w:r w:rsidR="00640A94">
        <w:t>?</w:t>
      </w:r>
      <w:r>
        <w:t xml:space="preserve"> Considerations of quantitative parsimony suggest</w:t>
      </w:r>
      <w:r w:rsidR="00CF41E3">
        <w:t xml:space="preserve"> not. Positing an </w:t>
      </w:r>
      <w:r w:rsidR="00CF41E3">
        <w:lastRenderedPageBreak/>
        <w:t>additional representational state – the court’s cognitive state – is gratuitous and thus would not find its way into the model of the phenomenon in question (that is, the court’s issuing of a judgment). For, presumably, each individual member of the court has his or her reasons for voting to uphold the conviction even though she or he does</w:t>
      </w:r>
      <w:r w:rsidR="008B15F4">
        <w:t xml:space="preserve"> </w:t>
      </w:r>
      <w:r w:rsidR="00CF41E3">
        <w:t>n</w:t>
      </w:r>
      <w:r w:rsidR="008B15F4">
        <w:t>o</w:t>
      </w:r>
      <w:r w:rsidR="00CF41E3">
        <w:t>t believe the accused is guilty. S</w:t>
      </w:r>
      <w:r>
        <w:t>uch reasons might range from an</w:t>
      </w:r>
      <w:r w:rsidR="00CF41E3">
        <w:t xml:space="preserve"> individual justice’s principled commitment to precedent to a belief that there will be a riot if the accused is set free</w:t>
      </w:r>
      <w:r w:rsidR="008B15F4">
        <w:t xml:space="preserve"> to a belief in a premise-based approach to judicial decisions</w:t>
      </w:r>
      <w:r w:rsidR="00CF41E3">
        <w:t>. Once, however, such reasons have been included in one’s model of the court’s issuing of the decision, all of the representational cognitive resources needed to explain the event are at hand</w:t>
      </w:r>
      <w:r w:rsidR="0092201D">
        <w:t xml:space="preserve"> (Rupert 2005,</w:t>
      </w:r>
      <w:r w:rsidR="00023344">
        <w:t xml:space="preserve"> 2011,</w:t>
      </w:r>
      <w:r w:rsidR="0092201D">
        <w:t xml:space="preserve"> 2014</w:t>
      </w:r>
      <w:r w:rsidR="00E305BF">
        <w:t>; Wilson 2004</w:t>
      </w:r>
      <w:r w:rsidR="0092201D">
        <w:t>)</w:t>
      </w:r>
      <w:r w:rsidR="00CF41E3">
        <w:t>.</w:t>
      </w:r>
      <w:r>
        <w:t xml:space="preserve"> Adding more of the same, that is, more representational resources, is gratuito</w:t>
      </w:r>
      <w:r w:rsidR="00640A94">
        <w:t>us</w:t>
      </w:r>
      <w:r>
        <w:t>.</w:t>
      </w:r>
      <w:r w:rsidR="00CF41E3">
        <w:t xml:space="preserve"> So, canons of model selection would, in such a case, militate against a </w:t>
      </w:r>
      <w:r w:rsidR="008B15F4">
        <w:t xml:space="preserve">group-level </w:t>
      </w:r>
      <w:r w:rsidR="00CF41E3">
        <w:t>model that includes a representational state.</w:t>
      </w:r>
      <w:r>
        <w:t xml:space="preserve"> Thus, representational states will not appear in the model</w:t>
      </w:r>
      <w:r w:rsidR="00640A94">
        <w:t xml:space="preserve"> of a group-level processes</w:t>
      </w:r>
      <w:r>
        <w:t>. Therefore, when we check to see whether a tweak-and-extend relation holds between our best model of individual</w:t>
      </w:r>
      <w:r w:rsidR="00640A94">
        <w:t xml:space="preserve"> human</w:t>
      </w:r>
      <w:r>
        <w:t xml:space="preserve"> processes that produce intelligent behavior and the model of the group process in question, the result will be negative. And, thus the two processes being modeled will appear not to share a natural kind.</w:t>
      </w:r>
    </w:p>
    <w:p w14:paraId="71AC04A8" w14:textId="00BCFFF6" w:rsidR="00946266" w:rsidRDefault="000B4510" w:rsidP="00717D0D">
      <w:pPr>
        <w:pStyle w:val="Standard"/>
      </w:pPr>
      <w:r>
        <w:tab/>
        <w:t>This moral might be expressed no</w:t>
      </w:r>
      <w:r w:rsidR="00E03D11">
        <w:t>t so much in terms of parsimony</w:t>
      </w:r>
      <w:r>
        <w:t xml:space="preserve"> but as a point about reduction and the unity of science. It is a canon of model selection that, other things being equal, we should prefer models of phenomena that dovetail with successful models in adjacent domains. Or, to water this down a bit, it is a canon of model selection that, when attempting to draw ontological conclusions from successful modeling, favor collections of models that present a unified picture of nature over those that do not</w:t>
      </w:r>
      <w:r w:rsidR="00137E13">
        <w:t xml:space="preserve">, </w:t>
      </w:r>
      <w:r w:rsidR="00137E13" w:rsidRPr="00137E13">
        <w:rPr>
          <w:i/>
        </w:rPr>
        <w:t>ceteris paribus</w:t>
      </w:r>
      <w:r>
        <w:t xml:space="preserve">. Consider on the one hand a picture of nature according to which social </w:t>
      </w:r>
      <w:r>
        <w:lastRenderedPageBreak/>
        <w:t>and political institutions have cognitive states, because they have structuring principl</w:t>
      </w:r>
      <w:r w:rsidR="00E03D11">
        <w:t>es that exhibit rationality over time</w:t>
      </w:r>
      <w:r>
        <w:t>, and, on the other hand, a picture according to which reductive explanation appeals to the role of individual human cognitive processes and the resulting way in which those are affected by structura</w:t>
      </w:r>
      <w:r w:rsidR="00E03D11">
        <w:t xml:space="preserve">l facts </w:t>
      </w:r>
      <w:r>
        <w:t>to explain</w:t>
      </w:r>
      <w:r w:rsidR="00E03D11">
        <w:t xml:space="preserve"> measurable</w:t>
      </w:r>
      <w:r>
        <w:t xml:space="preserve"> phenomena related to social and political institutions. The latter view i</w:t>
      </w:r>
      <w:r w:rsidR="00E03D11">
        <w:t>s more consistent with an</w:t>
      </w:r>
      <w:r>
        <w:t xml:space="preserve"> emphasis </w:t>
      </w:r>
      <w:r w:rsidR="00E03D11">
        <w:t xml:space="preserve">on the unity of science. Or, one might </w:t>
      </w:r>
      <w:r>
        <w:t xml:space="preserve">combine </w:t>
      </w:r>
      <w:r w:rsidR="00E03D11">
        <w:t>these two concerns in the form of a dilemma</w:t>
      </w:r>
      <w:r>
        <w:t xml:space="preserve">: either one opts for freestanding </w:t>
      </w:r>
      <w:r w:rsidR="00E03D11">
        <w:t xml:space="preserve">and mysterious group processes, </w:t>
      </w:r>
      <w:r>
        <w:t>in which case one offen</w:t>
      </w:r>
      <w:r w:rsidR="00E03D11">
        <w:t>ds against the unity of science,</w:t>
      </w:r>
      <w:r>
        <w:t xml:space="preserve"> or one makes a genuine effort to integrate models</w:t>
      </w:r>
      <w:r w:rsidR="00D05705">
        <w:t xml:space="preserve"> in a single package</w:t>
      </w:r>
      <w:r>
        <w:t xml:space="preserve"> and th</w:t>
      </w:r>
      <w:r w:rsidR="00E03D11">
        <w:t xml:space="preserve">ereby offends against </w:t>
      </w:r>
      <w:r w:rsidR="00D05705">
        <w:t xml:space="preserve">quantitative </w:t>
      </w:r>
      <w:r w:rsidR="00E03D11">
        <w:t>parsimony</w:t>
      </w:r>
      <w:r>
        <w:t>.</w:t>
      </w:r>
      <w:r w:rsidR="00BC2FA5">
        <w:rPr>
          <w:rStyle w:val="FootnoteReference"/>
        </w:rPr>
        <w:footnoteReference w:id="22"/>
      </w:r>
    </w:p>
    <w:p w14:paraId="4135DEAD" w14:textId="47EA5265" w:rsidR="008E4B1F" w:rsidRDefault="008E4B1F" w:rsidP="008E4B1F">
      <w:pPr>
        <w:pStyle w:val="Standard"/>
      </w:pPr>
      <w:r>
        <w:tab/>
        <w:t>One should be careful not to be misled by talk of reduction, however. Return to List’s realist argument</w:t>
      </w:r>
      <w:r w:rsidR="00746CA4">
        <w:t xml:space="preserve"> </w:t>
      </w:r>
      <w:r w:rsidR="008B15F4">
        <w:t>presented in</w:t>
      </w:r>
      <w:r w:rsidR="00746CA4">
        <w:t xml:space="preserve"> </w:t>
      </w:r>
      <w:r w:rsidR="008B15F4">
        <w:t>S</w:t>
      </w:r>
      <w:r w:rsidR="00746CA4">
        <w:t>ection II</w:t>
      </w:r>
      <w:r>
        <w:t>, which vaguely suggests an anti-reductionist line of thought</w:t>
      </w:r>
      <w:r w:rsidR="00746CA4">
        <w:t xml:space="preserve"> – </w:t>
      </w:r>
      <w:r>
        <w:t xml:space="preserve">the idea being that if the social sciences </w:t>
      </w:r>
      <w:r w:rsidR="00746CA4">
        <w:t>make productive use of attributions of</w:t>
      </w:r>
      <w:r>
        <w:t xml:space="preserve"> group beliefs and desires, a card-carrying naturalist should</w:t>
      </w:r>
      <w:r w:rsidR="008B15F4">
        <w:t xml:space="preserve"> </w:t>
      </w:r>
      <w:r>
        <w:t>n</w:t>
      </w:r>
      <w:r w:rsidR="008B15F4">
        <w:t>o</w:t>
      </w:r>
      <w:r>
        <w:t xml:space="preserve">t resist </w:t>
      </w:r>
      <w:r w:rsidR="008B15F4">
        <w:t>(</w:t>
      </w:r>
      <w:r>
        <w:t xml:space="preserve">unless </w:t>
      </w:r>
      <w:r w:rsidR="008B15F4">
        <w:t>apparent states</w:t>
      </w:r>
      <w:r>
        <w:t xml:space="preserve"> can be reduced</w:t>
      </w:r>
      <w:r w:rsidR="008B15F4">
        <w:t>)</w:t>
      </w:r>
      <w:r>
        <w:t>. This vague impression is reinforced by various remarks in List and Pettit (2011) about, for example, interlevel relations (</w:t>
      </w:r>
      <w:r w:rsidRPr="00CC7EB8">
        <w:rPr>
          <w:i/>
        </w:rPr>
        <w:t>ibid.</w:t>
      </w:r>
      <w:r>
        <w:t>, 4), multi-level causal competition</w:t>
      </w:r>
      <w:r w:rsidR="00746CA4">
        <w:t xml:space="preserve"> (</w:t>
      </w:r>
      <w:r w:rsidR="00746CA4">
        <w:rPr>
          <w:i/>
        </w:rPr>
        <w:t>ibid.</w:t>
      </w:r>
      <w:r w:rsidR="00746CA4">
        <w:t>, 161</w:t>
      </w:r>
      <w:r w:rsidR="008B15F4">
        <w:t>)</w:t>
      </w:r>
      <w:r>
        <w:t>, the realization of group attitudes by individual attitudes (</w:t>
      </w:r>
      <w:r>
        <w:rPr>
          <w:i/>
        </w:rPr>
        <w:t>ibid.</w:t>
      </w:r>
      <w:r>
        <w:t>, 77),</w:t>
      </w:r>
      <w:r w:rsidR="00746CA4">
        <w:t xml:space="preserve"> supervenience </w:t>
      </w:r>
      <w:r w:rsidR="008B15F4">
        <w:t>(</w:t>
      </w:r>
      <w:r w:rsidR="00746CA4">
        <w:t>as a relation between levels</w:t>
      </w:r>
      <w:r w:rsidR="008B15F4">
        <w:t xml:space="preserve"> – </w:t>
      </w:r>
      <w:r w:rsidR="00746CA4">
        <w:rPr>
          <w:i/>
        </w:rPr>
        <w:t>ibid.</w:t>
      </w:r>
      <w:r w:rsidR="00746CA4">
        <w:t>, 65),</w:t>
      </w:r>
      <w:r>
        <w:t xml:space="preserve"> and the difficulties of reducing group attitudes to individual attitudes (</w:t>
      </w:r>
      <w:r>
        <w:rPr>
          <w:i/>
        </w:rPr>
        <w:t>ibid.</w:t>
      </w:r>
      <w:r>
        <w:t>, 76–77</w:t>
      </w:r>
      <w:r w:rsidR="00746CA4">
        <w:t>, 194</w:t>
      </w:r>
      <w:r>
        <w:t>). But, this framing of the issue strikes me as confused</w:t>
      </w:r>
      <w:r w:rsidR="008B15F4">
        <w:t xml:space="preserve"> or at least misleading</w:t>
      </w:r>
      <w:r>
        <w:t>. Generally speaking, the question of reduction</w:t>
      </w:r>
      <w:r w:rsidR="008B15F4">
        <w:t xml:space="preserve"> is an </w:t>
      </w:r>
      <w:r w:rsidR="008B15F4" w:rsidRPr="008B15F4">
        <w:rPr>
          <w:i/>
        </w:rPr>
        <w:t>inter</w:t>
      </w:r>
      <w:r w:rsidR="008B15F4">
        <w:t xml:space="preserve">level question (as are questions about supervenience and </w:t>
      </w:r>
      <w:r w:rsidR="008B15F4">
        <w:lastRenderedPageBreak/>
        <w:t>realization),</w:t>
      </w:r>
      <w:r>
        <w:t xml:space="preserve"> aris</w:t>
      </w:r>
      <w:r w:rsidR="008B15F4">
        <w:t xml:space="preserve">ing </w:t>
      </w:r>
      <w:r>
        <w:t>in the case of different scientific domains with different sets of properties</w:t>
      </w:r>
      <w:r w:rsidR="008B15F4">
        <w:t xml:space="preserve">, </w:t>
      </w:r>
      <w:r w:rsidR="00746CA4">
        <w:t xml:space="preserve">and this is often put in terms of </w:t>
      </w:r>
      <w:r w:rsidR="008B15F4">
        <w:t xml:space="preserve">relations between </w:t>
      </w:r>
      <w:r w:rsidR="00746CA4">
        <w:t>different levels</w:t>
      </w:r>
      <w:r w:rsidR="008B15F4">
        <w:t>.</w:t>
      </w:r>
      <w:r>
        <w:t xml:space="preserve"> </w:t>
      </w:r>
      <w:r w:rsidR="008B15F4">
        <w:t>Y</w:t>
      </w:r>
      <w:r>
        <w:t>et</w:t>
      </w:r>
      <w:r w:rsidR="008B15F4">
        <w:t>,</w:t>
      </w:r>
      <w:r>
        <w:t xml:space="preserve"> that is </w:t>
      </w:r>
      <w:r w:rsidR="008B15F4">
        <w:t xml:space="preserve">decidedly </w:t>
      </w:r>
      <w:r>
        <w:t>not the sort of case at hand. The group</w:t>
      </w:r>
      <w:r w:rsidR="008B15F4">
        <w:t xml:space="preserve"> </w:t>
      </w:r>
      <w:r>
        <w:t>and individual</w:t>
      </w:r>
      <w:r w:rsidR="008B15F4">
        <w:t xml:space="preserve"> cognitive</w:t>
      </w:r>
      <w:r>
        <w:t xml:space="preserve"> states are supposed to be of the same kind</w:t>
      </w:r>
      <w:r w:rsidR="008B15F4">
        <w:t>, parts of the same domain: the mental, psychological, or cognitive</w:t>
      </w:r>
      <w:r>
        <w:t xml:space="preserve">. </w:t>
      </w:r>
      <w:r w:rsidR="008B15F4">
        <w:t>A</w:t>
      </w:r>
      <w:r>
        <w:t>fter all, it would be no surprise to find out merely that some states or other at the group level play a causal-explanatory role (</w:t>
      </w:r>
      <w:r w:rsidRPr="008B15F4">
        <w:rPr>
          <w:i/>
        </w:rPr>
        <w:t>cf.</w:t>
      </w:r>
      <w:r>
        <w:t xml:space="preserve"> the weight of the group caused the terrace to collapse)</w:t>
      </w:r>
      <w:r w:rsidR="008B15F4">
        <w:t xml:space="preserve">; what is supposed to be interesting about realism is its commitment to the existence of group states in the very same domain as individual cognitive states. </w:t>
      </w:r>
      <w:r>
        <w:t>List and Pettit seem to lose sight of this, when making wh</w:t>
      </w:r>
      <w:r w:rsidR="008B15F4">
        <w:t>at they take</w:t>
      </w:r>
      <w:r>
        <w:t xml:space="preserve"> to be a realism-vindicating comparison between (a) the relation between group cognitive states and individual cognitive states and (b) the relation between individual cognitive states and “the configuration and functioning of biological subsystems” (</w:t>
      </w:r>
      <w:r>
        <w:rPr>
          <w:i/>
        </w:rPr>
        <w:t>ibid.</w:t>
      </w:r>
      <w:r>
        <w:t>, 7); th</w:t>
      </w:r>
      <w:r w:rsidR="008B15F4">
        <w:t>ey argue that,</w:t>
      </w:r>
      <w:r>
        <w:t xml:space="preserve"> if it</w:t>
      </w:r>
      <w:r w:rsidR="008B15F4">
        <w:t xml:space="preserve"> i</w:t>
      </w:r>
      <w:r>
        <w:t>s legitimate to resist reduction in case (b), then case (a) should be treated likewise (</w:t>
      </w:r>
      <w:r w:rsidR="00BF3E4A">
        <w:rPr>
          <w:i/>
        </w:rPr>
        <w:t>ibid.</w:t>
      </w:r>
      <w:r w:rsidR="00BF3E4A">
        <w:t xml:space="preserve">, 78; </w:t>
      </w:r>
      <w:r w:rsidR="00BF3E4A" w:rsidRPr="001C4263">
        <w:rPr>
          <w:i/>
        </w:rPr>
        <w:t>cf.</w:t>
      </w:r>
      <w:r w:rsidR="00BF3E4A">
        <w:t xml:space="preserve"> </w:t>
      </w:r>
      <w:r>
        <w:t>Goldstone and Gureckis 2009, Huebner 2008).</w:t>
      </w:r>
      <w:r w:rsidR="001C4263">
        <w:rPr>
          <w:rStyle w:val="FootnoteReference"/>
        </w:rPr>
        <w:footnoteReference w:id="23"/>
      </w:r>
      <w:r>
        <w:t xml:space="preserve"> This argument by analogy fails, however. Case (b) concerns two genuinely different sets of properties (cognitive properties, on the one hand, and biological properties, on the other), aptly raising questions of reduction and anti-reduction. But, case (a) concerns the very same kinds of properties and states, on both sides of its comparison, not one set of properties or states of one kind realizing</w:t>
      </w:r>
      <w:r w:rsidR="001C4263">
        <w:t xml:space="preserve"> or supervening on</w:t>
      </w:r>
      <w:r>
        <w:t xml:space="preserve"> properties or states of another.</w:t>
      </w:r>
      <w:r w:rsidR="00BF3E4A">
        <w:rPr>
          <w:rStyle w:val="FootnoteReference"/>
        </w:rPr>
        <w:footnoteReference w:id="24"/>
      </w:r>
      <w:r>
        <w:t xml:space="preserve"> </w:t>
      </w:r>
    </w:p>
    <w:p w14:paraId="552848DF" w14:textId="7CE6D55E" w:rsidR="00022A82" w:rsidRDefault="008E4B1F" w:rsidP="00022A82">
      <w:pPr>
        <w:pStyle w:val="Standard"/>
      </w:pPr>
      <w:r>
        <w:lastRenderedPageBreak/>
        <w:tab/>
        <w:t>Here’s another way to see this: in case (b), reduction, in the intertheoretic sense</w:t>
      </w:r>
      <w:r w:rsidR="00644EE3">
        <w:t>,</w:t>
      </w:r>
      <w:r>
        <w:t xml:space="preserve"> is blocked by anti-reductionist arguments (Fodor 1974, for instance), and we thereby </w:t>
      </w:r>
      <w:r w:rsidR="00644EE3">
        <w:t>ontologically certify a domain of</w:t>
      </w:r>
      <w:r>
        <w:t xml:space="preserve"> properties – psychological, mental, or cognitive ones.</w:t>
      </w:r>
      <w:r w:rsidR="00BF3E4A">
        <w:t xml:space="preserve"> Case</w:t>
      </w:r>
      <w:r>
        <w:t xml:space="preserve"> (a), however, </w:t>
      </w:r>
      <w:r w:rsidR="00BF3E4A">
        <w:t>involves the situation in which we have already</w:t>
      </w:r>
      <w:r>
        <w:t xml:space="preserve"> let </w:t>
      </w:r>
      <w:r w:rsidR="00BF3E4A">
        <w:t xml:space="preserve">cognitive or mental </w:t>
      </w:r>
      <w:r w:rsidR="00644EE3">
        <w:t>kind</w:t>
      </w:r>
      <w:r>
        <w:t xml:space="preserve"> into our ontology</w:t>
      </w:r>
      <w:r w:rsidR="00BF3E4A">
        <w:t>,</w:t>
      </w:r>
      <w:r>
        <w:t xml:space="preserve"> and the only question is how far to spread them around. Case (b) is an interlevel matter; case (a) an </w:t>
      </w:r>
      <w:r w:rsidRPr="0000461A">
        <w:rPr>
          <w:i/>
        </w:rPr>
        <w:t>intra</w:t>
      </w:r>
      <w:r>
        <w:t>level matter. That is why List and Pettit’s argument by analogy is inapt, and in case (a), the case at hand, we should focus on quantitative parsimony (Nolan 1997), the question of how many instances of a given, already countenanced kind of state or property we should include in our scientific models.</w:t>
      </w:r>
      <w:r>
        <w:rPr>
          <w:rStyle w:val="FootnoteReference"/>
        </w:rPr>
        <w:footnoteReference w:id="25"/>
      </w:r>
    </w:p>
    <w:p w14:paraId="12A9A4CB" w14:textId="28567733" w:rsidR="00E82152" w:rsidRDefault="00E82152" w:rsidP="00022A82">
      <w:pPr>
        <w:pStyle w:val="Standard"/>
      </w:pPr>
      <w:r>
        <w:tab/>
        <w:t xml:space="preserve">Consider </w:t>
      </w:r>
      <w:r w:rsidR="00C53F50">
        <w:t>a final</w:t>
      </w:r>
      <w:r>
        <w:t xml:space="preserve"> response to concerns about parsimony and reduction. </w:t>
      </w:r>
      <w:r w:rsidRPr="00E82152">
        <w:t xml:space="preserve">List and Pettit claim, “The agency of the group relates in such a complex way to the agency of individuals that we have little chance of tracking the dispositions of the group agent and of interacting with it as an agent to contest or interrogate, persuade or coerce, if we conceptualize its doings at the individual level” (2011, 76). I find this remark puzzling. Throughout their book, List in Pettit </w:t>
      </w:r>
      <w:r>
        <w:t>develop</w:t>
      </w:r>
      <w:r w:rsidRPr="00E82152">
        <w:t xml:space="preserve"> precise analyses of how best to construct groups so that the groups will exhibit rationality (as best as can be done given various</w:t>
      </w:r>
      <w:r w:rsidR="00C53F50">
        <w:t xml:space="preserve"> </w:t>
      </w:r>
      <w:r w:rsidRPr="00E82152">
        <w:lastRenderedPageBreak/>
        <w:t>impossibility results). Moreover, these recipes tell us exactly who to talk to in an organization, because they tell us, quite transparently, who</w:t>
      </w:r>
      <w:r w:rsidR="00C53F50">
        <w:t xml:space="preserve"> will be</w:t>
      </w:r>
      <w:r w:rsidRPr="00E82152">
        <w:t xml:space="preserve"> voting on what. For example, List and Pettit demonstrate formally that, under certain conditions, an effective procedure for maintaining group rationality is to divide logically interrelated questions on an agenda in the following way: identify premises, assign a subgroup of members with relevant specialized knowledge to each of the premises, take a majority-rules vote among each of the subgroups on</w:t>
      </w:r>
      <w:r w:rsidR="00C53F50">
        <w:t xml:space="preserve"> each group’s assigned</w:t>
      </w:r>
      <w:r w:rsidRPr="00E82152">
        <w:t xml:space="preserve"> premise, and then reach a conclusion based only on the outcomes of those votes (that is, follow a premise-based procedure) (2011, 95). </w:t>
      </w:r>
      <w:r w:rsidR="00C53F50">
        <w:t>In that case, it seems apparent to whom one should speak if</w:t>
      </w:r>
      <w:r w:rsidRPr="00E82152">
        <w:t xml:space="preserve"> one would like to persuade the group to reach a conclusion of interest or to coerce a certain outcome</w:t>
      </w:r>
      <w:r w:rsidR="00C53F50">
        <w:t>; the members of the specialized subgroup that one thinks one has the best chance of winning over.</w:t>
      </w:r>
      <w:r w:rsidRPr="00E82152">
        <w:t xml:space="preserve"> (There exists an entire industry in the United States – the lobbying industry – built on this</w:t>
      </w:r>
      <w:r w:rsidR="00C53F50">
        <w:t xml:space="preserve"> kind of</w:t>
      </w:r>
      <w:r w:rsidRPr="00E82152">
        <w:t xml:space="preserve"> observation.) What List and Pettit take to be group attitudes supervene on individual attitudes and, as they emphasize, sometimes in a not entirely straightforward way;</w:t>
      </w:r>
      <w:r w:rsidR="00C53F50">
        <w:t xml:space="preserve"> fair enough.</w:t>
      </w:r>
      <w:r w:rsidRPr="00E82152">
        <w:t xml:space="preserve"> </w:t>
      </w:r>
      <w:r w:rsidR="00C53F50">
        <w:t>B</w:t>
      </w:r>
      <w:r w:rsidRPr="00E82152">
        <w:t>ut</w:t>
      </w:r>
      <w:r w:rsidR="00C53F50">
        <w:t>,</w:t>
      </w:r>
      <w:r w:rsidRPr="00E82152">
        <w:t xml:space="preserve"> the lion’s share of their book consists of arguments demonstrating why precisely that should be and what the less-than-entirely-straightforward supervenience rules should be under various conditions.</w:t>
      </w:r>
      <w:r>
        <w:t xml:space="preserve"> </w:t>
      </w:r>
      <w:r w:rsidR="00C53F50">
        <w:t>Thus,</w:t>
      </w:r>
      <w:r>
        <w:t xml:space="preserve"> they</w:t>
      </w:r>
      <w:r w:rsidR="00C53F50">
        <w:t xml:space="preserve"> themselves</w:t>
      </w:r>
      <w:r>
        <w:t xml:space="preserve"> demonstrat</w:t>
      </w:r>
      <w:r w:rsidR="00C53F50">
        <w:t>e</w:t>
      </w:r>
      <w:r>
        <w:t xml:space="preserve"> less-than-entirely-straightforward does</w:t>
      </w:r>
      <w:r w:rsidR="00C53F50">
        <w:t xml:space="preserve"> not</w:t>
      </w:r>
      <w:r>
        <w:t xml:space="preserve"> amount to </w:t>
      </w:r>
      <w:r w:rsidR="00C53F50">
        <w:t>opacity</w:t>
      </w:r>
      <w:r>
        <w:t>.</w:t>
      </w:r>
      <w:r w:rsidRPr="00E82152">
        <w:t xml:space="preserve"> List and Pettit provide recipes for constructing group states and thereby provide the guidebook for conceptualizing those states as</w:t>
      </w:r>
      <w:r w:rsidR="00C53F50">
        <w:t xml:space="preserve"> amalgamations</w:t>
      </w:r>
      <w:r w:rsidRPr="00E82152">
        <w:t xml:space="preserve"> of individual decisions</w:t>
      </w:r>
      <w:r w:rsidR="00C53F50">
        <w:t xml:space="preserve"> – not genuine group states –</w:t>
      </w:r>
      <w:r w:rsidRPr="00E82152">
        <w:t xml:space="preserve"> which tells us which individuals should be influenced on which questions at what stage in a given process in order to bring about the results we would like.</w:t>
      </w:r>
    </w:p>
    <w:p w14:paraId="1578C4DF" w14:textId="77777777" w:rsidR="00E82152" w:rsidRDefault="00E82152" w:rsidP="00022A82">
      <w:pPr>
        <w:pStyle w:val="Standard"/>
      </w:pPr>
    </w:p>
    <w:p w14:paraId="668FE84F" w14:textId="1CA4A808" w:rsidR="00946266" w:rsidRDefault="00022A82" w:rsidP="00717D0D">
      <w:pPr>
        <w:pStyle w:val="Standard"/>
      </w:pPr>
      <w:r w:rsidRPr="00022A82">
        <w:rPr>
          <w:i/>
        </w:rPr>
        <w:lastRenderedPageBreak/>
        <w:t>Conclusion.</w:t>
      </w:r>
      <w:r>
        <w:t xml:space="preserve"> </w:t>
      </w:r>
      <w:r w:rsidRPr="00022A82">
        <w:t>In</w:t>
      </w:r>
      <w:r>
        <w:t xml:space="preserve"> S</w:t>
      </w:r>
      <w:r w:rsidR="00BF3E4A">
        <w:t>ections II-V</w:t>
      </w:r>
      <w:r>
        <w:t>, I</w:t>
      </w:r>
      <w:r w:rsidR="00BF3E4A">
        <w:t xml:space="preserve"> motivated an interest in the theory of natural kinds as a tool for evaluating realism about group cognition; offered a theory of the sort of evidence germane to the determination of sameness of natural kind;</w:t>
      </w:r>
      <w:r>
        <w:t xml:space="preserve"> and</w:t>
      </w:r>
      <w:r w:rsidR="00BF3E4A">
        <w:t xml:space="preserve"> appl</w:t>
      </w:r>
      <w:r>
        <w:t>ied</w:t>
      </w:r>
      <w:r w:rsidR="00BF3E4A">
        <w:t xml:space="preserve"> t</w:t>
      </w:r>
      <w:r>
        <w:t>he theory to the</w:t>
      </w:r>
      <w:r w:rsidR="00BF3E4A">
        <w:t xml:space="preserve"> case of the overarching kind </w:t>
      </w:r>
      <w:r w:rsidR="00BF3E4A">
        <w:rPr>
          <w:i/>
        </w:rPr>
        <w:t>cognition</w:t>
      </w:r>
      <w:r w:rsidR="00BF3E4A">
        <w:t>, in the hope of offering the realist a way forward</w:t>
      </w:r>
      <w:r w:rsidR="009D59AA">
        <w:t xml:space="preserve">. In the final section, </w:t>
      </w:r>
      <w:r>
        <w:t>prohibitive</w:t>
      </w:r>
      <w:r w:rsidR="009D59AA">
        <w:t xml:space="preserve"> difficulties mounted. </w:t>
      </w:r>
      <w:r w:rsidR="00946266">
        <w:t xml:space="preserve">I conclude, then, that </w:t>
      </w:r>
      <w:r w:rsidR="00C53F50">
        <w:t xml:space="preserve">the </w:t>
      </w:r>
      <w:r w:rsidR="00946266">
        <w:t xml:space="preserve">prospects for the discovery of genuinely cognitive states </w:t>
      </w:r>
      <w:r w:rsidR="00C53F50">
        <w:t>in</w:t>
      </w:r>
      <w:r w:rsidR="00946266">
        <w:t xml:space="preserve"> groups appear dim, though much depends on empirical</w:t>
      </w:r>
      <w:r w:rsidR="007F26F9">
        <w:t xml:space="preserve"> work yet to be done.</w:t>
      </w:r>
    </w:p>
    <w:p w14:paraId="58925DAE" w14:textId="77777777" w:rsidR="001B747D" w:rsidRDefault="001B747D" w:rsidP="00B65BF7">
      <w:pPr>
        <w:widowControl w:val="0"/>
        <w:autoSpaceDE w:val="0"/>
        <w:autoSpaceDN w:val="0"/>
        <w:adjustRightInd w:val="0"/>
        <w:spacing w:after="0"/>
        <w:rPr>
          <w:rFonts w:ascii="TimesNewRomanPSMT" w:hAnsi="TimesNewRomanPSMT" w:cs="TimesNewRomanPSMT"/>
        </w:rPr>
      </w:pPr>
    </w:p>
    <w:p w14:paraId="7CD998EC" w14:textId="66BF6BAB" w:rsidR="00B65BF7" w:rsidRDefault="00B65BF7" w:rsidP="00B65BF7">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References</w:t>
      </w:r>
    </w:p>
    <w:p w14:paraId="28BB33A7" w14:textId="2A261279" w:rsidR="00EA1788" w:rsidRDefault="00EA1788" w:rsidP="00B65BF7">
      <w:pPr>
        <w:widowControl w:val="0"/>
        <w:autoSpaceDE w:val="0"/>
        <w:autoSpaceDN w:val="0"/>
        <w:adjustRightInd w:val="0"/>
        <w:spacing w:after="0"/>
        <w:rPr>
          <w:rFonts w:ascii="TimesNewRomanPSMT" w:hAnsi="TimesNewRomanPSMT" w:cs="TimesNewRomanPSMT"/>
        </w:rPr>
      </w:pPr>
    </w:p>
    <w:p w14:paraId="3794FD8F" w14:textId="3C70CC08" w:rsidR="001F70F1" w:rsidRDefault="001F70F1" w:rsidP="001F70F1">
      <w:pPr>
        <w:widowControl w:val="0"/>
        <w:autoSpaceDE w:val="0"/>
        <w:autoSpaceDN w:val="0"/>
        <w:adjustRightInd w:val="0"/>
        <w:spacing w:after="0"/>
        <w:rPr>
          <w:rFonts w:ascii="TimesNewRomanPSMT" w:hAnsi="TimesNewRomanPSMT" w:cs="TimesNewRomanPSMT"/>
        </w:rPr>
      </w:pPr>
      <w:r w:rsidRPr="001F70F1">
        <w:rPr>
          <w:rFonts w:ascii="TimesNewRomanPSMT" w:hAnsi="TimesNewRomanPSMT" w:cs="TimesNewRomanPSMT"/>
        </w:rPr>
        <w:t>Arico, A.</w:t>
      </w:r>
      <w:r>
        <w:rPr>
          <w:rFonts w:ascii="TimesNewRomanPSMT" w:hAnsi="TimesNewRomanPSMT" w:cs="TimesNewRomanPSMT"/>
        </w:rPr>
        <w:t xml:space="preserve"> (2010). Folk psychology, consciousness, and context effects.</w:t>
      </w:r>
      <w:r w:rsidRPr="001F70F1">
        <w:rPr>
          <w:rFonts w:ascii="TimesNewRomanPSMT" w:hAnsi="TimesNewRomanPSMT" w:cs="TimesNewRomanPSMT"/>
        </w:rPr>
        <w:t xml:space="preserve"> </w:t>
      </w:r>
      <w:r w:rsidRPr="001F70F1">
        <w:rPr>
          <w:rFonts w:ascii="TimesNewRomanPSMT" w:hAnsi="TimesNewRomanPSMT" w:cs="TimesNewRomanPSMT"/>
          <w:i/>
        </w:rPr>
        <w:t>Review of Philosophy and Psychology</w:t>
      </w:r>
      <w:r>
        <w:rPr>
          <w:rFonts w:ascii="TimesNewRomanPSMT" w:hAnsi="TimesNewRomanPSMT" w:cs="TimesNewRomanPSMT"/>
        </w:rPr>
        <w:t xml:space="preserve"> 1</w:t>
      </w:r>
      <w:r w:rsidRPr="001F70F1">
        <w:rPr>
          <w:rFonts w:ascii="TimesNewRomanPSMT" w:hAnsi="TimesNewRomanPSMT" w:cs="TimesNewRomanPSMT"/>
        </w:rPr>
        <w:t>: 371–</w:t>
      </w:r>
      <w:r>
        <w:rPr>
          <w:rFonts w:ascii="TimesNewRomanPSMT" w:hAnsi="TimesNewRomanPSMT" w:cs="TimesNewRomanPSMT"/>
        </w:rPr>
        <w:t>3</w:t>
      </w:r>
      <w:r w:rsidRPr="001F70F1">
        <w:rPr>
          <w:rFonts w:ascii="TimesNewRomanPSMT" w:hAnsi="TimesNewRomanPSMT" w:cs="TimesNewRomanPSMT"/>
        </w:rPr>
        <w:t>93.</w:t>
      </w:r>
    </w:p>
    <w:p w14:paraId="6FA24CF2" w14:textId="77777777" w:rsidR="001F70F1" w:rsidRDefault="001F70F1" w:rsidP="00DF376C">
      <w:pPr>
        <w:widowControl w:val="0"/>
        <w:autoSpaceDE w:val="0"/>
        <w:autoSpaceDN w:val="0"/>
        <w:adjustRightInd w:val="0"/>
        <w:spacing w:after="0"/>
        <w:rPr>
          <w:rFonts w:ascii="TimesNewRomanPSMT" w:hAnsi="TimesNewRomanPSMT" w:cs="TimesNewRomanPSMT"/>
        </w:rPr>
      </w:pPr>
    </w:p>
    <w:p w14:paraId="46A217EA" w14:textId="70A67523" w:rsidR="00023344" w:rsidRDefault="00023344" w:rsidP="00DF376C">
      <w:pPr>
        <w:widowControl w:val="0"/>
        <w:autoSpaceDE w:val="0"/>
        <w:autoSpaceDN w:val="0"/>
        <w:adjustRightInd w:val="0"/>
        <w:spacing w:after="0"/>
        <w:rPr>
          <w:rFonts w:ascii="TimesNewRomanPSMT" w:hAnsi="TimesNewRomanPSMT" w:cs="TimesNewRomanPSMT"/>
        </w:rPr>
      </w:pPr>
      <w:r w:rsidRPr="00023344">
        <w:rPr>
          <w:rFonts w:ascii="TimesNewRomanPSMT" w:hAnsi="TimesNewRomanPSMT" w:cs="TimesNewRomanPSMT"/>
        </w:rPr>
        <w:t>Barnier, Amanda J., John Sutton, Celia B. Harris, and Robert A. Wilson. (2008)</w:t>
      </w:r>
      <w:r w:rsidR="00F00706">
        <w:rPr>
          <w:rFonts w:ascii="TimesNewRomanPSMT" w:hAnsi="TimesNewRomanPSMT" w:cs="TimesNewRomanPSMT"/>
        </w:rPr>
        <w:t>. A conceptual and empirical framework for the social distribution of cognition: The case of m</w:t>
      </w:r>
      <w:r w:rsidRPr="00023344">
        <w:rPr>
          <w:rFonts w:ascii="TimesNewRomanPSMT" w:hAnsi="TimesNewRomanPSMT" w:cs="TimesNewRomanPSMT"/>
        </w:rPr>
        <w:t>emory.</w:t>
      </w:r>
      <w:r w:rsidR="00F00706">
        <w:rPr>
          <w:rFonts w:ascii="TimesNewRomanPSMT" w:hAnsi="TimesNewRomanPSMT" w:cs="TimesNewRomanPSMT"/>
        </w:rPr>
        <w:t xml:space="preserve"> </w:t>
      </w:r>
      <w:r w:rsidRPr="00023344">
        <w:rPr>
          <w:rFonts w:ascii="TimesNewRomanPSMT" w:hAnsi="TimesNewRomanPSMT" w:cs="TimesNewRomanPSMT"/>
          <w:i/>
        </w:rPr>
        <w:t>Cognitive Systems Research</w:t>
      </w:r>
      <w:r w:rsidR="00A21130">
        <w:rPr>
          <w:rFonts w:ascii="TimesNewRomanPSMT" w:hAnsi="TimesNewRomanPSMT" w:cs="TimesNewRomanPSMT"/>
        </w:rPr>
        <w:t xml:space="preserve"> 9 (</w:t>
      </w:r>
      <w:r w:rsidRPr="00023344">
        <w:rPr>
          <w:rFonts w:ascii="TimesNewRomanPSMT" w:hAnsi="TimesNewRomanPSMT" w:cs="TimesNewRomanPSMT"/>
        </w:rPr>
        <w:t>1</w:t>
      </w:r>
      <w:r w:rsidR="00A21130">
        <w:rPr>
          <w:rFonts w:ascii="TimesNewRomanPSMT" w:hAnsi="TimesNewRomanPSMT" w:cs="TimesNewRomanPSMT"/>
        </w:rPr>
        <w:t>)</w:t>
      </w:r>
      <w:r w:rsidRPr="00023344">
        <w:rPr>
          <w:rFonts w:ascii="TimesNewRomanPSMT" w:hAnsi="TimesNewRomanPSMT" w:cs="TimesNewRomanPSMT"/>
        </w:rPr>
        <w:t>: 33–51.</w:t>
      </w:r>
    </w:p>
    <w:p w14:paraId="6103A4D8" w14:textId="77777777" w:rsidR="00023344" w:rsidRDefault="00023344" w:rsidP="00DF376C">
      <w:pPr>
        <w:widowControl w:val="0"/>
        <w:autoSpaceDE w:val="0"/>
        <w:autoSpaceDN w:val="0"/>
        <w:adjustRightInd w:val="0"/>
        <w:spacing w:after="0"/>
        <w:rPr>
          <w:rFonts w:ascii="TimesNewRomanPSMT" w:hAnsi="TimesNewRomanPSMT" w:cs="TimesNewRomanPSMT"/>
        </w:rPr>
      </w:pPr>
    </w:p>
    <w:p w14:paraId="44DF6486" w14:textId="62D5D61F" w:rsidR="00DF376C" w:rsidRDefault="00DF376C" w:rsidP="00DF376C">
      <w:pPr>
        <w:widowControl w:val="0"/>
        <w:autoSpaceDE w:val="0"/>
        <w:autoSpaceDN w:val="0"/>
        <w:adjustRightInd w:val="0"/>
        <w:spacing w:after="0"/>
        <w:rPr>
          <w:rFonts w:ascii="TimesNewRomanPSMT" w:hAnsi="TimesNewRomanPSMT" w:cs="TimesNewRomanPSMT"/>
        </w:rPr>
      </w:pPr>
      <w:r w:rsidRPr="00512846">
        <w:rPr>
          <w:rFonts w:ascii="TimesNewRomanPSMT" w:hAnsi="TimesNewRomanPSMT" w:cs="TimesNewRomanPSMT"/>
        </w:rPr>
        <w:t>Block, N. (1978). Troubl</w:t>
      </w:r>
      <w:r>
        <w:rPr>
          <w:rFonts w:ascii="TimesNewRomanPSMT" w:hAnsi="TimesNewRomanPSMT" w:cs="TimesNewRomanPSMT"/>
        </w:rPr>
        <w:t>es with f</w:t>
      </w:r>
      <w:r w:rsidRPr="00512846">
        <w:rPr>
          <w:rFonts w:ascii="TimesNewRomanPSMT" w:hAnsi="TimesNewRomanPSMT" w:cs="TimesNewRomanPSMT"/>
        </w:rPr>
        <w:t xml:space="preserve">unctionalism. In C. Savage (Ed.), </w:t>
      </w:r>
      <w:r>
        <w:rPr>
          <w:rFonts w:ascii="TimesNewRomanPSMT" w:hAnsi="TimesNewRomanPSMT" w:cs="TimesNewRomanPSMT"/>
          <w:i/>
        </w:rPr>
        <w:t xml:space="preserve">Perception and </w:t>
      </w:r>
      <w:r w:rsidR="00A21130">
        <w:rPr>
          <w:rFonts w:ascii="TimesNewRomanPSMT" w:hAnsi="TimesNewRomanPSMT" w:cs="TimesNewRomanPSMT"/>
          <w:i/>
        </w:rPr>
        <w:t>cognition. Issues in the foundations of p</w:t>
      </w:r>
      <w:r w:rsidRPr="00512846">
        <w:rPr>
          <w:rFonts w:ascii="TimesNewRomanPSMT" w:hAnsi="TimesNewRomanPSMT" w:cs="TimesNewRomanPSMT"/>
          <w:i/>
        </w:rPr>
        <w:t>sychology</w:t>
      </w:r>
      <w:r w:rsidR="00A21130">
        <w:rPr>
          <w:rFonts w:ascii="TimesNewRomanPSMT" w:hAnsi="TimesNewRomanPSMT" w:cs="TimesNewRomanPSMT"/>
          <w:i/>
        </w:rPr>
        <w:t>, Minnesota studies in the philosophy of s</w:t>
      </w:r>
      <w:r w:rsidRPr="00512846">
        <w:rPr>
          <w:rFonts w:ascii="TimesNewRomanPSMT" w:hAnsi="TimesNewRomanPSMT" w:cs="TimesNewRomanPSMT"/>
          <w:i/>
        </w:rPr>
        <w:t>cience</w:t>
      </w:r>
      <w:r w:rsidR="00A21130">
        <w:rPr>
          <w:rFonts w:ascii="TimesNewRomanPSMT" w:hAnsi="TimesNewRomanPSMT" w:cs="TimesNewRomanPSMT"/>
        </w:rPr>
        <w:t xml:space="preserve">, vol. 9, </w:t>
      </w:r>
      <w:r w:rsidRPr="00512846">
        <w:rPr>
          <w:rFonts w:ascii="TimesNewRomanPSMT" w:hAnsi="TimesNewRomanPSMT" w:cs="TimesNewRomanPSMT"/>
        </w:rPr>
        <w:t>pp. 261–32</w:t>
      </w:r>
      <w:r w:rsidR="00A21130">
        <w:rPr>
          <w:rFonts w:ascii="TimesNewRomanPSMT" w:hAnsi="TimesNewRomanPSMT" w:cs="TimesNewRomanPSMT"/>
        </w:rPr>
        <w:t>5</w:t>
      </w:r>
      <w:r>
        <w:rPr>
          <w:rFonts w:ascii="TimesNewRomanPSMT" w:hAnsi="TimesNewRomanPSMT" w:cs="TimesNewRomanPSMT"/>
        </w:rPr>
        <w:t xml:space="preserve">. Minneapolis: University of </w:t>
      </w:r>
      <w:r w:rsidRPr="00512846">
        <w:rPr>
          <w:rFonts w:ascii="TimesNewRomanPSMT" w:hAnsi="TimesNewRomanPSMT" w:cs="TimesNewRomanPSMT"/>
        </w:rPr>
        <w:t>Minnesota Press.</w:t>
      </w:r>
    </w:p>
    <w:p w14:paraId="40844618" w14:textId="2D81D099" w:rsidR="006A4E76" w:rsidRDefault="006A4E76" w:rsidP="00DF376C">
      <w:pPr>
        <w:widowControl w:val="0"/>
        <w:autoSpaceDE w:val="0"/>
        <w:autoSpaceDN w:val="0"/>
        <w:adjustRightInd w:val="0"/>
        <w:spacing w:after="0"/>
        <w:rPr>
          <w:rFonts w:ascii="TimesNewRomanPSMT" w:hAnsi="TimesNewRomanPSMT" w:cs="TimesNewRomanPSMT"/>
        </w:rPr>
      </w:pPr>
    </w:p>
    <w:p w14:paraId="682C5B2A" w14:textId="60AA0E61" w:rsidR="006A4E76" w:rsidRDefault="006A4E76" w:rsidP="00DF376C">
      <w:pPr>
        <w:widowControl w:val="0"/>
        <w:autoSpaceDE w:val="0"/>
        <w:autoSpaceDN w:val="0"/>
        <w:adjustRightInd w:val="0"/>
        <w:spacing w:after="0"/>
        <w:rPr>
          <w:rFonts w:ascii="TimesNewRomanPSMT" w:hAnsi="TimesNewRomanPSMT" w:cs="TimesNewRomanPSMT"/>
        </w:rPr>
      </w:pPr>
      <w:r w:rsidRPr="006A4E76">
        <w:rPr>
          <w:rFonts w:ascii="TimesNewRomanPSMT" w:hAnsi="TimesNewRomanPSMT" w:cs="TimesNewRomanPSMT"/>
        </w:rPr>
        <w:t>Block, N. (1997)</w:t>
      </w:r>
      <w:r>
        <w:rPr>
          <w:rFonts w:ascii="TimesNewRomanPSMT" w:hAnsi="TimesNewRomanPSMT" w:cs="TimesNewRomanPSMT"/>
        </w:rPr>
        <w:t xml:space="preserve">. </w:t>
      </w:r>
      <w:r w:rsidRPr="006A4E76">
        <w:rPr>
          <w:rFonts w:ascii="TimesNewRomanPSMT" w:hAnsi="TimesNewRomanPSMT" w:cs="TimesNewRomanPSMT"/>
        </w:rPr>
        <w:t>Anti-</w:t>
      </w:r>
      <w:r w:rsidR="00F4513A">
        <w:rPr>
          <w:rFonts w:ascii="TimesNewRomanPSMT" w:hAnsi="TimesNewRomanPSMT" w:cs="TimesNewRomanPSMT"/>
        </w:rPr>
        <w:t>r</w:t>
      </w:r>
      <w:r w:rsidRPr="006A4E76">
        <w:rPr>
          <w:rFonts w:ascii="TimesNewRomanPSMT" w:hAnsi="TimesNewRomanPSMT" w:cs="TimesNewRomanPSMT"/>
        </w:rPr>
        <w:t xml:space="preserve">eductionism </w:t>
      </w:r>
      <w:r>
        <w:rPr>
          <w:rFonts w:ascii="TimesNewRomanPSMT" w:hAnsi="TimesNewRomanPSMT" w:cs="TimesNewRomanPSMT"/>
        </w:rPr>
        <w:t>s</w:t>
      </w:r>
      <w:r w:rsidRPr="006A4E76">
        <w:rPr>
          <w:rFonts w:ascii="TimesNewRomanPSMT" w:hAnsi="TimesNewRomanPSMT" w:cs="TimesNewRomanPSMT"/>
        </w:rPr>
        <w:t xml:space="preserve">laps </w:t>
      </w:r>
      <w:r>
        <w:rPr>
          <w:rFonts w:ascii="TimesNewRomanPSMT" w:hAnsi="TimesNewRomanPSMT" w:cs="TimesNewRomanPSMT"/>
        </w:rPr>
        <w:t>b</w:t>
      </w:r>
      <w:r w:rsidRPr="006A4E76">
        <w:rPr>
          <w:rFonts w:ascii="TimesNewRomanPSMT" w:hAnsi="TimesNewRomanPSMT" w:cs="TimesNewRomanPSMT"/>
        </w:rPr>
        <w:t>ack</w:t>
      </w:r>
      <w:r>
        <w:rPr>
          <w:rFonts w:ascii="TimesNewRomanPSMT" w:hAnsi="TimesNewRomanPSMT" w:cs="TimesNewRomanPSMT"/>
        </w:rPr>
        <w:t>.</w:t>
      </w:r>
      <w:r w:rsidRPr="006A4E76">
        <w:rPr>
          <w:rFonts w:ascii="TimesNewRomanPSMT" w:hAnsi="TimesNewRomanPSMT" w:cs="TimesNewRomanPSMT"/>
        </w:rPr>
        <w:t xml:space="preserve"> </w:t>
      </w:r>
      <w:r>
        <w:rPr>
          <w:rFonts w:ascii="TimesNewRomanPSMT" w:hAnsi="TimesNewRomanPSMT" w:cs="TimesNewRomanPSMT"/>
        </w:rPr>
        <w:t>I</w:t>
      </w:r>
      <w:r w:rsidRPr="006A4E76">
        <w:rPr>
          <w:rFonts w:ascii="TimesNewRomanPSMT" w:hAnsi="TimesNewRomanPSMT" w:cs="TimesNewRomanPSMT"/>
        </w:rPr>
        <w:t>n</w:t>
      </w:r>
      <w:r>
        <w:rPr>
          <w:rFonts w:ascii="TimesNewRomanPSMT" w:hAnsi="TimesNewRomanPSMT" w:cs="TimesNewRomanPSMT"/>
        </w:rPr>
        <w:t xml:space="preserve"> J.</w:t>
      </w:r>
      <w:r w:rsidRPr="006A4E76">
        <w:rPr>
          <w:rFonts w:ascii="TimesNewRomanPSMT" w:hAnsi="TimesNewRomanPSMT" w:cs="TimesNewRomanPSMT"/>
        </w:rPr>
        <w:t xml:space="preserve"> </w:t>
      </w:r>
      <w:proofErr w:type="spellStart"/>
      <w:r w:rsidRPr="006A4E76">
        <w:rPr>
          <w:rFonts w:ascii="TimesNewRomanPSMT" w:hAnsi="TimesNewRomanPSMT" w:cs="TimesNewRomanPSMT"/>
        </w:rPr>
        <w:t>Tomberlin</w:t>
      </w:r>
      <w:proofErr w:type="spellEnd"/>
      <w:r>
        <w:rPr>
          <w:rFonts w:ascii="TimesNewRomanPSMT" w:hAnsi="TimesNewRomanPSMT" w:cs="TimesNewRomanPSMT"/>
        </w:rPr>
        <w:t xml:space="preserve"> (Ed.), </w:t>
      </w:r>
      <w:r w:rsidRPr="006A4E76">
        <w:rPr>
          <w:rFonts w:ascii="TimesNewRomanPSMT" w:hAnsi="TimesNewRomanPSMT" w:cs="TimesNewRomanPSMT"/>
          <w:i/>
        </w:rPr>
        <w:t>Mind, Causation, World</w:t>
      </w:r>
      <w:r>
        <w:rPr>
          <w:rFonts w:ascii="TimesNewRomanPSMT" w:hAnsi="TimesNewRomanPSMT" w:cs="TimesNewRomanPSMT"/>
          <w:i/>
        </w:rPr>
        <w:t>:</w:t>
      </w:r>
      <w:r w:rsidRPr="006A4E76">
        <w:rPr>
          <w:rFonts w:ascii="TimesNewRomanPSMT" w:hAnsi="TimesNewRomanPSMT" w:cs="TimesNewRomanPSMT"/>
          <w:i/>
        </w:rPr>
        <w:t xml:space="preserve"> Philosophical Perspectives</w:t>
      </w:r>
      <w:r w:rsidRPr="006A4E76">
        <w:rPr>
          <w:rFonts w:ascii="TimesNewRomanPSMT" w:hAnsi="TimesNewRomanPSMT" w:cs="TimesNewRomanPSMT"/>
        </w:rPr>
        <w:t xml:space="preserve"> 11, </w:t>
      </w:r>
      <w:r>
        <w:rPr>
          <w:rFonts w:ascii="TimesNewRomanPSMT" w:hAnsi="TimesNewRomanPSMT" w:cs="TimesNewRomanPSMT"/>
        </w:rPr>
        <w:t xml:space="preserve">pp. </w:t>
      </w:r>
      <w:r w:rsidRPr="006A4E76">
        <w:rPr>
          <w:rFonts w:ascii="TimesNewRomanPSMT" w:hAnsi="TimesNewRomanPSMT" w:cs="TimesNewRomanPSMT"/>
        </w:rPr>
        <w:t>107</w:t>
      </w:r>
      <w:r>
        <w:rPr>
          <w:rFonts w:ascii="TimesNewRomanPSMT" w:hAnsi="TimesNewRomanPSMT" w:cs="TimesNewRomanPSMT"/>
        </w:rPr>
        <w:t>–</w:t>
      </w:r>
      <w:r w:rsidRPr="006A4E76">
        <w:rPr>
          <w:rFonts w:ascii="TimesNewRomanPSMT" w:hAnsi="TimesNewRomanPSMT" w:cs="TimesNewRomanPSMT"/>
        </w:rPr>
        <w:t>133.</w:t>
      </w:r>
      <w:r>
        <w:rPr>
          <w:rFonts w:ascii="TimesNewRomanPSMT" w:hAnsi="TimesNewRomanPSMT" w:cs="TimesNewRomanPSMT"/>
        </w:rPr>
        <w:t xml:space="preserve"> Boston: Blackwell.</w:t>
      </w:r>
    </w:p>
    <w:p w14:paraId="49203914" w14:textId="2DA69C83" w:rsidR="00DF376C" w:rsidRDefault="00DF376C" w:rsidP="00DF376C">
      <w:pPr>
        <w:widowControl w:val="0"/>
        <w:autoSpaceDE w:val="0"/>
        <w:autoSpaceDN w:val="0"/>
        <w:adjustRightInd w:val="0"/>
        <w:spacing w:after="0"/>
        <w:rPr>
          <w:rFonts w:ascii="TimesNewRomanPSMT" w:hAnsi="TimesNewRomanPSMT" w:cs="TimesNewRomanPSMT"/>
        </w:rPr>
      </w:pPr>
    </w:p>
    <w:p w14:paraId="551ED64C" w14:textId="056EFD8C" w:rsidR="00023344" w:rsidRPr="00023344" w:rsidRDefault="00023344" w:rsidP="00023344">
      <w:pPr>
        <w:widowControl w:val="0"/>
        <w:autoSpaceDE w:val="0"/>
        <w:autoSpaceDN w:val="0"/>
        <w:adjustRightInd w:val="0"/>
        <w:spacing w:after="0"/>
        <w:rPr>
          <w:rFonts w:ascii="TimesNewRomanPSMT" w:hAnsi="TimesNewRomanPSMT" w:cs="TimesNewRomanPSMT"/>
        </w:rPr>
      </w:pPr>
      <w:r w:rsidRPr="00023344">
        <w:rPr>
          <w:rFonts w:ascii="TimesNewRomanPSMT" w:hAnsi="TimesNewRomanPSMT" w:cs="TimesNewRomanPSMT"/>
        </w:rPr>
        <w:t>Brooks, Rodney A.</w:t>
      </w:r>
      <w:r>
        <w:rPr>
          <w:rFonts w:ascii="TimesNewRomanPSMT" w:hAnsi="TimesNewRomanPSMT" w:cs="TimesNewRomanPSMT"/>
        </w:rPr>
        <w:t xml:space="preserve"> (</w:t>
      </w:r>
      <w:r w:rsidRPr="00023344">
        <w:rPr>
          <w:rFonts w:ascii="TimesNewRomanPSMT" w:hAnsi="TimesNewRomanPSMT" w:cs="TimesNewRomanPSMT"/>
        </w:rPr>
        <w:t>1999</w:t>
      </w:r>
      <w:r>
        <w:rPr>
          <w:rFonts w:ascii="TimesNewRomanPSMT" w:hAnsi="TimesNewRomanPSMT" w:cs="TimesNewRomanPSMT"/>
        </w:rPr>
        <w:t>).</w:t>
      </w:r>
      <w:r w:rsidRPr="00023344">
        <w:rPr>
          <w:rFonts w:ascii="TimesNewRomanPSMT" w:hAnsi="TimesNewRomanPSMT" w:cs="TimesNewRomanPSMT"/>
        </w:rPr>
        <w:t xml:space="preserve"> </w:t>
      </w:r>
      <w:r w:rsidR="0095212E">
        <w:rPr>
          <w:rFonts w:ascii="TimesNewRomanPSMT" w:hAnsi="TimesNewRomanPSMT" w:cs="TimesNewRomanPSMT"/>
          <w:i/>
        </w:rPr>
        <w:t>Cambrian i</w:t>
      </w:r>
      <w:r w:rsidRPr="00F00706">
        <w:rPr>
          <w:rFonts w:ascii="TimesNewRomanPSMT" w:hAnsi="TimesNewRomanPSMT" w:cs="TimesNewRomanPSMT"/>
          <w:i/>
        </w:rPr>
        <w:t>ntel</w:t>
      </w:r>
      <w:r w:rsidR="0095212E">
        <w:rPr>
          <w:rFonts w:ascii="TimesNewRomanPSMT" w:hAnsi="TimesNewRomanPSMT" w:cs="TimesNewRomanPSMT"/>
          <w:i/>
        </w:rPr>
        <w:t>ligence: The early history of the n</w:t>
      </w:r>
      <w:r w:rsidRPr="00F00706">
        <w:rPr>
          <w:rFonts w:ascii="TimesNewRomanPSMT" w:hAnsi="TimesNewRomanPSMT" w:cs="TimesNewRomanPSMT"/>
          <w:i/>
        </w:rPr>
        <w:t>ew AI.</w:t>
      </w:r>
      <w:r>
        <w:rPr>
          <w:rFonts w:ascii="TimesNewRomanPSMT" w:hAnsi="TimesNewRomanPSMT" w:cs="TimesNewRomanPSMT"/>
        </w:rPr>
        <w:t xml:space="preserve"> Cambridge, MA: MIT Press</w:t>
      </w:r>
      <w:r w:rsidRPr="00023344">
        <w:rPr>
          <w:rFonts w:ascii="TimesNewRomanPSMT" w:hAnsi="TimesNewRomanPSMT" w:cs="TimesNewRomanPSMT"/>
        </w:rPr>
        <w:t>.</w:t>
      </w:r>
    </w:p>
    <w:p w14:paraId="48C90091" w14:textId="54471C79" w:rsidR="00023344" w:rsidRDefault="00023344" w:rsidP="00DF376C">
      <w:pPr>
        <w:widowControl w:val="0"/>
        <w:autoSpaceDE w:val="0"/>
        <w:autoSpaceDN w:val="0"/>
        <w:adjustRightInd w:val="0"/>
        <w:spacing w:after="0"/>
        <w:rPr>
          <w:rFonts w:ascii="TimesNewRomanPSMT" w:hAnsi="TimesNewRomanPSMT" w:cs="TimesNewRomanPSMT"/>
        </w:rPr>
      </w:pPr>
      <w:r w:rsidRPr="00023344">
        <w:rPr>
          <w:rFonts w:ascii="TimesNewRomanPSMT" w:hAnsi="TimesNewRomanPSMT" w:cs="TimesNewRomanPSMT"/>
        </w:rPr>
        <w:tab/>
      </w:r>
    </w:p>
    <w:p w14:paraId="34E4A43A" w14:textId="7D2129A9" w:rsidR="001F70F1" w:rsidRDefault="00023344" w:rsidP="001F70F1">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Chalmers, D.</w:t>
      </w:r>
      <w:r w:rsidRPr="00023344">
        <w:rPr>
          <w:rFonts w:ascii="TimesNewRomanPSMT" w:hAnsi="TimesNewRomanPSMT" w:cs="TimesNewRomanPSMT"/>
        </w:rPr>
        <w:t xml:space="preserve"> </w:t>
      </w:r>
      <w:r>
        <w:rPr>
          <w:rFonts w:ascii="TimesNewRomanPSMT" w:hAnsi="TimesNewRomanPSMT" w:cs="TimesNewRomanPSMT"/>
        </w:rPr>
        <w:t xml:space="preserve">(2008). Foreword to Andy Clark, </w:t>
      </w:r>
      <w:r w:rsidRPr="00023344">
        <w:rPr>
          <w:rFonts w:ascii="TimesNewRomanPSMT" w:hAnsi="TimesNewRomanPSMT" w:cs="TimesNewRomanPSMT"/>
          <w:i/>
        </w:rPr>
        <w:t>Supersizin</w:t>
      </w:r>
      <w:r w:rsidR="0095212E">
        <w:rPr>
          <w:rFonts w:ascii="TimesNewRomanPSMT" w:hAnsi="TimesNewRomanPSMT" w:cs="TimesNewRomanPSMT"/>
          <w:i/>
        </w:rPr>
        <w:t>g the m</w:t>
      </w:r>
      <w:r w:rsidRPr="00023344">
        <w:rPr>
          <w:rFonts w:ascii="TimesNewRomanPSMT" w:hAnsi="TimesNewRomanPSMT" w:cs="TimesNewRomanPSMT"/>
          <w:i/>
        </w:rPr>
        <w:t>ind</w:t>
      </w:r>
      <w:r>
        <w:rPr>
          <w:rFonts w:ascii="TimesNewRomanPSMT" w:hAnsi="TimesNewRomanPSMT" w:cs="TimesNewRomanPSMT"/>
        </w:rPr>
        <w:t xml:space="preserve"> (see Clark 2008)</w:t>
      </w:r>
      <w:r w:rsidRPr="00023344">
        <w:rPr>
          <w:rFonts w:ascii="TimesNewRomanPSMT" w:hAnsi="TimesNewRomanPSMT" w:cs="TimesNewRomanPSMT"/>
        </w:rPr>
        <w:t>.</w:t>
      </w:r>
    </w:p>
    <w:p w14:paraId="3ABDB66D" w14:textId="77777777" w:rsidR="00023344" w:rsidRDefault="00023344" w:rsidP="00DF376C">
      <w:pPr>
        <w:widowControl w:val="0"/>
        <w:autoSpaceDE w:val="0"/>
        <w:autoSpaceDN w:val="0"/>
        <w:adjustRightInd w:val="0"/>
        <w:spacing w:after="0"/>
        <w:rPr>
          <w:rFonts w:ascii="TimesNewRomanPSMT" w:hAnsi="TimesNewRomanPSMT" w:cs="TimesNewRomanPSMT"/>
        </w:rPr>
      </w:pPr>
    </w:p>
    <w:p w14:paraId="743A8A48" w14:textId="439EB620" w:rsidR="00DF376C" w:rsidRDefault="00DF376C" w:rsidP="00DF376C">
      <w:pPr>
        <w:widowControl w:val="0"/>
        <w:autoSpaceDE w:val="0"/>
        <w:autoSpaceDN w:val="0"/>
        <w:adjustRightInd w:val="0"/>
        <w:spacing w:after="0"/>
        <w:rPr>
          <w:rFonts w:ascii="TimesNewRomanPSMT" w:hAnsi="TimesNewRomanPSMT" w:cs="TimesNewRomanPSMT"/>
        </w:rPr>
      </w:pPr>
      <w:r w:rsidRPr="00BB753E">
        <w:rPr>
          <w:rFonts w:ascii="TimesNewRomanPSMT" w:hAnsi="TimesNewRomanPSMT" w:cs="TimesNewRomanPSMT"/>
        </w:rPr>
        <w:t>Churchland, P. M. (1981) Elim</w:t>
      </w:r>
      <w:r>
        <w:rPr>
          <w:rFonts w:ascii="TimesNewRomanPSMT" w:hAnsi="TimesNewRomanPSMT" w:cs="TimesNewRomanPSMT"/>
        </w:rPr>
        <w:t>inative m</w:t>
      </w:r>
      <w:r w:rsidRPr="00BB753E">
        <w:rPr>
          <w:rFonts w:ascii="TimesNewRomanPSMT" w:hAnsi="TimesNewRomanPSMT" w:cs="TimesNewRomanPSMT"/>
        </w:rPr>
        <w:t>aterialism a</w:t>
      </w:r>
      <w:r>
        <w:rPr>
          <w:rFonts w:ascii="TimesNewRomanPSMT" w:hAnsi="TimesNewRomanPSMT" w:cs="TimesNewRomanPSMT"/>
        </w:rPr>
        <w:t xml:space="preserve">nd the propositional attitudes. </w:t>
      </w:r>
      <w:r w:rsidRPr="00BB753E">
        <w:rPr>
          <w:rFonts w:ascii="TimesNewRomanPSMT" w:hAnsi="TimesNewRomanPSMT" w:cs="TimesNewRomanPSMT"/>
          <w:i/>
        </w:rPr>
        <w:t>Journal of Philosophy</w:t>
      </w:r>
      <w:r>
        <w:rPr>
          <w:rFonts w:ascii="TimesNewRomanPSMT" w:hAnsi="TimesNewRomanPSMT" w:cs="TimesNewRomanPSMT"/>
        </w:rPr>
        <w:t xml:space="preserve"> 78, 2,</w:t>
      </w:r>
      <w:r w:rsidRPr="00BB753E">
        <w:rPr>
          <w:rFonts w:ascii="TimesNewRomanPSMT" w:hAnsi="TimesNewRomanPSMT" w:cs="TimesNewRomanPSMT"/>
        </w:rPr>
        <w:t xml:space="preserve"> 67–90.</w:t>
      </w:r>
    </w:p>
    <w:p w14:paraId="04D7DA14"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67D5F6B9" w14:textId="301FF6CD" w:rsidR="00DF376C" w:rsidRDefault="00023344"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bCs/>
        </w:rPr>
        <w:t>Clark, A.</w:t>
      </w:r>
      <w:r w:rsidR="00DF376C">
        <w:rPr>
          <w:rFonts w:ascii="TimesNewRomanPSMT" w:hAnsi="TimesNewRomanPSMT" w:cs="TimesNewRomanPSMT"/>
          <w:bCs/>
        </w:rPr>
        <w:t xml:space="preserve"> </w:t>
      </w:r>
      <w:r w:rsidR="00DF376C" w:rsidRPr="00A10ED4">
        <w:rPr>
          <w:rFonts w:ascii="TimesNewRomanPSMT" w:hAnsi="TimesNewRomanPSMT" w:cs="TimesNewRomanPSMT"/>
        </w:rPr>
        <w:t xml:space="preserve">(1997). </w:t>
      </w:r>
      <w:r w:rsidR="00DF376C">
        <w:rPr>
          <w:rFonts w:ascii="TimesNewRomanPSMT" w:hAnsi="TimesNewRomanPSMT" w:cs="TimesNewRomanPSMT"/>
          <w:i/>
        </w:rPr>
        <w:t>Being there: Putting brain, body, and world together a</w:t>
      </w:r>
      <w:r w:rsidR="00DF376C" w:rsidRPr="00A10ED4">
        <w:rPr>
          <w:rFonts w:ascii="TimesNewRomanPSMT" w:hAnsi="TimesNewRomanPSMT" w:cs="TimesNewRomanPSMT"/>
          <w:i/>
        </w:rPr>
        <w:t>gain</w:t>
      </w:r>
      <w:r w:rsidR="00DF376C" w:rsidRPr="00A10ED4">
        <w:rPr>
          <w:rFonts w:ascii="TimesNewRomanPSMT" w:hAnsi="TimesNewRomanPSMT" w:cs="TimesNewRomanPSMT"/>
        </w:rPr>
        <w:t>. Cambridge, MA: MIT Press.</w:t>
      </w:r>
    </w:p>
    <w:p w14:paraId="1666FFA9"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086AB1D1" w14:textId="77777777" w:rsidR="00DF376C" w:rsidRPr="00F2395D" w:rsidRDefault="00DF376C" w:rsidP="00DF376C">
      <w:pPr>
        <w:widowControl w:val="0"/>
        <w:autoSpaceDE w:val="0"/>
        <w:autoSpaceDN w:val="0"/>
        <w:adjustRightInd w:val="0"/>
        <w:spacing w:after="0"/>
        <w:rPr>
          <w:rFonts w:ascii="TimesNewRomanPSMT" w:hAnsi="TimesNewRomanPSMT" w:cs="TimesNewRomanPSMT"/>
        </w:rPr>
      </w:pPr>
      <w:r w:rsidRPr="00F2395D">
        <w:rPr>
          <w:rFonts w:ascii="TimesNewRomanPSMT" w:hAnsi="TimesNewRomanPSMT" w:cs="TimesNewRomanPSMT"/>
        </w:rPr>
        <w:t xml:space="preserve">Clark, A. (2008). </w:t>
      </w:r>
      <w:r w:rsidRPr="00F2395D">
        <w:rPr>
          <w:rFonts w:ascii="TimesNewRomanPSMT" w:hAnsi="TimesNewRomanPSMT" w:cs="TimesNewRomanPSMT"/>
          <w:i/>
        </w:rPr>
        <w:t>Supersizing the mind: Embodiment, action, and cognitive extension</w:t>
      </w:r>
      <w:r w:rsidRPr="00F2395D">
        <w:rPr>
          <w:rFonts w:ascii="TimesNewRomanPSMT" w:hAnsi="TimesNewRomanPSMT" w:cs="TimesNewRomanPSMT"/>
        </w:rPr>
        <w:t xml:space="preserve">. </w:t>
      </w:r>
    </w:p>
    <w:p w14:paraId="003453FB" w14:textId="77777777" w:rsidR="00DF376C" w:rsidRPr="00F2395D" w:rsidRDefault="00DF376C" w:rsidP="00DF376C">
      <w:pPr>
        <w:widowControl w:val="0"/>
        <w:autoSpaceDE w:val="0"/>
        <w:autoSpaceDN w:val="0"/>
        <w:adjustRightInd w:val="0"/>
        <w:spacing w:after="0"/>
        <w:rPr>
          <w:rFonts w:ascii="TimesNewRomanPSMT" w:hAnsi="TimesNewRomanPSMT" w:cs="TimesNewRomanPSMT"/>
        </w:rPr>
      </w:pPr>
      <w:r w:rsidRPr="00F2395D">
        <w:rPr>
          <w:rFonts w:ascii="TimesNewRomanPSMT" w:hAnsi="TimesNewRomanPSMT" w:cs="TimesNewRomanPSMT"/>
        </w:rPr>
        <w:t>New York: Oxford University Press.</w:t>
      </w:r>
    </w:p>
    <w:p w14:paraId="0DEC97B6" w14:textId="3149CC32" w:rsidR="00DF376C" w:rsidRDefault="00DF376C" w:rsidP="00DF376C">
      <w:pPr>
        <w:widowControl w:val="0"/>
        <w:autoSpaceDE w:val="0"/>
        <w:autoSpaceDN w:val="0"/>
        <w:adjustRightInd w:val="0"/>
        <w:spacing w:after="0"/>
        <w:rPr>
          <w:rFonts w:ascii="TimesNewRomanPSMT" w:hAnsi="TimesNewRomanPSMT" w:cs="TimesNewRomanPSMT"/>
        </w:rPr>
      </w:pPr>
    </w:p>
    <w:p w14:paraId="4884CA67" w14:textId="41CB52AC" w:rsidR="00DF376C" w:rsidRPr="004F3392" w:rsidRDefault="00DF376C" w:rsidP="00DF376C">
      <w:pPr>
        <w:pStyle w:val="Standard"/>
      </w:pPr>
      <w:r>
        <w:rPr>
          <w:bCs/>
        </w:rPr>
        <w:t xml:space="preserve">Clark, A. (2011). Finding the mind. </w:t>
      </w:r>
      <w:r w:rsidRPr="009E31CA">
        <w:rPr>
          <w:bCs/>
          <w:i/>
        </w:rPr>
        <w:t>Philosophical Studies</w:t>
      </w:r>
      <w:r w:rsidRPr="009E31CA">
        <w:rPr>
          <w:bCs/>
        </w:rPr>
        <w:t xml:space="preserve"> </w:t>
      </w:r>
      <w:r>
        <w:rPr>
          <w:bCs/>
        </w:rPr>
        <w:t>152</w:t>
      </w:r>
      <w:r w:rsidR="006A4E76">
        <w:rPr>
          <w:bCs/>
        </w:rPr>
        <w:t>:</w:t>
      </w:r>
      <w:r>
        <w:rPr>
          <w:bCs/>
        </w:rPr>
        <w:t xml:space="preserve"> </w:t>
      </w:r>
      <w:r w:rsidRPr="009E31CA">
        <w:rPr>
          <w:bCs/>
        </w:rPr>
        <w:t>447–461</w:t>
      </w:r>
      <w:r>
        <w:rPr>
          <w:bCs/>
        </w:rPr>
        <w:t>.</w:t>
      </w:r>
    </w:p>
    <w:p w14:paraId="10365BBE" w14:textId="6E3EB029" w:rsidR="00F00706" w:rsidRPr="00563774" w:rsidRDefault="00DF376C" w:rsidP="00563774">
      <w:pPr>
        <w:pStyle w:val="Standard"/>
      </w:pPr>
      <w:r w:rsidRPr="00CD7B39">
        <w:t>Clark, A.,</w:t>
      </w:r>
      <w:r>
        <w:t xml:space="preserve"> and D. Chalmers</w:t>
      </w:r>
      <w:r w:rsidRPr="00CD7B39">
        <w:t xml:space="preserve"> (1998). The extended mind. </w:t>
      </w:r>
      <w:r w:rsidRPr="00CD7B39">
        <w:rPr>
          <w:i/>
        </w:rPr>
        <w:t>Analysis</w:t>
      </w:r>
      <w:r w:rsidR="0092201D">
        <w:t xml:space="preserve"> 58</w:t>
      </w:r>
      <w:r w:rsidR="006A4E76">
        <w:t xml:space="preserve">: </w:t>
      </w:r>
      <w:r w:rsidR="0092201D">
        <w:t>7–19.</w:t>
      </w:r>
    </w:p>
    <w:p w14:paraId="552BFE2C" w14:textId="5A040930" w:rsidR="00F00706" w:rsidRPr="0095212E" w:rsidRDefault="00F00706"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lastRenderedPageBreak/>
        <w:t xml:space="preserve">De Brigard, F. (2017). </w:t>
      </w:r>
      <w:r w:rsidR="0095212E">
        <w:rPr>
          <w:rFonts w:ascii="TimesNewRomanPSMT" w:hAnsi="TimesNewRomanPSMT" w:cs="TimesNewRomanPSMT"/>
        </w:rPr>
        <w:t>Cognitive s</w:t>
      </w:r>
      <w:r>
        <w:rPr>
          <w:rFonts w:ascii="TimesNewRomanPSMT" w:hAnsi="TimesNewRomanPSMT" w:cs="TimesNewRomanPSMT"/>
        </w:rPr>
        <w:t xml:space="preserve">ystems and </w:t>
      </w:r>
      <w:r w:rsidR="0095212E">
        <w:rPr>
          <w:rFonts w:ascii="TimesNewRomanPSMT" w:hAnsi="TimesNewRomanPSMT" w:cs="TimesNewRomanPSMT"/>
        </w:rPr>
        <w:t xml:space="preserve">the changing brain. </w:t>
      </w:r>
      <w:r w:rsidR="0095212E">
        <w:rPr>
          <w:rFonts w:ascii="TimesNewRomanPSMT" w:hAnsi="TimesNewRomanPSMT" w:cs="TimesNewRomanPSMT"/>
          <w:i/>
        </w:rPr>
        <w:t>Philosophical Explorations</w:t>
      </w:r>
      <w:r w:rsidR="0095212E">
        <w:rPr>
          <w:rFonts w:ascii="TimesNewRomanPSMT" w:hAnsi="TimesNewRomanPSMT" w:cs="TimesNewRomanPSMT"/>
        </w:rPr>
        <w:t xml:space="preserve"> 20 (2): 224–241.</w:t>
      </w:r>
    </w:p>
    <w:p w14:paraId="32A80D95" w14:textId="77777777" w:rsidR="00F00706" w:rsidRDefault="00F00706" w:rsidP="00DF376C">
      <w:pPr>
        <w:widowControl w:val="0"/>
        <w:autoSpaceDE w:val="0"/>
        <w:autoSpaceDN w:val="0"/>
        <w:adjustRightInd w:val="0"/>
        <w:spacing w:after="0"/>
        <w:rPr>
          <w:rFonts w:ascii="TimesNewRomanPSMT" w:hAnsi="TimesNewRomanPSMT" w:cs="TimesNewRomanPSMT"/>
        </w:rPr>
      </w:pPr>
    </w:p>
    <w:p w14:paraId="2D70DA73" w14:textId="3CDD4895" w:rsidR="00DF376C" w:rsidRDefault="00DF376C" w:rsidP="00DF376C">
      <w:pPr>
        <w:widowControl w:val="0"/>
        <w:autoSpaceDE w:val="0"/>
        <w:autoSpaceDN w:val="0"/>
        <w:adjustRightInd w:val="0"/>
        <w:spacing w:after="0"/>
        <w:rPr>
          <w:rFonts w:ascii="TimesNewRomanPSMT" w:hAnsi="TimesNewRomanPSMT" w:cs="TimesNewRomanPSMT"/>
        </w:rPr>
      </w:pPr>
      <w:r w:rsidRPr="00D97523">
        <w:rPr>
          <w:rFonts w:ascii="TimesNewRomanPSMT" w:hAnsi="TimesNewRomanPSMT" w:cs="TimesNewRomanPSMT"/>
        </w:rPr>
        <w:t xml:space="preserve">Dennett, D. (1991). </w:t>
      </w:r>
      <w:r>
        <w:rPr>
          <w:rFonts w:ascii="TimesNewRomanPSMT" w:hAnsi="TimesNewRomanPSMT" w:cs="TimesNewRomanPSMT"/>
          <w:i/>
          <w:iCs/>
        </w:rPr>
        <w:t>Consciousness e</w:t>
      </w:r>
      <w:r w:rsidRPr="00D97523">
        <w:rPr>
          <w:rFonts w:ascii="TimesNewRomanPSMT" w:hAnsi="TimesNewRomanPSMT" w:cs="TimesNewRomanPSMT"/>
          <w:i/>
          <w:iCs/>
        </w:rPr>
        <w:t>xplained</w:t>
      </w:r>
      <w:r w:rsidRPr="00D97523">
        <w:rPr>
          <w:rFonts w:ascii="TimesNewRomanPSMT" w:hAnsi="TimesNewRomanPSMT" w:cs="TimesNewRomanPSMT"/>
        </w:rPr>
        <w:t>. Boston, MA: Little, Brown and Company.</w:t>
      </w:r>
    </w:p>
    <w:p w14:paraId="5D793615" w14:textId="320418C4" w:rsidR="00DF376C" w:rsidRDefault="00DF376C" w:rsidP="00DF376C">
      <w:pPr>
        <w:widowControl w:val="0"/>
        <w:autoSpaceDE w:val="0"/>
        <w:autoSpaceDN w:val="0"/>
        <w:adjustRightInd w:val="0"/>
        <w:spacing w:after="0"/>
        <w:rPr>
          <w:rFonts w:ascii="TimesNewRomanPSMT" w:hAnsi="TimesNewRomanPSMT" w:cs="TimesNewRomanPSMT"/>
        </w:rPr>
      </w:pPr>
    </w:p>
    <w:p w14:paraId="6236E6C6" w14:textId="6D59F460" w:rsidR="0095212E" w:rsidRDefault="0095212E" w:rsidP="00DF376C">
      <w:pPr>
        <w:widowControl w:val="0"/>
        <w:autoSpaceDE w:val="0"/>
        <w:autoSpaceDN w:val="0"/>
        <w:adjustRightInd w:val="0"/>
        <w:spacing w:after="0"/>
        <w:rPr>
          <w:rFonts w:ascii="TimesNewRomanPSMT" w:hAnsi="TimesNewRomanPSMT" w:cs="TimesNewRomanPSMT"/>
        </w:rPr>
      </w:pPr>
      <w:r w:rsidRPr="0095212E">
        <w:rPr>
          <w:rFonts w:ascii="TimesNewRomanPSMT" w:hAnsi="TimesNewRomanPSMT" w:cs="TimesNewRomanPSMT"/>
        </w:rPr>
        <w:t>Evans, J</w:t>
      </w:r>
      <w:r w:rsidR="00415056">
        <w:rPr>
          <w:rFonts w:ascii="TimesNewRomanPSMT" w:hAnsi="TimesNewRomanPSMT" w:cs="TimesNewRomanPSMT"/>
        </w:rPr>
        <w:t>.</w:t>
      </w:r>
      <w:r w:rsidRPr="0095212E">
        <w:rPr>
          <w:rFonts w:ascii="TimesNewRomanPSMT" w:hAnsi="TimesNewRomanPSMT" w:cs="TimesNewRomanPSMT"/>
        </w:rPr>
        <w:t xml:space="preserve"> St. B. T. and K</w:t>
      </w:r>
      <w:r w:rsidR="00415056">
        <w:rPr>
          <w:rFonts w:ascii="TimesNewRomanPSMT" w:hAnsi="TimesNewRomanPSMT" w:cs="TimesNewRomanPSMT"/>
        </w:rPr>
        <w:t>.</w:t>
      </w:r>
      <w:r w:rsidRPr="0095212E">
        <w:rPr>
          <w:rFonts w:ascii="TimesNewRomanPSMT" w:hAnsi="TimesNewRomanPSMT" w:cs="TimesNewRomanPSMT"/>
        </w:rPr>
        <w:t xml:space="preserve"> Frankish (eds.). </w:t>
      </w:r>
      <w:r>
        <w:rPr>
          <w:rFonts w:ascii="TimesNewRomanPSMT" w:hAnsi="TimesNewRomanPSMT" w:cs="TimesNewRomanPSMT"/>
        </w:rPr>
        <w:t>(</w:t>
      </w:r>
      <w:r w:rsidRPr="0095212E">
        <w:rPr>
          <w:rFonts w:ascii="TimesNewRomanPSMT" w:hAnsi="TimesNewRomanPSMT" w:cs="TimesNewRomanPSMT"/>
        </w:rPr>
        <w:t>2009</w:t>
      </w:r>
      <w:r>
        <w:rPr>
          <w:rFonts w:ascii="TimesNewRomanPSMT" w:hAnsi="TimesNewRomanPSMT" w:cs="TimesNewRomanPSMT"/>
        </w:rPr>
        <w:t>)</w:t>
      </w:r>
      <w:r w:rsidRPr="0095212E">
        <w:rPr>
          <w:rFonts w:ascii="TimesNewRomanPSMT" w:hAnsi="TimesNewRomanPSMT" w:cs="TimesNewRomanPSMT"/>
        </w:rPr>
        <w:t xml:space="preserve">. </w:t>
      </w:r>
      <w:r>
        <w:rPr>
          <w:rFonts w:ascii="TimesNewRomanPSMT" w:hAnsi="TimesNewRomanPSMT" w:cs="TimesNewRomanPSMT"/>
          <w:i/>
        </w:rPr>
        <w:t>In two m</w:t>
      </w:r>
      <w:r w:rsidRPr="0095212E">
        <w:rPr>
          <w:rFonts w:ascii="TimesNewRomanPSMT" w:hAnsi="TimesNewRomanPSMT" w:cs="TimesNewRomanPSMT"/>
          <w:i/>
        </w:rPr>
        <w:t>inds: Du</w:t>
      </w:r>
      <w:r>
        <w:rPr>
          <w:rFonts w:ascii="TimesNewRomanPSMT" w:hAnsi="TimesNewRomanPSMT" w:cs="TimesNewRomanPSMT"/>
          <w:i/>
        </w:rPr>
        <w:t>al processes and b</w:t>
      </w:r>
      <w:r w:rsidRPr="0095212E">
        <w:rPr>
          <w:rFonts w:ascii="TimesNewRomanPSMT" w:hAnsi="TimesNewRomanPSMT" w:cs="TimesNewRomanPSMT"/>
          <w:i/>
        </w:rPr>
        <w:t>eyond</w:t>
      </w:r>
      <w:r>
        <w:rPr>
          <w:rFonts w:ascii="TimesNewRomanPSMT" w:hAnsi="TimesNewRomanPSMT" w:cs="TimesNewRomanPSMT"/>
          <w:i/>
        </w:rPr>
        <w:t>.</w:t>
      </w:r>
      <w:r w:rsidRPr="0095212E">
        <w:rPr>
          <w:rFonts w:ascii="TimesNewRomanPSMT" w:hAnsi="TimesNewRomanPSMT" w:cs="TimesNewRomanPSMT"/>
        </w:rPr>
        <w:t xml:space="preserve"> </w:t>
      </w:r>
      <w:r>
        <w:rPr>
          <w:rFonts w:ascii="TimesNewRomanPSMT" w:hAnsi="TimesNewRomanPSMT" w:cs="TimesNewRomanPSMT"/>
        </w:rPr>
        <w:t xml:space="preserve">Oxford: </w:t>
      </w:r>
      <w:r w:rsidRPr="0095212E">
        <w:rPr>
          <w:rFonts w:ascii="TimesNewRomanPSMT" w:hAnsi="TimesNewRomanPSMT" w:cs="TimesNewRomanPSMT"/>
        </w:rPr>
        <w:t>Oxford University Press.</w:t>
      </w:r>
    </w:p>
    <w:p w14:paraId="13BB73DC" w14:textId="19588535" w:rsidR="00CF5F72" w:rsidRDefault="00CF5F72" w:rsidP="00DF376C">
      <w:pPr>
        <w:widowControl w:val="0"/>
        <w:autoSpaceDE w:val="0"/>
        <w:autoSpaceDN w:val="0"/>
        <w:adjustRightInd w:val="0"/>
        <w:spacing w:after="0"/>
        <w:rPr>
          <w:rFonts w:ascii="TimesNewRomanPSMT" w:hAnsi="TimesNewRomanPSMT" w:cs="TimesNewRomanPSMT"/>
        </w:rPr>
      </w:pPr>
    </w:p>
    <w:p w14:paraId="73FB0443" w14:textId="0763FE44" w:rsidR="00CF5F72" w:rsidRDefault="00CF5F72" w:rsidP="00CF5F72">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Fodor, J. A. (1974)</w:t>
      </w:r>
      <w:r w:rsidR="00415056">
        <w:rPr>
          <w:rFonts w:ascii="TimesNewRomanPSMT" w:hAnsi="TimesNewRomanPSMT" w:cs="TimesNewRomanPSMT"/>
        </w:rPr>
        <w:t>.</w:t>
      </w:r>
      <w:r>
        <w:rPr>
          <w:rFonts w:ascii="TimesNewRomanPSMT" w:hAnsi="TimesNewRomanPSMT" w:cs="TimesNewRomanPSMT"/>
        </w:rPr>
        <w:t xml:space="preserve"> </w:t>
      </w:r>
      <w:r w:rsidRPr="00CF5F72">
        <w:rPr>
          <w:rFonts w:ascii="TimesNewRomanPSMT" w:hAnsi="TimesNewRomanPSMT" w:cs="TimesNewRomanPSMT"/>
        </w:rPr>
        <w:t>Special</w:t>
      </w:r>
      <w:r>
        <w:rPr>
          <w:rFonts w:ascii="TimesNewRomanPSMT" w:hAnsi="TimesNewRomanPSMT" w:cs="TimesNewRomanPSMT"/>
        </w:rPr>
        <w:t xml:space="preserve"> s</w:t>
      </w:r>
      <w:r w:rsidRPr="00CF5F72">
        <w:rPr>
          <w:rFonts w:ascii="TimesNewRomanPSMT" w:hAnsi="TimesNewRomanPSMT" w:cs="TimesNewRomanPSMT"/>
        </w:rPr>
        <w:t xml:space="preserve">ciences (Or: The </w:t>
      </w:r>
      <w:r>
        <w:rPr>
          <w:rFonts w:ascii="TimesNewRomanPSMT" w:hAnsi="TimesNewRomanPSMT" w:cs="TimesNewRomanPSMT"/>
        </w:rPr>
        <w:t>d</w:t>
      </w:r>
      <w:r w:rsidRPr="00CF5F72">
        <w:rPr>
          <w:rFonts w:ascii="TimesNewRomanPSMT" w:hAnsi="TimesNewRomanPSMT" w:cs="TimesNewRomanPSMT"/>
        </w:rPr>
        <w:t xml:space="preserve">isunity of </w:t>
      </w:r>
      <w:r>
        <w:rPr>
          <w:rFonts w:ascii="TimesNewRomanPSMT" w:hAnsi="TimesNewRomanPSMT" w:cs="TimesNewRomanPSMT"/>
        </w:rPr>
        <w:t>s</w:t>
      </w:r>
      <w:r w:rsidRPr="00CF5F72">
        <w:rPr>
          <w:rFonts w:ascii="TimesNewRomanPSMT" w:hAnsi="TimesNewRomanPSMT" w:cs="TimesNewRomanPSMT"/>
        </w:rPr>
        <w:t xml:space="preserve">cience as a </w:t>
      </w:r>
      <w:r>
        <w:rPr>
          <w:rFonts w:ascii="TimesNewRomanPSMT" w:hAnsi="TimesNewRomanPSMT" w:cs="TimesNewRomanPSMT"/>
        </w:rPr>
        <w:t>w</w:t>
      </w:r>
      <w:r w:rsidRPr="00CF5F72">
        <w:rPr>
          <w:rFonts w:ascii="TimesNewRomanPSMT" w:hAnsi="TimesNewRomanPSMT" w:cs="TimesNewRomanPSMT"/>
        </w:rPr>
        <w:t xml:space="preserve">orking </w:t>
      </w:r>
      <w:r>
        <w:rPr>
          <w:rFonts w:ascii="TimesNewRomanPSMT" w:hAnsi="TimesNewRomanPSMT" w:cs="TimesNewRomanPSMT"/>
        </w:rPr>
        <w:t>h</w:t>
      </w:r>
      <w:r w:rsidRPr="00CF5F72">
        <w:rPr>
          <w:rFonts w:ascii="TimesNewRomanPSMT" w:hAnsi="TimesNewRomanPSMT" w:cs="TimesNewRomanPSMT"/>
        </w:rPr>
        <w:t>ypothesis)</w:t>
      </w:r>
      <w:r>
        <w:rPr>
          <w:rFonts w:ascii="TimesNewRomanPSMT" w:hAnsi="TimesNewRomanPSMT" w:cs="TimesNewRomanPSMT"/>
        </w:rPr>
        <w:t xml:space="preserve">. </w:t>
      </w:r>
      <w:r w:rsidRPr="00CF5F72">
        <w:rPr>
          <w:rFonts w:ascii="TimesNewRomanPSMT" w:hAnsi="TimesNewRomanPSMT" w:cs="TimesNewRomanPSMT"/>
          <w:i/>
        </w:rPr>
        <w:t>Synthese</w:t>
      </w:r>
      <w:r w:rsidRPr="00CF5F72">
        <w:rPr>
          <w:rFonts w:ascii="TimesNewRomanPSMT" w:hAnsi="TimesNewRomanPSMT" w:cs="TimesNewRomanPSMT"/>
        </w:rPr>
        <w:t xml:space="preserve"> 28 </w:t>
      </w:r>
      <w:r>
        <w:rPr>
          <w:rFonts w:ascii="TimesNewRomanPSMT" w:hAnsi="TimesNewRomanPSMT" w:cs="TimesNewRomanPSMT"/>
        </w:rPr>
        <w:t>(</w:t>
      </w:r>
      <w:r w:rsidRPr="00CF5F72">
        <w:rPr>
          <w:rFonts w:ascii="TimesNewRomanPSMT" w:hAnsi="TimesNewRomanPSMT" w:cs="TimesNewRomanPSMT"/>
        </w:rPr>
        <w:t>2</w:t>
      </w:r>
      <w:r>
        <w:rPr>
          <w:rFonts w:ascii="TimesNewRomanPSMT" w:hAnsi="TimesNewRomanPSMT" w:cs="TimesNewRomanPSMT"/>
        </w:rPr>
        <w:t>):</w:t>
      </w:r>
      <w:r w:rsidRPr="00CF5F72">
        <w:rPr>
          <w:rFonts w:ascii="TimesNewRomanPSMT" w:hAnsi="TimesNewRomanPSMT" w:cs="TimesNewRomanPSMT"/>
        </w:rPr>
        <w:t xml:space="preserve"> 97</w:t>
      </w:r>
      <w:r>
        <w:rPr>
          <w:rFonts w:ascii="TimesNewRomanPSMT" w:hAnsi="TimesNewRomanPSMT" w:cs="TimesNewRomanPSMT"/>
        </w:rPr>
        <w:t>–</w:t>
      </w:r>
      <w:r w:rsidRPr="00CF5F72">
        <w:rPr>
          <w:rFonts w:ascii="TimesNewRomanPSMT" w:hAnsi="TimesNewRomanPSMT" w:cs="TimesNewRomanPSMT"/>
        </w:rPr>
        <w:t>115</w:t>
      </w:r>
      <w:r>
        <w:rPr>
          <w:rFonts w:ascii="TimesNewRomanPSMT" w:hAnsi="TimesNewRomanPSMT" w:cs="TimesNewRomanPSMT"/>
        </w:rPr>
        <w:t>.</w:t>
      </w:r>
    </w:p>
    <w:p w14:paraId="0D73427E" w14:textId="77777777" w:rsidR="0095212E" w:rsidRDefault="0095212E" w:rsidP="00DF376C">
      <w:pPr>
        <w:widowControl w:val="0"/>
        <w:autoSpaceDE w:val="0"/>
        <w:autoSpaceDN w:val="0"/>
        <w:adjustRightInd w:val="0"/>
        <w:spacing w:after="0"/>
        <w:rPr>
          <w:rFonts w:ascii="TimesNewRomanPSMT" w:hAnsi="TimesNewRomanPSMT" w:cs="TimesNewRomanPSMT"/>
        </w:rPr>
      </w:pPr>
    </w:p>
    <w:p w14:paraId="0E1CA856" w14:textId="77777777" w:rsidR="00DF376C" w:rsidRPr="004F3392" w:rsidRDefault="00DF376C"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xml:space="preserve">Fodor, J. (1983). </w:t>
      </w:r>
      <w:r>
        <w:rPr>
          <w:rFonts w:ascii="TimesNewRomanPSMT" w:hAnsi="TimesNewRomanPSMT" w:cs="TimesNewRomanPSMT"/>
          <w:i/>
        </w:rPr>
        <w:t>The modularity of mind: An essay on faculty psychology</w:t>
      </w:r>
      <w:r>
        <w:rPr>
          <w:rFonts w:ascii="TimesNewRomanPSMT" w:hAnsi="TimesNewRomanPSMT" w:cs="TimesNewRomanPSMT"/>
        </w:rPr>
        <w:t>. Cambridge, MA: MIT Press.</w:t>
      </w:r>
    </w:p>
    <w:p w14:paraId="7BA85329" w14:textId="50C02A47" w:rsidR="00712355" w:rsidRDefault="00712355" w:rsidP="00DF376C">
      <w:pPr>
        <w:widowControl w:val="0"/>
        <w:autoSpaceDE w:val="0"/>
        <w:autoSpaceDN w:val="0"/>
        <w:adjustRightInd w:val="0"/>
        <w:spacing w:after="0"/>
        <w:rPr>
          <w:rFonts w:ascii="TimesNewRomanPSMT" w:hAnsi="TimesNewRomanPSMT" w:cs="TimesNewRomanPSMT"/>
        </w:rPr>
      </w:pPr>
    </w:p>
    <w:p w14:paraId="7722C852" w14:textId="1DBFF769" w:rsidR="0095212E" w:rsidRDefault="0095212E"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xml:space="preserve">Gendler, T. (2008). </w:t>
      </w:r>
      <w:proofErr w:type="spellStart"/>
      <w:r>
        <w:rPr>
          <w:rFonts w:ascii="TimesNewRomanPSMT" w:hAnsi="TimesNewRomanPSMT" w:cs="TimesNewRomanPSMT"/>
        </w:rPr>
        <w:t>Alief</w:t>
      </w:r>
      <w:proofErr w:type="spellEnd"/>
      <w:r>
        <w:rPr>
          <w:rFonts w:ascii="TimesNewRomanPSMT" w:hAnsi="TimesNewRomanPSMT" w:cs="TimesNewRomanPSMT"/>
        </w:rPr>
        <w:t xml:space="preserve"> and belief.</w:t>
      </w:r>
      <w:r w:rsidRPr="0095212E">
        <w:rPr>
          <w:rFonts w:ascii="TimesNewRomanPSMT" w:hAnsi="TimesNewRomanPSMT" w:cs="TimesNewRomanPSMT"/>
        </w:rPr>
        <w:t xml:space="preserve"> </w:t>
      </w:r>
      <w:r w:rsidRPr="0095212E">
        <w:rPr>
          <w:rFonts w:ascii="TimesNewRomanPSMT" w:hAnsi="TimesNewRomanPSMT" w:cs="TimesNewRomanPSMT"/>
          <w:i/>
        </w:rPr>
        <w:t xml:space="preserve">Journal of Philosophy </w:t>
      </w:r>
      <w:r w:rsidRPr="0095212E">
        <w:rPr>
          <w:rFonts w:ascii="TimesNewRomanPSMT" w:hAnsi="TimesNewRomanPSMT" w:cs="TimesNewRomanPSMT"/>
        </w:rPr>
        <w:t>105 (10): 634–663.</w:t>
      </w:r>
    </w:p>
    <w:p w14:paraId="235D988A" w14:textId="77777777" w:rsidR="0095212E" w:rsidRDefault="0095212E" w:rsidP="00DF376C">
      <w:pPr>
        <w:widowControl w:val="0"/>
        <w:autoSpaceDE w:val="0"/>
        <w:autoSpaceDN w:val="0"/>
        <w:adjustRightInd w:val="0"/>
        <w:spacing w:after="0"/>
        <w:rPr>
          <w:rFonts w:ascii="TimesNewRomanPSMT" w:hAnsi="TimesNewRomanPSMT" w:cs="TimesNewRomanPSMT"/>
        </w:rPr>
      </w:pPr>
    </w:p>
    <w:p w14:paraId="54F7C23D" w14:textId="4D988126" w:rsidR="00DF376C" w:rsidRDefault="00DF376C" w:rsidP="00DF376C">
      <w:pPr>
        <w:widowControl w:val="0"/>
        <w:autoSpaceDE w:val="0"/>
        <w:autoSpaceDN w:val="0"/>
        <w:adjustRightInd w:val="0"/>
        <w:spacing w:after="0"/>
        <w:rPr>
          <w:rFonts w:ascii="TimesNewRomanPSMT" w:hAnsi="TimesNewRomanPSMT" w:cs="TimesNewRomanPSMT"/>
        </w:rPr>
      </w:pPr>
      <w:r w:rsidRPr="00D35E12">
        <w:rPr>
          <w:rFonts w:ascii="TimesNewRomanPSMT" w:hAnsi="TimesNewRomanPSMT" w:cs="TimesNewRomanPSMT"/>
        </w:rPr>
        <w:t xml:space="preserve">Giere, R. </w:t>
      </w:r>
      <w:r>
        <w:rPr>
          <w:rFonts w:ascii="TimesNewRomanPSMT" w:hAnsi="TimesNewRomanPSMT" w:cs="TimesNewRomanPSMT"/>
        </w:rPr>
        <w:t>(</w:t>
      </w:r>
      <w:r w:rsidRPr="00D35E12">
        <w:rPr>
          <w:rFonts w:ascii="TimesNewRomanPSMT" w:hAnsi="TimesNewRomanPSMT" w:cs="TimesNewRomanPSMT"/>
        </w:rPr>
        <w:t>2006</w:t>
      </w:r>
      <w:r>
        <w:rPr>
          <w:rFonts w:ascii="TimesNewRomanPSMT" w:hAnsi="TimesNewRomanPSMT" w:cs="TimesNewRomanPSMT"/>
        </w:rPr>
        <w:t>)</w:t>
      </w:r>
      <w:r w:rsidRPr="00D35E12">
        <w:rPr>
          <w:rFonts w:ascii="TimesNewRomanPSMT" w:hAnsi="TimesNewRomanPSMT" w:cs="TimesNewRomanPSMT"/>
        </w:rPr>
        <w:t xml:space="preserve">. The role of agency in distributed cognitive systems. </w:t>
      </w:r>
      <w:r w:rsidRPr="00D35E12">
        <w:rPr>
          <w:rFonts w:ascii="TimesNewRomanPSMT" w:hAnsi="TimesNewRomanPSMT" w:cs="TimesNewRomanPSMT"/>
          <w:i/>
        </w:rPr>
        <w:t>Philosophy of Science</w:t>
      </w:r>
      <w:r w:rsidRPr="00D35E12">
        <w:rPr>
          <w:rFonts w:ascii="TimesNewRomanPSMT" w:hAnsi="TimesNewRomanPSMT" w:cs="TimesNewRomanPSMT"/>
        </w:rPr>
        <w:t xml:space="preserve"> 73: 710–719.</w:t>
      </w:r>
    </w:p>
    <w:p w14:paraId="6817E41A" w14:textId="77777777" w:rsidR="005236B5" w:rsidRPr="001F70F1" w:rsidRDefault="005236B5" w:rsidP="001F70F1">
      <w:pPr>
        <w:widowControl w:val="0"/>
        <w:autoSpaceDE w:val="0"/>
        <w:autoSpaceDN w:val="0"/>
        <w:adjustRightInd w:val="0"/>
        <w:spacing w:after="0"/>
        <w:rPr>
          <w:rFonts w:ascii="TimesNewRomanPSMT" w:hAnsi="TimesNewRomanPSMT" w:cs="TimesNewRomanPSMT"/>
        </w:rPr>
      </w:pPr>
    </w:p>
    <w:p w14:paraId="0E30AC62" w14:textId="7D77AB4A" w:rsidR="001F70F1" w:rsidRDefault="001F70F1" w:rsidP="001F70F1">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Gilbert, M. (2004). Collective epistemology.</w:t>
      </w:r>
      <w:r w:rsidRPr="001F70F1">
        <w:rPr>
          <w:rFonts w:ascii="TimesNewRomanPSMT" w:hAnsi="TimesNewRomanPSMT" w:cs="TimesNewRomanPSMT"/>
        </w:rPr>
        <w:t xml:space="preserve"> </w:t>
      </w:r>
      <w:r w:rsidRPr="001F70F1">
        <w:rPr>
          <w:rFonts w:ascii="TimesNewRomanPSMT" w:hAnsi="TimesNewRomanPSMT" w:cs="TimesNewRomanPSMT"/>
          <w:i/>
        </w:rPr>
        <w:t>Episteme: A Journal of Social Epistemology</w:t>
      </w:r>
      <w:r>
        <w:rPr>
          <w:rFonts w:ascii="TimesNewRomanPSMT" w:hAnsi="TimesNewRomanPSMT" w:cs="TimesNewRomanPSMT"/>
        </w:rPr>
        <w:t xml:space="preserve"> </w:t>
      </w:r>
      <w:r w:rsidRPr="001F70F1">
        <w:rPr>
          <w:rFonts w:ascii="TimesNewRomanPSMT" w:hAnsi="TimesNewRomanPSMT" w:cs="TimesNewRomanPSMT"/>
        </w:rPr>
        <w:t>1: 95–107.</w:t>
      </w:r>
    </w:p>
    <w:p w14:paraId="3FE37C7F"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152BE1EA" w14:textId="5E49B4F0" w:rsidR="00DF376C" w:rsidRDefault="00DF376C"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Goldstone, R., and T. Gureckis</w:t>
      </w:r>
      <w:r w:rsidR="002F32AA">
        <w:rPr>
          <w:rFonts w:ascii="TimesNewRomanPSMT" w:hAnsi="TimesNewRomanPSMT" w:cs="TimesNewRomanPSMT"/>
        </w:rPr>
        <w:t>.</w:t>
      </w:r>
      <w:r>
        <w:rPr>
          <w:rFonts w:ascii="TimesNewRomanPSMT" w:hAnsi="TimesNewRomanPSMT" w:cs="TimesNewRomanPSMT"/>
        </w:rPr>
        <w:t xml:space="preserve"> (2009). Collective b</w:t>
      </w:r>
      <w:r w:rsidRPr="00B65BF7">
        <w:rPr>
          <w:rFonts w:ascii="TimesNewRomanPSMT" w:hAnsi="TimesNewRomanPSMT" w:cs="TimesNewRomanPSMT"/>
        </w:rPr>
        <w:t>ehavior</w:t>
      </w:r>
      <w:r>
        <w:rPr>
          <w:rFonts w:ascii="TimesNewRomanPSMT" w:hAnsi="TimesNewRomanPSMT" w:cs="TimesNewRomanPSMT"/>
        </w:rPr>
        <w:t xml:space="preserve">. </w:t>
      </w:r>
      <w:r w:rsidRPr="00B65BF7">
        <w:rPr>
          <w:rFonts w:ascii="TimesNewRomanPSMT" w:hAnsi="TimesNewRomanPSMT" w:cs="TimesNewRomanPSMT"/>
          <w:i/>
        </w:rPr>
        <w:t>Topics in Cognitive Science</w:t>
      </w:r>
      <w:r>
        <w:rPr>
          <w:rFonts w:ascii="TimesNewRomanPSMT" w:hAnsi="TimesNewRomanPSMT" w:cs="TimesNewRomanPSMT"/>
        </w:rPr>
        <w:t xml:space="preserve"> 1:</w:t>
      </w:r>
      <w:r w:rsidRPr="00B65BF7">
        <w:rPr>
          <w:rFonts w:ascii="TimesNewRomanPSMT" w:hAnsi="TimesNewRomanPSMT" w:cs="TimesNewRomanPSMT"/>
        </w:rPr>
        <w:t xml:space="preserve"> 412–438</w:t>
      </w:r>
    </w:p>
    <w:p w14:paraId="6AD88DD3" w14:textId="10C5C460" w:rsidR="0095212E" w:rsidRDefault="0095212E" w:rsidP="00DF376C">
      <w:pPr>
        <w:widowControl w:val="0"/>
        <w:autoSpaceDE w:val="0"/>
        <w:autoSpaceDN w:val="0"/>
        <w:adjustRightInd w:val="0"/>
        <w:spacing w:after="0"/>
        <w:rPr>
          <w:rFonts w:ascii="TimesNewRomanPSMT" w:hAnsi="TimesNewRomanPSMT" w:cs="TimesNewRomanPSMT"/>
        </w:rPr>
      </w:pPr>
    </w:p>
    <w:p w14:paraId="0E0B5FEF" w14:textId="27B6878B" w:rsidR="0095212E" w:rsidRDefault="0095212E"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Goldst</w:t>
      </w:r>
      <w:r w:rsidR="001F70F1">
        <w:rPr>
          <w:rFonts w:ascii="TimesNewRomanPSMT" w:hAnsi="TimesNewRomanPSMT" w:cs="TimesNewRomanPSMT"/>
        </w:rPr>
        <w:t xml:space="preserve">one, R., and G. </w:t>
      </w:r>
      <w:proofErr w:type="spellStart"/>
      <w:r w:rsidR="001F70F1">
        <w:rPr>
          <w:rFonts w:ascii="TimesNewRomanPSMT" w:hAnsi="TimesNewRomanPSMT" w:cs="TimesNewRomanPSMT"/>
        </w:rPr>
        <w:t>Theiner</w:t>
      </w:r>
      <w:proofErr w:type="spellEnd"/>
      <w:r w:rsidR="001F70F1">
        <w:rPr>
          <w:rFonts w:ascii="TimesNewRomanPSMT" w:hAnsi="TimesNewRomanPSMT" w:cs="TimesNewRomanPSMT"/>
        </w:rPr>
        <w:t>. (2017). The multiple, interacting levels of cognitive systems (MILCS) perspective on group cognition.</w:t>
      </w:r>
      <w:r w:rsidR="001F70F1" w:rsidRPr="001F70F1">
        <w:rPr>
          <w:rFonts w:ascii="TimesNewRomanPSMT" w:hAnsi="TimesNewRomanPSMT" w:cs="TimesNewRomanPSMT"/>
        </w:rPr>
        <w:t xml:space="preserve"> </w:t>
      </w:r>
      <w:r w:rsidR="001F70F1" w:rsidRPr="001F70F1">
        <w:rPr>
          <w:rFonts w:ascii="TimesNewRomanPSMT" w:hAnsi="TimesNewRomanPSMT" w:cs="TimesNewRomanPSMT"/>
          <w:i/>
        </w:rPr>
        <w:t>Philosophical Psychology</w:t>
      </w:r>
      <w:r w:rsidR="001F70F1" w:rsidRPr="001F70F1">
        <w:rPr>
          <w:rFonts w:ascii="TimesNewRomanPSMT" w:hAnsi="TimesNewRomanPSMT" w:cs="TimesNewRomanPSMT"/>
        </w:rPr>
        <w:t xml:space="preserve"> 30</w:t>
      </w:r>
      <w:r w:rsidR="001F70F1">
        <w:rPr>
          <w:rFonts w:ascii="TimesNewRomanPSMT" w:hAnsi="TimesNewRomanPSMT" w:cs="TimesNewRomanPSMT"/>
        </w:rPr>
        <w:t xml:space="preserve"> (</w:t>
      </w:r>
      <w:r w:rsidR="001F70F1" w:rsidRPr="001F70F1">
        <w:rPr>
          <w:rFonts w:ascii="TimesNewRomanPSMT" w:hAnsi="TimesNewRomanPSMT" w:cs="TimesNewRomanPSMT"/>
        </w:rPr>
        <w:t>3</w:t>
      </w:r>
      <w:r w:rsidR="001F70F1">
        <w:rPr>
          <w:rFonts w:ascii="TimesNewRomanPSMT" w:hAnsi="TimesNewRomanPSMT" w:cs="TimesNewRomanPSMT"/>
        </w:rPr>
        <w:t>)</w:t>
      </w:r>
      <w:r w:rsidR="001F70F1" w:rsidRPr="001F70F1">
        <w:rPr>
          <w:rFonts w:ascii="TimesNewRomanPSMT" w:hAnsi="TimesNewRomanPSMT" w:cs="TimesNewRomanPSMT"/>
        </w:rPr>
        <w:t>: 338–372.</w:t>
      </w:r>
    </w:p>
    <w:p w14:paraId="207A95F9" w14:textId="19D826F5" w:rsidR="002F32AA" w:rsidRDefault="002F32AA" w:rsidP="00DF376C">
      <w:pPr>
        <w:widowControl w:val="0"/>
        <w:autoSpaceDE w:val="0"/>
        <w:autoSpaceDN w:val="0"/>
        <w:adjustRightInd w:val="0"/>
        <w:spacing w:after="0"/>
        <w:rPr>
          <w:rFonts w:ascii="TimesNewRomanPSMT" w:hAnsi="TimesNewRomanPSMT" w:cs="TimesNewRomanPSMT"/>
        </w:rPr>
      </w:pPr>
    </w:p>
    <w:p w14:paraId="145B5302" w14:textId="14A5D258" w:rsidR="002F32AA" w:rsidRDefault="002F32AA" w:rsidP="002F32AA">
      <w:pPr>
        <w:widowControl w:val="0"/>
        <w:autoSpaceDE w:val="0"/>
        <w:autoSpaceDN w:val="0"/>
        <w:adjustRightInd w:val="0"/>
        <w:spacing w:after="0"/>
        <w:rPr>
          <w:rFonts w:ascii="TimesNewRomanPSMT" w:hAnsi="TimesNewRomanPSMT" w:cs="TimesNewRomanPSMT"/>
        </w:rPr>
      </w:pPr>
      <w:r w:rsidRPr="002F32AA">
        <w:rPr>
          <w:rFonts w:ascii="TimesNewRomanPSMT" w:hAnsi="TimesNewRomanPSMT" w:cs="TimesNewRomanPSMT"/>
        </w:rPr>
        <w:t>Griffiths, T</w:t>
      </w:r>
      <w:r>
        <w:rPr>
          <w:rFonts w:ascii="TimesNewRomanPSMT" w:hAnsi="TimesNewRomanPSMT" w:cs="TimesNewRomanPSMT"/>
        </w:rPr>
        <w:t>.</w:t>
      </w:r>
      <w:r w:rsidRPr="002F32AA">
        <w:rPr>
          <w:rFonts w:ascii="TimesNewRomanPSMT" w:hAnsi="TimesNewRomanPSMT" w:cs="TimesNewRomanPSMT"/>
        </w:rPr>
        <w:t xml:space="preserve"> L., N</w:t>
      </w:r>
      <w:r>
        <w:rPr>
          <w:rFonts w:ascii="TimesNewRomanPSMT" w:hAnsi="TimesNewRomanPSMT" w:cs="TimesNewRomanPSMT"/>
        </w:rPr>
        <w:t>.</w:t>
      </w:r>
      <w:r w:rsidRPr="002F32AA">
        <w:rPr>
          <w:rFonts w:ascii="TimesNewRomanPSMT" w:hAnsi="TimesNewRomanPSMT" w:cs="TimesNewRomanPSMT"/>
        </w:rPr>
        <w:t xml:space="preserve"> </w:t>
      </w:r>
      <w:proofErr w:type="spellStart"/>
      <w:r w:rsidRPr="002F32AA">
        <w:rPr>
          <w:rFonts w:ascii="TimesNewRomanPSMT" w:hAnsi="TimesNewRomanPSMT" w:cs="TimesNewRomanPSMT"/>
        </w:rPr>
        <w:t>Chater</w:t>
      </w:r>
      <w:proofErr w:type="spellEnd"/>
      <w:r w:rsidRPr="002F32AA">
        <w:rPr>
          <w:rFonts w:ascii="TimesNewRomanPSMT" w:hAnsi="TimesNewRomanPSMT" w:cs="TimesNewRomanPSMT"/>
        </w:rPr>
        <w:t>, C</w:t>
      </w:r>
      <w:r>
        <w:rPr>
          <w:rFonts w:ascii="TimesNewRomanPSMT" w:hAnsi="TimesNewRomanPSMT" w:cs="TimesNewRomanPSMT"/>
        </w:rPr>
        <w:t>.</w:t>
      </w:r>
      <w:r w:rsidRPr="002F32AA">
        <w:rPr>
          <w:rFonts w:ascii="TimesNewRomanPSMT" w:hAnsi="TimesNewRomanPSMT" w:cs="TimesNewRomanPSMT"/>
        </w:rPr>
        <w:t xml:space="preserve"> Kemp, A</w:t>
      </w:r>
      <w:r>
        <w:rPr>
          <w:rFonts w:ascii="TimesNewRomanPSMT" w:hAnsi="TimesNewRomanPSMT" w:cs="TimesNewRomanPSMT"/>
        </w:rPr>
        <w:t>.</w:t>
      </w:r>
      <w:r w:rsidRPr="002F32AA">
        <w:rPr>
          <w:rFonts w:ascii="TimesNewRomanPSMT" w:hAnsi="TimesNewRomanPSMT" w:cs="TimesNewRomanPSMT"/>
        </w:rPr>
        <w:t xml:space="preserve"> </w:t>
      </w:r>
      <w:proofErr w:type="spellStart"/>
      <w:r w:rsidRPr="002F32AA">
        <w:rPr>
          <w:rFonts w:ascii="TimesNewRomanPSMT" w:hAnsi="TimesNewRomanPSMT" w:cs="TimesNewRomanPSMT"/>
        </w:rPr>
        <w:t>Perfors</w:t>
      </w:r>
      <w:proofErr w:type="spellEnd"/>
      <w:r w:rsidRPr="002F32AA">
        <w:rPr>
          <w:rFonts w:ascii="TimesNewRomanPSMT" w:hAnsi="TimesNewRomanPSMT" w:cs="TimesNewRomanPSMT"/>
        </w:rPr>
        <w:t>,</w:t>
      </w:r>
      <w:r>
        <w:rPr>
          <w:rFonts w:ascii="TimesNewRomanPSMT" w:hAnsi="TimesNewRomanPSMT" w:cs="TimesNewRomanPSMT"/>
        </w:rPr>
        <w:t xml:space="preserve"> </w:t>
      </w:r>
      <w:r w:rsidRPr="002F32AA">
        <w:rPr>
          <w:rFonts w:ascii="TimesNewRomanPSMT" w:hAnsi="TimesNewRomanPSMT" w:cs="TimesNewRomanPSMT"/>
        </w:rPr>
        <w:t>and J</w:t>
      </w:r>
      <w:r>
        <w:rPr>
          <w:rFonts w:ascii="TimesNewRomanPSMT" w:hAnsi="TimesNewRomanPSMT" w:cs="TimesNewRomanPSMT"/>
        </w:rPr>
        <w:t>.</w:t>
      </w:r>
      <w:r w:rsidRPr="002F32AA">
        <w:rPr>
          <w:rFonts w:ascii="TimesNewRomanPSMT" w:hAnsi="TimesNewRomanPSMT" w:cs="TimesNewRomanPSMT"/>
        </w:rPr>
        <w:t xml:space="preserve"> B. Tenenbaum. </w:t>
      </w:r>
      <w:r>
        <w:rPr>
          <w:rFonts w:ascii="TimesNewRomanPSMT" w:hAnsi="TimesNewRomanPSMT" w:cs="TimesNewRomanPSMT"/>
        </w:rPr>
        <w:t>(</w:t>
      </w:r>
      <w:r w:rsidRPr="002F32AA">
        <w:rPr>
          <w:rFonts w:ascii="TimesNewRomanPSMT" w:hAnsi="TimesNewRomanPSMT" w:cs="TimesNewRomanPSMT"/>
        </w:rPr>
        <w:t>2010</w:t>
      </w:r>
      <w:r>
        <w:rPr>
          <w:rFonts w:ascii="TimesNewRomanPSMT" w:hAnsi="TimesNewRomanPSMT" w:cs="TimesNewRomanPSMT"/>
        </w:rPr>
        <w:t>)</w:t>
      </w:r>
      <w:r w:rsidRPr="002F32AA">
        <w:rPr>
          <w:rFonts w:ascii="TimesNewRomanPSMT" w:hAnsi="TimesNewRomanPSMT" w:cs="TimesNewRomanPSMT"/>
        </w:rPr>
        <w:t>.</w:t>
      </w:r>
      <w:r>
        <w:rPr>
          <w:rFonts w:ascii="TimesNewRomanPSMT" w:hAnsi="TimesNewRomanPSMT" w:cs="TimesNewRomanPSMT"/>
        </w:rPr>
        <w:t xml:space="preserve"> </w:t>
      </w:r>
      <w:r w:rsidRPr="002F32AA">
        <w:rPr>
          <w:rFonts w:ascii="TimesNewRomanPSMT" w:hAnsi="TimesNewRomanPSMT" w:cs="TimesNewRomanPSMT"/>
        </w:rPr>
        <w:t xml:space="preserve">Probabilistic </w:t>
      </w:r>
      <w:r>
        <w:rPr>
          <w:rFonts w:ascii="TimesNewRomanPSMT" w:hAnsi="TimesNewRomanPSMT" w:cs="TimesNewRomanPSMT"/>
        </w:rPr>
        <w:t>m</w:t>
      </w:r>
      <w:r w:rsidRPr="002F32AA">
        <w:rPr>
          <w:rFonts w:ascii="TimesNewRomanPSMT" w:hAnsi="TimesNewRomanPSMT" w:cs="TimesNewRomanPSMT"/>
        </w:rPr>
        <w:t>odels of</w:t>
      </w:r>
      <w:r>
        <w:rPr>
          <w:rFonts w:ascii="TimesNewRomanPSMT" w:hAnsi="TimesNewRomanPSMT" w:cs="TimesNewRomanPSMT"/>
        </w:rPr>
        <w:t xml:space="preserve"> c</w:t>
      </w:r>
      <w:r w:rsidRPr="002F32AA">
        <w:rPr>
          <w:rFonts w:ascii="TimesNewRomanPSMT" w:hAnsi="TimesNewRomanPSMT" w:cs="TimesNewRomanPSMT"/>
        </w:rPr>
        <w:t xml:space="preserve">ognition: Exploring </w:t>
      </w:r>
      <w:r>
        <w:rPr>
          <w:rFonts w:ascii="TimesNewRomanPSMT" w:hAnsi="TimesNewRomanPSMT" w:cs="TimesNewRomanPSMT"/>
        </w:rPr>
        <w:t>r</w:t>
      </w:r>
      <w:r w:rsidRPr="002F32AA">
        <w:rPr>
          <w:rFonts w:ascii="TimesNewRomanPSMT" w:hAnsi="TimesNewRomanPSMT" w:cs="TimesNewRomanPSMT"/>
        </w:rPr>
        <w:t xml:space="preserve">epresentations and </w:t>
      </w:r>
      <w:r>
        <w:rPr>
          <w:rFonts w:ascii="TimesNewRomanPSMT" w:hAnsi="TimesNewRomanPSMT" w:cs="TimesNewRomanPSMT"/>
        </w:rPr>
        <w:t>i</w:t>
      </w:r>
      <w:r w:rsidRPr="002F32AA">
        <w:rPr>
          <w:rFonts w:ascii="TimesNewRomanPSMT" w:hAnsi="TimesNewRomanPSMT" w:cs="TimesNewRomanPSMT"/>
        </w:rPr>
        <w:t xml:space="preserve">nductive </w:t>
      </w:r>
      <w:r>
        <w:rPr>
          <w:rFonts w:ascii="TimesNewRomanPSMT" w:hAnsi="TimesNewRomanPSMT" w:cs="TimesNewRomanPSMT"/>
        </w:rPr>
        <w:t>b</w:t>
      </w:r>
      <w:r w:rsidRPr="002F32AA">
        <w:rPr>
          <w:rFonts w:ascii="TimesNewRomanPSMT" w:hAnsi="TimesNewRomanPSMT" w:cs="TimesNewRomanPSMT"/>
        </w:rPr>
        <w:t>iases.</w:t>
      </w:r>
      <w:r>
        <w:rPr>
          <w:rFonts w:ascii="TimesNewRomanPSMT" w:hAnsi="TimesNewRomanPSMT" w:cs="TimesNewRomanPSMT"/>
        </w:rPr>
        <w:t xml:space="preserve"> </w:t>
      </w:r>
      <w:r w:rsidRPr="002F32AA">
        <w:rPr>
          <w:rFonts w:ascii="TimesNewRomanPSMT" w:hAnsi="TimesNewRomanPSMT" w:cs="TimesNewRomanPSMT"/>
          <w:i/>
        </w:rPr>
        <w:t>Trends in Cognitive Sciences</w:t>
      </w:r>
      <w:r w:rsidRPr="002F32AA">
        <w:rPr>
          <w:rFonts w:ascii="TimesNewRomanPSMT" w:hAnsi="TimesNewRomanPSMT" w:cs="TimesNewRomanPSMT"/>
        </w:rPr>
        <w:t xml:space="preserve"> 14: 357–364</w:t>
      </w:r>
      <w:r>
        <w:rPr>
          <w:rFonts w:ascii="TimesNewRomanPSMT" w:hAnsi="TimesNewRomanPSMT" w:cs="TimesNewRomanPSMT"/>
        </w:rPr>
        <w:t>.</w:t>
      </w:r>
    </w:p>
    <w:p w14:paraId="4F8D0878" w14:textId="77777777" w:rsidR="0044451F" w:rsidRPr="0044451F" w:rsidRDefault="0044451F" w:rsidP="0044451F">
      <w:pPr>
        <w:widowControl w:val="0"/>
        <w:autoSpaceDE w:val="0"/>
        <w:autoSpaceDN w:val="0"/>
        <w:adjustRightInd w:val="0"/>
        <w:spacing w:after="0"/>
        <w:rPr>
          <w:rFonts w:ascii="TimesNewRomanPSMT" w:hAnsi="TimesNewRomanPSMT" w:cs="TimesNewRomanPSMT"/>
        </w:rPr>
      </w:pPr>
    </w:p>
    <w:p w14:paraId="708AC260" w14:textId="24B86A7C" w:rsidR="0044451F" w:rsidRPr="0044451F" w:rsidRDefault="00A21130" w:rsidP="0044451F">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Grush, R. (1997). The architecture of r</w:t>
      </w:r>
      <w:r w:rsidR="0044451F" w:rsidRPr="0044451F">
        <w:rPr>
          <w:rFonts w:ascii="TimesNewRomanPSMT" w:hAnsi="TimesNewRomanPSMT" w:cs="TimesNewRomanPSMT"/>
        </w:rPr>
        <w:t xml:space="preserve">epresentation. </w:t>
      </w:r>
      <w:r w:rsidR="0044451F" w:rsidRPr="0044451F">
        <w:rPr>
          <w:rFonts w:ascii="TimesNewRomanPSMT" w:hAnsi="TimesNewRomanPSMT" w:cs="TimesNewRomanPSMT"/>
          <w:i/>
          <w:iCs/>
        </w:rPr>
        <w:t xml:space="preserve">Philosophical Psychology </w:t>
      </w:r>
      <w:r w:rsidR="0044451F" w:rsidRPr="0044451F">
        <w:rPr>
          <w:rFonts w:ascii="TimesNewRomanPSMT" w:hAnsi="TimesNewRomanPSMT" w:cs="TimesNewRomanPSMT"/>
        </w:rPr>
        <w:t>10: 5–</w:t>
      </w:r>
    </w:p>
    <w:p w14:paraId="216E3CEC" w14:textId="7D8CFDFD" w:rsidR="00FD4F08" w:rsidRDefault="0044451F" w:rsidP="0044451F">
      <w:pPr>
        <w:widowControl w:val="0"/>
        <w:autoSpaceDE w:val="0"/>
        <w:autoSpaceDN w:val="0"/>
        <w:adjustRightInd w:val="0"/>
        <w:spacing w:after="0"/>
        <w:rPr>
          <w:rFonts w:ascii="TimesNewRomanPSMT" w:hAnsi="TimesNewRomanPSMT" w:cs="TimesNewRomanPSMT"/>
        </w:rPr>
      </w:pPr>
      <w:r w:rsidRPr="0044451F">
        <w:rPr>
          <w:rFonts w:ascii="TimesNewRomanPSMT" w:hAnsi="TimesNewRomanPSMT" w:cs="TimesNewRomanPSMT"/>
        </w:rPr>
        <w:t>23.</w:t>
      </w:r>
    </w:p>
    <w:p w14:paraId="24F8C88D" w14:textId="77328397" w:rsidR="00BC2952" w:rsidRDefault="00BC2952" w:rsidP="0044451F">
      <w:pPr>
        <w:widowControl w:val="0"/>
        <w:autoSpaceDE w:val="0"/>
        <w:autoSpaceDN w:val="0"/>
        <w:adjustRightInd w:val="0"/>
        <w:spacing w:after="0"/>
        <w:rPr>
          <w:rFonts w:ascii="TimesNewRomanPSMT" w:hAnsi="TimesNewRomanPSMT" w:cs="TimesNewRomanPSMT"/>
        </w:rPr>
      </w:pPr>
    </w:p>
    <w:p w14:paraId="67EF24CD" w14:textId="748A9163" w:rsidR="00BC2952" w:rsidRDefault="00BC2952" w:rsidP="00BC2952">
      <w:pPr>
        <w:widowControl w:val="0"/>
        <w:autoSpaceDE w:val="0"/>
        <w:autoSpaceDN w:val="0"/>
        <w:adjustRightInd w:val="0"/>
        <w:spacing w:after="0"/>
        <w:rPr>
          <w:rFonts w:ascii="TimesNewRomanPSMT" w:hAnsi="TimesNewRomanPSMT" w:cs="TimesNewRomanPSMT"/>
        </w:rPr>
      </w:pPr>
      <w:proofErr w:type="spellStart"/>
      <w:r w:rsidRPr="00BC2952">
        <w:rPr>
          <w:rFonts w:ascii="TimesNewRomanPSMT" w:hAnsi="TimesNewRomanPSMT" w:cs="TimesNewRomanPSMT"/>
        </w:rPr>
        <w:t>Himmelreich</w:t>
      </w:r>
      <w:proofErr w:type="spellEnd"/>
      <w:r w:rsidRPr="00BC2952">
        <w:rPr>
          <w:rFonts w:ascii="TimesNewRomanPSMT" w:hAnsi="TimesNewRomanPSMT" w:cs="TimesNewRomanPSMT"/>
        </w:rPr>
        <w:t>, J.</w:t>
      </w:r>
      <w:r w:rsidR="00F67C41">
        <w:rPr>
          <w:rFonts w:ascii="TimesNewRomanPSMT" w:hAnsi="TimesNewRomanPSMT" w:cs="TimesNewRomanPSMT"/>
        </w:rPr>
        <w:t xml:space="preserve"> (2015). Review of </w:t>
      </w:r>
      <w:r w:rsidR="00F67C41" w:rsidRPr="00F67C41">
        <w:rPr>
          <w:rFonts w:ascii="TimesNewRomanPSMT" w:hAnsi="TimesNewRomanPSMT" w:cs="TimesNewRomanPSMT"/>
          <w:i/>
        </w:rPr>
        <w:t>From Individual to Collective Intentionality: New Essays</w:t>
      </w:r>
      <w:r w:rsidR="00F67C41">
        <w:rPr>
          <w:rFonts w:ascii="TimesNewRomanPSMT" w:hAnsi="TimesNewRomanPSMT" w:cs="TimesNewRomanPSMT"/>
        </w:rPr>
        <w:t xml:space="preserve">, in </w:t>
      </w:r>
      <w:r w:rsidRPr="00F67C41">
        <w:rPr>
          <w:rFonts w:ascii="TimesNewRomanPSMT" w:hAnsi="TimesNewRomanPSMT" w:cs="TimesNewRomanPSMT"/>
          <w:i/>
        </w:rPr>
        <w:t>Economics and Philosophy</w:t>
      </w:r>
      <w:r w:rsidRPr="00BC2952">
        <w:rPr>
          <w:rFonts w:ascii="TimesNewRomanPSMT" w:hAnsi="TimesNewRomanPSMT" w:cs="TimesNewRomanPSMT"/>
        </w:rPr>
        <w:t xml:space="preserve"> 31 </w:t>
      </w:r>
      <w:r w:rsidR="00F67C41">
        <w:rPr>
          <w:rFonts w:ascii="TimesNewRomanPSMT" w:hAnsi="TimesNewRomanPSMT" w:cs="TimesNewRomanPSMT"/>
        </w:rPr>
        <w:t>(</w:t>
      </w:r>
      <w:r w:rsidRPr="00BC2952">
        <w:rPr>
          <w:rFonts w:ascii="TimesNewRomanPSMT" w:hAnsi="TimesNewRomanPSMT" w:cs="TimesNewRomanPSMT"/>
        </w:rPr>
        <w:t>3</w:t>
      </w:r>
      <w:r w:rsidR="00F67C41">
        <w:rPr>
          <w:rFonts w:ascii="TimesNewRomanPSMT" w:hAnsi="TimesNewRomanPSMT" w:cs="TimesNewRomanPSMT"/>
        </w:rPr>
        <w:t>)</w:t>
      </w:r>
      <w:r w:rsidRPr="00BC2952">
        <w:rPr>
          <w:rFonts w:ascii="TimesNewRomanPSMT" w:hAnsi="TimesNewRomanPSMT" w:cs="TimesNewRomanPSMT"/>
        </w:rPr>
        <w:t>: 479</w:t>
      </w:r>
      <w:r w:rsidR="00F67C41">
        <w:rPr>
          <w:rFonts w:ascii="TimesNewRomanPSMT" w:hAnsi="TimesNewRomanPSMT" w:cs="TimesNewRomanPSMT"/>
        </w:rPr>
        <w:t>–</w:t>
      </w:r>
      <w:r w:rsidRPr="00BC2952">
        <w:rPr>
          <w:rFonts w:ascii="TimesNewRomanPSMT" w:hAnsi="TimesNewRomanPSMT" w:cs="TimesNewRomanPSMT"/>
        </w:rPr>
        <w:t>486.</w:t>
      </w:r>
    </w:p>
    <w:p w14:paraId="02F875C2" w14:textId="10CA5172" w:rsidR="00415056" w:rsidRDefault="00415056" w:rsidP="00BC2952">
      <w:pPr>
        <w:widowControl w:val="0"/>
        <w:autoSpaceDE w:val="0"/>
        <w:autoSpaceDN w:val="0"/>
        <w:adjustRightInd w:val="0"/>
        <w:spacing w:after="0"/>
        <w:rPr>
          <w:rFonts w:ascii="TimesNewRomanPSMT" w:hAnsi="TimesNewRomanPSMT" w:cs="TimesNewRomanPSMT"/>
        </w:rPr>
      </w:pPr>
    </w:p>
    <w:p w14:paraId="04211871" w14:textId="04FCEFF1" w:rsidR="00415056" w:rsidRPr="00415056" w:rsidRDefault="00415056" w:rsidP="00415056">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xml:space="preserve">Huebner, B. (2008). </w:t>
      </w:r>
      <w:r w:rsidRPr="00415056">
        <w:rPr>
          <w:rFonts w:ascii="TimesNewRomanPSMT" w:hAnsi="TimesNewRomanPSMT" w:cs="TimesNewRomanPSMT"/>
        </w:rPr>
        <w:t xml:space="preserve">Do </w:t>
      </w:r>
      <w:r>
        <w:rPr>
          <w:rFonts w:ascii="TimesNewRomanPSMT" w:hAnsi="TimesNewRomanPSMT" w:cs="TimesNewRomanPSMT"/>
        </w:rPr>
        <w:t>y</w:t>
      </w:r>
      <w:r w:rsidRPr="00415056">
        <w:rPr>
          <w:rFonts w:ascii="TimesNewRomanPSMT" w:hAnsi="TimesNewRomanPSMT" w:cs="TimesNewRomanPSMT"/>
        </w:rPr>
        <w:t xml:space="preserve">ou </w:t>
      </w:r>
      <w:r>
        <w:rPr>
          <w:rFonts w:ascii="TimesNewRomanPSMT" w:hAnsi="TimesNewRomanPSMT" w:cs="TimesNewRomanPSMT"/>
        </w:rPr>
        <w:t>s</w:t>
      </w:r>
      <w:r w:rsidRPr="00415056">
        <w:rPr>
          <w:rFonts w:ascii="TimesNewRomanPSMT" w:hAnsi="TimesNewRomanPSMT" w:cs="TimesNewRomanPSMT"/>
        </w:rPr>
        <w:t xml:space="preserve">ee </w:t>
      </w:r>
      <w:r>
        <w:rPr>
          <w:rFonts w:ascii="TimesNewRomanPSMT" w:hAnsi="TimesNewRomanPSMT" w:cs="TimesNewRomanPSMT"/>
        </w:rPr>
        <w:t>w</w:t>
      </w:r>
      <w:r w:rsidRPr="00415056">
        <w:rPr>
          <w:rFonts w:ascii="TimesNewRomanPSMT" w:hAnsi="TimesNewRomanPSMT" w:cs="TimesNewRomanPSMT"/>
        </w:rPr>
        <w:t xml:space="preserve">hat </w:t>
      </w:r>
      <w:r>
        <w:rPr>
          <w:rFonts w:ascii="TimesNewRomanPSMT" w:hAnsi="TimesNewRomanPSMT" w:cs="TimesNewRomanPSMT"/>
        </w:rPr>
        <w:t>w</w:t>
      </w:r>
      <w:r w:rsidRPr="00415056">
        <w:rPr>
          <w:rFonts w:ascii="TimesNewRomanPSMT" w:hAnsi="TimesNewRomanPSMT" w:cs="TimesNewRomanPSMT"/>
        </w:rPr>
        <w:t xml:space="preserve">e </w:t>
      </w:r>
      <w:r>
        <w:rPr>
          <w:rFonts w:ascii="TimesNewRomanPSMT" w:hAnsi="TimesNewRomanPSMT" w:cs="TimesNewRomanPSMT"/>
        </w:rPr>
        <w:t>s</w:t>
      </w:r>
      <w:r w:rsidRPr="00415056">
        <w:rPr>
          <w:rFonts w:ascii="TimesNewRomanPSMT" w:hAnsi="TimesNewRomanPSMT" w:cs="TimesNewRomanPSMT"/>
        </w:rPr>
        <w:t xml:space="preserve">ee? An </w:t>
      </w:r>
      <w:r>
        <w:rPr>
          <w:rFonts w:ascii="TimesNewRomanPSMT" w:hAnsi="TimesNewRomanPSMT" w:cs="TimesNewRomanPSMT"/>
        </w:rPr>
        <w:t>i</w:t>
      </w:r>
      <w:r w:rsidRPr="00415056">
        <w:rPr>
          <w:rFonts w:ascii="TimesNewRomanPSMT" w:hAnsi="TimesNewRomanPSMT" w:cs="TimesNewRomanPSMT"/>
        </w:rPr>
        <w:t xml:space="preserve">nvestigation of an </w:t>
      </w:r>
      <w:r>
        <w:rPr>
          <w:rFonts w:ascii="TimesNewRomanPSMT" w:hAnsi="TimesNewRomanPSMT" w:cs="TimesNewRomanPSMT"/>
        </w:rPr>
        <w:t>a</w:t>
      </w:r>
      <w:r w:rsidRPr="00415056">
        <w:rPr>
          <w:rFonts w:ascii="TimesNewRomanPSMT" w:hAnsi="TimesNewRomanPSMT" w:cs="TimesNewRomanPSMT"/>
        </w:rPr>
        <w:t xml:space="preserve">rgument </w:t>
      </w:r>
      <w:r>
        <w:rPr>
          <w:rFonts w:ascii="TimesNewRomanPSMT" w:hAnsi="TimesNewRomanPSMT" w:cs="TimesNewRomanPSMT"/>
        </w:rPr>
        <w:t>a</w:t>
      </w:r>
      <w:r w:rsidRPr="00415056">
        <w:rPr>
          <w:rFonts w:ascii="TimesNewRomanPSMT" w:hAnsi="TimesNewRomanPSMT" w:cs="TimesNewRomanPSMT"/>
        </w:rPr>
        <w:t>gainst</w:t>
      </w:r>
    </w:p>
    <w:p w14:paraId="3CA33E36" w14:textId="185B7353" w:rsidR="00415056" w:rsidRPr="00415056" w:rsidRDefault="00415056" w:rsidP="00415056">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c</w:t>
      </w:r>
      <w:r w:rsidRPr="00415056">
        <w:rPr>
          <w:rFonts w:ascii="TimesNewRomanPSMT" w:hAnsi="TimesNewRomanPSMT" w:cs="TimesNewRomanPSMT"/>
        </w:rPr>
        <w:t xml:space="preserve">ollective </w:t>
      </w:r>
      <w:r>
        <w:rPr>
          <w:rFonts w:ascii="TimesNewRomanPSMT" w:hAnsi="TimesNewRomanPSMT" w:cs="TimesNewRomanPSMT"/>
        </w:rPr>
        <w:t>r</w:t>
      </w:r>
      <w:r w:rsidRPr="00415056">
        <w:rPr>
          <w:rFonts w:ascii="TimesNewRomanPSMT" w:hAnsi="TimesNewRomanPSMT" w:cs="TimesNewRomanPSMT"/>
        </w:rPr>
        <w:t>epresentation</w:t>
      </w:r>
      <w:r>
        <w:rPr>
          <w:rFonts w:ascii="TimesNewRomanPSMT" w:hAnsi="TimesNewRomanPSMT" w:cs="TimesNewRomanPSMT"/>
        </w:rPr>
        <w:t xml:space="preserve">. </w:t>
      </w:r>
      <w:r>
        <w:rPr>
          <w:rFonts w:ascii="TimesNewRomanPSMT" w:hAnsi="TimesNewRomanPSMT" w:cs="TimesNewRomanPSMT"/>
          <w:i/>
        </w:rPr>
        <w:t>Philosophical Psychology</w:t>
      </w:r>
      <w:r>
        <w:rPr>
          <w:rFonts w:ascii="TimesNewRomanPSMT" w:hAnsi="TimesNewRomanPSMT" w:cs="TimesNewRomanPSMT"/>
        </w:rPr>
        <w:t xml:space="preserve"> 21 (1): 91–112.</w:t>
      </w:r>
    </w:p>
    <w:p w14:paraId="1D23E0CF" w14:textId="77777777" w:rsidR="00FD4F08" w:rsidRDefault="00FD4F08" w:rsidP="00DF376C">
      <w:pPr>
        <w:widowControl w:val="0"/>
        <w:autoSpaceDE w:val="0"/>
        <w:autoSpaceDN w:val="0"/>
        <w:adjustRightInd w:val="0"/>
        <w:spacing w:after="0"/>
        <w:rPr>
          <w:rFonts w:ascii="TimesNewRomanPSMT" w:hAnsi="TimesNewRomanPSMT" w:cs="TimesNewRomanPSMT"/>
        </w:rPr>
      </w:pPr>
    </w:p>
    <w:p w14:paraId="4F93F6AF" w14:textId="193A8199" w:rsidR="00DF376C" w:rsidRPr="00B27654" w:rsidRDefault="001F70F1"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Huebner, B. (201</w:t>
      </w:r>
      <w:r w:rsidR="00415056">
        <w:rPr>
          <w:rFonts w:ascii="TimesNewRomanPSMT" w:hAnsi="TimesNewRomanPSMT" w:cs="TimesNewRomanPSMT"/>
        </w:rPr>
        <w:t>3</w:t>
      </w:r>
      <w:r>
        <w:rPr>
          <w:rFonts w:ascii="TimesNewRomanPSMT" w:hAnsi="TimesNewRomanPSMT" w:cs="TimesNewRomanPSMT"/>
        </w:rPr>
        <w:t>)</w:t>
      </w:r>
      <w:r w:rsidR="00DF376C">
        <w:rPr>
          <w:rFonts w:ascii="TimesNewRomanPSMT" w:hAnsi="TimesNewRomanPSMT" w:cs="TimesNewRomanPSMT"/>
        </w:rPr>
        <w:t xml:space="preserve">. </w:t>
      </w:r>
      <w:proofErr w:type="spellStart"/>
      <w:r w:rsidR="00DF376C">
        <w:rPr>
          <w:rFonts w:ascii="TimesNewRomanPSMT" w:hAnsi="TimesNewRomanPSMT" w:cs="TimesNewRomanPSMT"/>
          <w:i/>
        </w:rPr>
        <w:t>Macrocognition</w:t>
      </w:r>
      <w:proofErr w:type="spellEnd"/>
      <w:r w:rsidR="00DF376C">
        <w:rPr>
          <w:rFonts w:ascii="TimesNewRomanPSMT" w:hAnsi="TimesNewRomanPSMT" w:cs="TimesNewRomanPSMT"/>
          <w:i/>
        </w:rPr>
        <w:t>: A theory of distributed minds and collective intentionality</w:t>
      </w:r>
      <w:r w:rsidR="00DF376C">
        <w:rPr>
          <w:rFonts w:ascii="TimesNewRomanPSMT" w:hAnsi="TimesNewRomanPSMT" w:cs="TimesNewRomanPSMT"/>
        </w:rPr>
        <w:t>.</w:t>
      </w:r>
      <w:r>
        <w:rPr>
          <w:rFonts w:ascii="TimesNewRomanPSMT" w:hAnsi="TimesNewRomanPSMT" w:cs="TimesNewRomanPSMT"/>
        </w:rPr>
        <w:t xml:space="preserve"> Oxford: Oxford University Press.</w:t>
      </w:r>
    </w:p>
    <w:p w14:paraId="458DE82B" w14:textId="77777777" w:rsidR="001F70F1" w:rsidRDefault="001F70F1" w:rsidP="001F70F1">
      <w:pPr>
        <w:widowControl w:val="0"/>
        <w:autoSpaceDE w:val="0"/>
        <w:autoSpaceDN w:val="0"/>
        <w:adjustRightInd w:val="0"/>
        <w:spacing w:after="0"/>
        <w:rPr>
          <w:rFonts w:ascii="TimesNewRomanPSMT" w:hAnsi="TimesNewRomanPSMT" w:cs="TimesNewRomanPSMT"/>
        </w:rPr>
      </w:pPr>
    </w:p>
    <w:p w14:paraId="0139BCD4" w14:textId="4FD0AAC2" w:rsidR="001F70F1" w:rsidRPr="001F70F1" w:rsidRDefault="001F70F1" w:rsidP="001F70F1">
      <w:pPr>
        <w:widowControl w:val="0"/>
        <w:autoSpaceDE w:val="0"/>
        <w:autoSpaceDN w:val="0"/>
        <w:adjustRightInd w:val="0"/>
        <w:spacing w:after="0"/>
        <w:rPr>
          <w:rFonts w:ascii="TimesNewRomanPSMT" w:hAnsi="TimesNewRomanPSMT" w:cs="TimesNewRomanPSMT"/>
          <w:i/>
        </w:rPr>
      </w:pPr>
      <w:r>
        <w:rPr>
          <w:rFonts w:ascii="TimesNewRomanPSMT" w:hAnsi="TimesNewRomanPSMT" w:cs="TimesNewRomanPSMT"/>
        </w:rPr>
        <w:t>Huebner, B.,</w:t>
      </w:r>
      <w:r w:rsidRPr="001F70F1">
        <w:rPr>
          <w:rFonts w:ascii="TimesNewRomanPSMT" w:hAnsi="TimesNewRomanPSMT" w:cs="TimesNewRomanPSMT"/>
        </w:rPr>
        <w:t xml:space="preserve"> M. Bruno and H. Sarkissian.</w:t>
      </w:r>
      <w:r>
        <w:rPr>
          <w:rFonts w:ascii="TimesNewRomanPSMT" w:hAnsi="TimesNewRomanPSMT" w:cs="TimesNewRomanPSMT"/>
        </w:rPr>
        <w:t xml:space="preserve"> (2010). What does the nation of China think about phenomenal states?</w:t>
      </w:r>
      <w:r w:rsidRPr="001F70F1">
        <w:rPr>
          <w:rFonts w:ascii="TimesNewRomanPSMT" w:hAnsi="TimesNewRomanPSMT" w:cs="TimesNewRomanPSMT"/>
        </w:rPr>
        <w:t xml:space="preserve"> </w:t>
      </w:r>
      <w:r w:rsidRPr="001F70F1">
        <w:rPr>
          <w:rFonts w:ascii="TimesNewRomanPSMT" w:hAnsi="TimesNewRomanPSMT" w:cs="TimesNewRomanPSMT"/>
          <w:i/>
        </w:rPr>
        <w:t>Review of</w:t>
      </w:r>
      <w:r>
        <w:rPr>
          <w:rFonts w:ascii="TimesNewRomanPSMT" w:hAnsi="TimesNewRomanPSMT" w:cs="TimesNewRomanPSMT"/>
          <w:i/>
        </w:rPr>
        <w:t xml:space="preserve"> </w:t>
      </w:r>
      <w:r w:rsidRPr="001F70F1">
        <w:rPr>
          <w:rFonts w:ascii="TimesNewRomanPSMT" w:hAnsi="TimesNewRomanPSMT" w:cs="TimesNewRomanPSMT"/>
          <w:i/>
        </w:rPr>
        <w:t>Philosophy and Psychology</w:t>
      </w:r>
      <w:r>
        <w:rPr>
          <w:rFonts w:ascii="TimesNewRomanPSMT" w:hAnsi="TimesNewRomanPSMT" w:cs="TimesNewRomanPSMT"/>
        </w:rPr>
        <w:t xml:space="preserve"> 1</w:t>
      </w:r>
      <w:r w:rsidRPr="001F70F1">
        <w:rPr>
          <w:rFonts w:ascii="TimesNewRomanPSMT" w:hAnsi="TimesNewRomanPSMT" w:cs="TimesNewRomanPSMT"/>
        </w:rPr>
        <w:t>: 225–</w:t>
      </w:r>
      <w:r>
        <w:rPr>
          <w:rFonts w:ascii="TimesNewRomanPSMT" w:hAnsi="TimesNewRomanPSMT" w:cs="TimesNewRomanPSMT"/>
        </w:rPr>
        <w:t>2</w:t>
      </w:r>
      <w:r w:rsidRPr="001F70F1">
        <w:rPr>
          <w:rFonts w:ascii="TimesNewRomanPSMT" w:hAnsi="TimesNewRomanPSMT" w:cs="TimesNewRomanPSMT"/>
        </w:rPr>
        <w:t>43.</w:t>
      </w:r>
    </w:p>
    <w:p w14:paraId="6B18CB66" w14:textId="77777777" w:rsidR="001F70F1" w:rsidRDefault="001F70F1" w:rsidP="00DF376C">
      <w:pPr>
        <w:widowControl w:val="0"/>
        <w:autoSpaceDE w:val="0"/>
        <w:autoSpaceDN w:val="0"/>
        <w:adjustRightInd w:val="0"/>
        <w:spacing w:after="0"/>
        <w:rPr>
          <w:rFonts w:ascii="TimesNewRomanPSMT" w:hAnsi="TimesNewRomanPSMT" w:cs="TimesNewRomanPSMT"/>
        </w:rPr>
      </w:pPr>
    </w:p>
    <w:p w14:paraId="05979072" w14:textId="20CD96DD" w:rsidR="00DF376C" w:rsidRDefault="00DF376C" w:rsidP="00DF376C">
      <w:pPr>
        <w:widowControl w:val="0"/>
        <w:autoSpaceDE w:val="0"/>
        <w:autoSpaceDN w:val="0"/>
        <w:adjustRightInd w:val="0"/>
        <w:spacing w:after="0"/>
        <w:rPr>
          <w:rFonts w:ascii="TimesNewRomanPSMT" w:hAnsi="TimesNewRomanPSMT" w:cs="TimesNewRomanPSMT"/>
        </w:rPr>
      </w:pPr>
      <w:r w:rsidRPr="00963DE8">
        <w:rPr>
          <w:rFonts w:ascii="TimesNewRomanPSMT" w:hAnsi="TimesNewRomanPSMT" w:cs="TimesNewRomanPSMT"/>
        </w:rPr>
        <w:lastRenderedPageBreak/>
        <w:t>Hutchins, E.</w:t>
      </w:r>
      <w:r>
        <w:rPr>
          <w:rFonts w:ascii="TimesNewRomanPSMT" w:hAnsi="TimesNewRomanPSMT" w:cs="TimesNewRomanPSMT"/>
        </w:rPr>
        <w:t xml:space="preserve"> (1995).</w:t>
      </w:r>
      <w:r w:rsidRPr="00963DE8">
        <w:rPr>
          <w:rFonts w:ascii="TimesNewRomanPSMT" w:hAnsi="TimesNewRomanPSMT" w:cs="TimesNewRomanPSMT"/>
        </w:rPr>
        <w:t xml:space="preserve"> </w:t>
      </w:r>
      <w:r w:rsidRPr="00963DE8">
        <w:rPr>
          <w:rFonts w:ascii="TimesNewRomanPSMT" w:hAnsi="TimesNewRomanPSMT" w:cs="TimesNewRomanPSMT"/>
          <w:i/>
        </w:rPr>
        <w:t>Cognition in the Wild</w:t>
      </w:r>
      <w:r>
        <w:rPr>
          <w:rFonts w:ascii="TimesNewRomanPSMT" w:hAnsi="TimesNewRomanPSMT" w:cs="TimesNewRomanPSMT"/>
        </w:rPr>
        <w:t>. Cambridge, MA: MIT Press</w:t>
      </w:r>
      <w:r w:rsidRPr="00963DE8">
        <w:rPr>
          <w:rFonts w:ascii="TimesNewRomanPSMT" w:hAnsi="TimesNewRomanPSMT" w:cs="TimesNewRomanPSMT"/>
        </w:rPr>
        <w:t>.</w:t>
      </w:r>
    </w:p>
    <w:p w14:paraId="0A214E58" w14:textId="3AC736F9" w:rsidR="006401C5" w:rsidRDefault="006401C5" w:rsidP="00DF376C">
      <w:pPr>
        <w:widowControl w:val="0"/>
        <w:autoSpaceDE w:val="0"/>
        <w:autoSpaceDN w:val="0"/>
        <w:adjustRightInd w:val="0"/>
        <w:spacing w:after="0"/>
        <w:rPr>
          <w:rFonts w:ascii="TimesNewRomanPSMT" w:hAnsi="TimesNewRomanPSMT" w:cs="TimesNewRomanPSMT"/>
        </w:rPr>
      </w:pPr>
    </w:p>
    <w:p w14:paraId="0794C05C" w14:textId="59AB04D5" w:rsidR="006401C5" w:rsidRPr="006401C5" w:rsidRDefault="006401C5" w:rsidP="006401C5">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xml:space="preserve">Kim, J. (1998). </w:t>
      </w:r>
      <w:r w:rsidRPr="006401C5">
        <w:rPr>
          <w:rFonts w:ascii="TimesNewRomanPSMT" w:hAnsi="TimesNewRomanPSMT" w:cs="TimesNewRomanPSMT"/>
          <w:i/>
        </w:rPr>
        <w:t xml:space="preserve">Mind in a </w:t>
      </w:r>
      <w:r>
        <w:rPr>
          <w:rFonts w:ascii="TimesNewRomanPSMT" w:hAnsi="TimesNewRomanPSMT" w:cs="TimesNewRomanPSMT"/>
          <w:i/>
        </w:rPr>
        <w:t>p</w:t>
      </w:r>
      <w:r w:rsidRPr="006401C5">
        <w:rPr>
          <w:rFonts w:ascii="TimesNewRomanPSMT" w:hAnsi="TimesNewRomanPSMT" w:cs="TimesNewRomanPSMT"/>
          <w:i/>
        </w:rPr>
        <w:t xml:space="preserve">hysical </w:t>
      </w:r>
      <w:r>
        <w:rPr>
          <w:rFonts w:ascii="TimesNewRomanPSMT" w:hAnsi="TimesNewRomanPSMT" w:cs="TimesNewRomanPSMT"/>
          <w:i/>
        </w:rPr>
        <w:t>w</w:t>
      </w:r>
      <w:r w:rsidRPr="006401C5">
        <w:rPr>
          <w:rFonts w:ascii="TimesNewRomanPSMT" w:hAnsi="TimesNewRomanPSMT" w:cs="TimesNewRomanPSMT"/>
          <w:i/>
        </w:rPr>
        <w:t>orld</w:t>
      </w:r>
      <w:r>
        <w:rPr>
          <w:rFonts w:ascii="TimesNewRomanPSMT" w:hAnsi="TimesNewRomanPSMT" w:cs="TimesNewRomanPSMT"/>
          <w:i/>
        </w:rPr>
        <w:t xml:space="preserve">: </w:t>
      </w:r>
      <w:r w:rsidRPr="006401C5">
        <w:rPr>
          <w:rFonts w:ascii="TimesNewRomanPSMT" w:hAnsi="TimesNewRomanPSMT" w:cs="TimesNewRomanPSMT"/>
          <w:i/>
        </w:rPr>
        <w:t xml:space="preserve">An </w:t>
      </w:r>
      <w:r>
        <w:rPr>
          <w:rFonts w:ascii="TimesNewRomanPSMT" w:hAnsi="TimesNewRomanPSMT" w:cs="TimesNewRomanPSMT"/>
          <w:i/>
        </w:rPr>
        <w:t>e</w:t>
      </w:r>
      <w:r w:rsidRPr="006401C5">
        <w:rPr>
          <w:rFonts w:ascii="TimesNewRomanPSMT" w:hAnsi="TimesNewRomanPSMT" w:cs="TimesNewRomanPSMT"/>
          <w:i/>
        </w:rPr>
        <w:t xml:space="preserve">ssay on the </w:t>
      </w:r>
      <w:r>
        <w:rPr>
          <w:rFonts w:ascii="TimesNewRomanPSMT" w:hAnsi="TimesNewRomanPSMT" w:cs="TimesNewRomanPSMT"/>
          <w:i/>
        </w:rPr>
        <w:t>m</w:t>
      </w:r>
      <w:r w:rsidRPr="006401C5">
        <w:rPr>
          <w:rFonts w:ascii="TimesNewRomanPSMT" w:hAnsi="TimesNewRomanPSMT" w:cs="TimesNewRomanPSMT"/>
          <w:i/>
        </w:rPr>
        <w:t>ind-</w:t>
      </w:r>
      <w:r>
        <w:rPr>
          <w:rFonts w:ascii="TimesNewRomanPSMT" w:hAnsi="TimesNewRomanPSMT" w:cs="TimesNewRomanPSMT"/>
          <w:i/>
        </w:rPr>
        <w:t>b</w:t>
      </w:r>
      <w:r w:rsidRPr="006401C5">
        <w:rPr>
          <w:rFonts w:ascii="TimesNewRomanPSMT" w:hAnsi="TimesNewRomanPSMT" w:cs="TimesNewRomanPSMT"/>
          <w:i/>
        </w:rPr>
        <w:t xml:space="preserve">ody </w:t>
      </w:r>
      <w:r>
        <w:rPr>
          <w:rFonts w:ascii="TimesNewRomanPSMT" w:hAnsi="TimesNewRomanPSMT" w:cs="TimesNewRomanPSMT"/>
          <w:i/>
        </w:rPr>
        <w:t>p</w:t>
      </w:r>
      <w:r w:rsidRPr="006401C5">
        <w:rPr>
          <w:rFonts w:ascii="TimesNewRomanPSMT" w:hAnsi="TimesNewRomanPSMT" w:cs="TimesNewRomanPSMT"/>
          <w:i/>
        </w:rPr>
        <w:t xml:space="preserve">roblem and </w:t>
      </w:r>
      <w:r>
        <w:rPr>
          <w:rFonts w:ascii="TimesNewRomanPSMT" w:hAnsi="TimesNewRomanPSMT" w:cs="TimesNewRomanPSMT"/>
          <w:i/>
        </w:rPr>
        <w:t>m</w:t>
      </w:r>
      <w:r w:rsidRPr="006401C5">
        <w:rPr>
          <w:rFonts w:ascii="TimesNewRomanPSMT" w:hAnsi="TimesNewRomanPSMT" w:cs="TimesNewRomanPSMT"/>
          <w:i/>
        </w:rPr>
        <w:t xml:space="preserve">ental </w:t>
      </w:r>
      <w:r>
        <w:rPr>
          <w:rFonts w:ascii="TimesNewRomanPSMT" w:hAnsi="TimesNewRomanPSMT" w:cs="TimesNewRomanPSMT"/>
          <w:i/>
        </w:rPr>
        <w:t>c</w:t>
      </w:r>
      <w:r w:rsidRPr="006401C5">
        <w:rPr>
          <w:rFonts w:ascii="TimesNewRomanPSMT" w:hAnsi="TimesNewRomanPSMT" w:cs="TimesNewRomanPSMT"/>
          <w:i/>
        </w:rPr>
        <w:t>ausation</w:t>
      </w:r>
      <w:r>
        <w:rPr>
          <w:rFonts w:ascii="TimesNewRomanPSMT" w:hAnsi="TimesNewRomanPSMT" w:cs="TimesNewRomanPSMT"/>
        </w:rPr>
        <w:t>. Cambridge: MIT Press.</w:t>
      </w:r>
    </w:p>
    <w:p w14:paraId="228D0C01"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18124ABF" w14:textId="0ADB4CCC" w:rsidR="00DF376C" w:rsidRDefault="00DF376C"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xml:space="preserve">Klein, C. (2010). </w:t>
      </w:r>
      <w:r w:rsidRPr="00970FF2">
        <w:rPr>
          <w:rFonts w:ascii="TimesNewRomanPSMT" w:hAnsi="TimesNewRomanPSMT" w:cs="TimesNewRomanPSMT"/>
        </w:rPr>
        <w:t xml:space="preserve">Critical Notice: </w:t>
      </w:r>
      <w:r w:rsidRPr="00970FF2">
        <w:rPr>
          <w:rFonts w:ascii="TimesNewRomanPSMT" w:hAnsi="TimesNewRomanPSMT" w:cs="TimesNewRomanPSMT"/>
          <w:i/>
        </w:rPr>
        <w:t xml:space="preserve">Cognitive </w:t>
      </w:r>
      <w:r w:rsidR="006401C5">
        <w:rPr>
          <w:rFonts w:ascii="TimesNewRomanPSMT" w:hAnsi="TimesNewRomanPSMT" w:cs="TimesNewRomanPSMT"/>
          <w:i/>
        </w:rPr>
        <w:t>s</w:t>
      </w:r>
      <w:r w:rsidRPr="00970FF2">
        <w:rPr>
          <w:rFonts w:ascii="TimesNewRomanPSMT" w:hAnsi="TimesNewRomanPSMT" w:cs="TimesNewRomanPSMT"/>
          <w:i/>
        </w:rPr>
        <w:t xml:space="preserve">ystems and the </w:t>
      </w:r>
      <w:r w:rsidR="006401C5">
        <w:rPr>
          <w:rFonts w:ascii="TimesNewRomanPSMT" w:hAnsi="TimesNewRomanPSMT" w:cs="TimesNewRomanPSMT"/>
          <w:i/>
        </w:rPr>
        <w:t>e</w:t>
      </w:r>
      <w:r w:rsidRPr="00970FF2">
        <w:rPr>
          <w:rFonts w:ascii="TimesNewRomanPSMT" w:hAnsi="TimesNewRomanPSMT" w:cs="TimesNewRomanPSMT"/>
          <w:i/>
        </w:rPr>
        <w:t xml:space="preserve">xtended </w:t>
      </w:r>
      <w:r w:rsidR="006401C5">
        <w:rPr>
          <w:rFonts w:ascii="TimesNewRomanPSMT" w:hAnsi="TimesNewRomanPSMT" w:cs="TimesNewRomanPSMT"/>
          <w:i/>
        </w:rPr>
        <w:t>m</w:t>
      </w:r>
      <w:r w:rsidRPr="00970FF2">
        <w:rPr>
          <w:rFonts w:ascii="TimesNewRomanPSMT" w:hAnsi="TimesNewRomanPSMT" w:cs="TimesNewRomanPSMT"/>
          <w:i/>
        </w:rPr>
        <w:t>ind</w:t>
      </w:r>
      <w:r>
        <w:rPr>
          <w:rFonts w:ascii="TimesNewRomanPSMT" w:hAnsi="TimesNewRomanPSMT" w:cs="TimesNewRomanPSMT"/>
        </w:rPr>
        <w:t xml:space="preserve"> by Robert Rupert.</w:t>
      </w:r>
      <w:r w:rsidRPr="00970FF2">
        <w:rPr>
          <w:rFonts w:ascii="TimesNewRomanPSMT" w:hAnsi="TimesNewRomanPSMT" w:cs="TimesNewRomanPSMT"/>
        </w:rPr>
        <w:t xml:space="preserve"> </w:t>
      </w:r>
      <w:r w:rsidRPr="00970FF2">
        <w:rPr>
          <w:rFonts w:ascii="TimesNewRomanPSMT" w:hAnsi="TimesNewRomanPSMT" w:cs="TimesNewRomanPSMT"/>
          <w:i/>
        </w:rPr>
        <w:t>The Journal of Mind and Behavior</w:t>
      </w:r>
      <w:r>
        <w:rPr>
          <w:rFonts w:ascii="TimesNewRomanPSMT" w:hAnsi="TimesNewRomanPSMT" w:cs="TimesNewRomanPSMT"/>
        </w:rPr>
        <w:t xml:space="preserve"> 31 </w:t>
      </w:r>
      <w:r w:rsidR="00CD21E3">
        <w:rPr>
          <w:rFonts w:ascii="TimesNewRomanPSMT" w:hAnsi="TimesNewRomanPSMT" w:cs="TimesNewRomanPSMT"/>
        </w:rPr>
        <w:t>(</w:t>
      </w:r>
      <w:r>
        <w:rPr>
          <w:rFonts w:ascii="TimesNewRomanPSMT" w:hAnsi="TimesNewRomanPSMT" w:cs="TimesNewRomanPSMT"/>
        </w:rPr>
        <w:t>3&amp;4</w:t>
      </w:r>
      <w:r w:rsidR="00CD21E3">
        <w:rPr>
          <w:rFonts w:ascii="TimesNewRomanPSMT" w:hAnsi="TimesNewRomanPSMT" w:cs="TimesNewRomanPSMT"/>
        </w:rPr>
        <w:t>):</w:t>
      </w:r>
      <w:r w:rsidRPr="00970FF2">
        <w:rPr>
          <w:rFonts w:ascii="TimesNewRomanPSMT" w:hAnsi="TimesNewRomanPSMT" w:cs="TimesNewRomanPSMT"/>
        </w:rPr>
        <w:t xml:space="preserve"> 253-264.</w:t>
      </w:r>
    </w:p>
    <w:p w14:paraId="5613DA8F" w14:textId="18BB6671" w:rsidR="0095212E" w:rsidRDefault="0095212E" w:rsidP="00DF376C">
      <w:pPr>
        <w:widowControl w:val="0"/>
        <w:autoSpaceDE w:val="0"/>
        <w:autoSpaceDN w:val="0"/>
        <w:adjustRightInd w:val="0"/>
        <w:spacing w:after="0"/>
        <w:rPr>
          <w:rFonts w:ascii="TimesNewRomanPSMT" w:hAnsi="TimesNewRomanPSMT" w:cs="TimesNewRomanPSMT"/>
        </w:rPr>
      </w:pPr>
    </w:p>
    <w:p w14:paraId="76EBAE7B" w14:textId="6C792EC6" w:rsidR="00A21130" w:rsidRPr="00A21130" w:rsidRDefault="00A21130" w:rsidP="00A21130">
      <w:pPr>
        <w:widowControl w:val="0"/>
        <w:autoSpaceDE w:val="0"/>
        <w:autoSpaceDN w:val="0"/>
        <w:adjustRightInd w:val="0"/>
        <w:spacing w:after="0"/>
        <w:rPr>
          <w:rFonts w:ascii="TimesNewRomanPSMT" w:hAnsi="TimesNewRomanPSMT" w:cs="TimesNewRomanPSMT"/>
        </w:rPr>
      </w:pPr>
      <w:r w:rsidRPr="00A21130">
        <w:rPr>
          <w:rFonts w:ascii="TimesNewRomanPSMT" w:hAnsi="TimesNewRomanPSMT" w:cs="TimesNewRomanPSMT"/>
        </w:rPr>
        <w:t>Knobe, J. and J. Prinz.</w:t>
      </w:r>
      <w:r>
        <w:rPr>
          <w:rFonts w:ascii="TimesNewRomanPSMT" w:hAnsi="TimesNewRomanPSMT" w:cs="TimesNewRomanPSMT"/>
        </w:rPr>
        <w:t xml:space="preserve"> (2008). </w:t>
      </w:r>
      <w:r w:rsidRPr="00A21130">
        <w:rPr>
          <w:rFonts w:ascii="TimesNewRomanPSMT" w:hAnsi="TimesNewRomanPSMT" w:cs="TimesNewRomanPSMT"/>
        </w:rPr>
        <w:t>Intuitions abo</w:t>
      </w:r>
      <w:r>
        <w:rPr>
          <w:rFonts w:ascii="TimesNewRomanPSMT" w:hAnsi="TimesNewRomanPSMT" w:cs="TimesNewRomanPSMT"/>
        </w:rPr>
        <w:t>ut consciousness: Experimental studies.</w:t>
      </w:r>
      <w:r w:rsidRPr="00A21130">
        <w:rPr>
          <w:rFonts w:ascii="TimesNewRomanPSMT" w:hAnsi="TimesNewRomanPSMT" w:cs="TimesNewRomanPSMT"/>
        </w:rPr>
        <w:t xml:space="preserve"> </w:t>
      </w:r>
      <w:r w:rsidRPr="00A21130">
        <w:rPr>
          <w:rFonts w:ascii="TimesNewRomanPSMT" w:hAnsi="TimesNewRomanPSMT" w:cs="TimesNewRomanPSMT"/>
          <w:i/>
        </w:rPr>
        <w:t>Phenomenology and the Cognitive Sciences</w:t>
      </w:r>
      <w:r>
        <w:rPr>
          <w:rFonts w:ascii="TimesNewRomanPSMT" w:hAnsi="TimesNewRomanPSMT" w:cs="TimesNewRomanPSMT"/>
        </w:rPr>
        <w:t xml:space="preserve"> 7</w:t>
      </w:r>
      <w:r w:rsidRPr="00A21130">
        <w:rPr>
          <w:rFonts w:ascii="TimesNewRomanPSMT" w:hAnsi="TimesNewRomanPSMT" w:cs="TimesNewRomanPSMT"/>
        </w:rPr>
        <w:t>: 67–83.</w:t>
      </w:r>
    </w:p>
    <w:p w14:paraId="70078641" w14:textId="77777777" w:rsidR="00A21130" w:rsidRDefault="00A21130" w:rsidP="00DF376C">
      <w:pPr>
        <w:widowControl w:val="0"/>
        <w:autoSpaceDE w:val="0"/>
        <w:autoSpaceDN w:val="0"/>
        <w:adjustRightInd w:val="0"/>
        <w:spacing w:after="0"/>
        <w:rPr>
          <w:rFonts w:ascii="TimesNewRomanPSMT" w:hAnsi="TimesNewRomanPSMT" w:cs="TimesNewRomanPSMT"/>
        </w:rPr>
      </w:pPr>
    </w:p>
    <w:p w14:paraId="74D89C34" w14:textId="791AD83A" w:rsidR="0095212E" w:rsidRDefault="0095212E"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Lewis, D. (1970). How to define theoretical t</w:t>
      </w:r>
      <w:r w:rsidRPr="0095212E">
        <w:rPr>
          <w:rFonts w:ascii="TimesNewRomanPSMT" w:hAnsi="TimesNewRomanPSMT" w:cs="TimesNewRomanPSMT"/>
        </w:rPr>
        <w:t xml:space="preserve">erms. </w:t>
      </w:r>
      <w:r w:rsidRPr="0095212E">
        <w:rPr>
          <w:rFonts w:ascii="TimesNewRomanPSMT" w:hAnsi="TimesNewRomanPSMT" w:cs="TimesNewRomanPSMT"/>
          <w:i/>
        </w:rPr>
        <w:t>Journal of Philosophy</w:t>
      </w:r>
      <w:r w:rsidRPr="0095212E">
        <w:rPr>
          <w:rFonts w:ascii="TimesNewRomanPSMT" w:hAnsi="TimesNewRomanPSMT" w:cs="TimesNewRomanPSMT"/>
        </w:rPr>
        <w:t xml:space="preserve"> 67: 427–46.</w:t>
      </w:r>
    </w:p>
    <w:p w14:paraId="15E614E5" w14:textId="36BC575B" w:rsidR="00CF5F72" w:rsidRDefault="00CF5F72" w:rsidP="00DF376C">
      <w:pPr>
        <w:widowControl w:val="0"/>
        <w:autoSpaceDE w:val="0"/>
        <w:autoSpaceDN w:val="0"/>
        <w:adjustRightInd w:val="0"/>
        <w:spacing w:after="0"/>
        <w:rPr>
          <w:rFonts w:ascii="TimesNewRomanPSMT" w:hAnsi="TimesNewRomanPSMT" w:cs="TimesNewRomanPSMT"/>
        </w:rPr>
      </w:pPr>
    </w:p>
    <w:p w14:paraId="72700071" w14:textId="635033BD" w:rsidR="00CF5F72" w:rsidRDefault="00CF5F72" w:rsidP="00CF5F72">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Lewis, D. (1980). Mad pain and Martian pain. In N. Block (ed.),</w:t>
      </w:r>
      <w:r w:rsidRPr="00CF5F72">
        <w:rPr>
          <w:rFonts w:ascii="TimesNewRomanPSMT" w:hAnsi="TimesNewRomanPSMT" w:cs="TimesNewRomanPSMT"/>
          <w:i/>
        </w:rPr>
        <w:t xml:space="preserve"> Readings in the Philosophy of Psychology, Volume one</w:t>
      </w:r>
      <w:r>
        <w:rPr>
          <w:rFonts w:ascii="TimesNewRomanPSMT" w:hAnsi="TimesNewRomanPSMT" w:cs="TimesNewRomanPSMT"/>
        </w:rPr>
        <w:t xml:space="preserve">, pp. 216–222. </w:t>
      </w:r>
      <w:r w:rsidRPr="00CF5F72">
        <w:rPr>
          <w:rFonts w:ascii="TimesNewRomanPSMT" w:hAnsi="TimesNewRomanPSMT" w:cs="TimesNewRomanPSMT"/>
        </w:rPr>
        <w:t>Cambridge:</w:t>
      </w:r>
      <w:r>
        <w:rPr>
          <w:rFonts w:ascii="TimesNewRomanPSMT" w:hAnsi="TimesNewRomanPSMT" w:cs="TimesNewRomanPSMT"/>
        </w:rPr>
        <w:t xml:space="preserve"> </w:t>
      </w:r>
      <w:r w:rsidRPr="00CF5F72">
        <w:rPr>
          <w:rFonts w:ascii="TimesNewRomanPSMT" w:hAnsi="TimesNewRomanPSMT" w:cs="TimesNewRomanPSMT"/>
        </w:rPr>
        <w:t>Harvard University Press</w:t>
      </w:r>
      <w:r>
        <w:rPr>
          <w:rFonts w:ascii="TimesNewRomanPSMT" w:hAnsi="TimesNewRomanPSMT" w:cs="TimesNewRomanPSMT"/>
        </w:rPr>
        <w:t>.</w:t>
      </w:r>
    </w:p>
    <w:p w14:paraId="51B96C57" w14:textId="517E383F" w:rsidR="00FD3CF9" w:rsidRDefault="00FD3CF9" w:rsidP="00DF376C">
      <w:pPr>
        <w:widowControl w:val="0"/>
        <w:autoSpaceDE w:val="0"/>
        <w:autoSpaceDN w:val="0"/>
        <w:adjustRightInd w:val="0"/>
        <w:spacing w:after="0"/>
        <w:rPr>
          <w:rFonts w:ascii="TimesNewRomanPSMT" w:hAnsi="TimesNewRomanPSMT" w:cs="TimesNewRomanPSMT"/>
        </w:rPr>
      </w:pPr>
    </w:p>
    <w:p w14:paraId="7240ADAA" w14:textId="7675498B" w:rsidR="00FD3CF9" w:rsidRPr="00CD21E3" w:rsidRDefault="00FD3CF9"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xml:space="preserve">List, C. (2018). </w:t>
      </w:r>
      <w:r w:rsidR="00CD21E3" w:rsidRPr="00CD21E3">
        <w:rPr>
          <w:rFonts w:ascii="TimesNewRomanPSMT" w:hAnsi="TimesNewRomanPSMT" w:cs="TimesNewRomanPSMT"/>
        </w:rPr>
        <w:t xml:space="preserve">What is it </w:t>
      </w:r>
      <w:r w:rsidR="00CD21E3">
        <w:rPr>
          <w:rFonts w:ascii="TimesNewRomanPSMT" w:hAnsi="TimesNewRomanPSMT" w:cs="TimesNewRomanPSMT"/>
        </w:rPr>
        <w:t>l</w:t>
      </w:r>
      <w:r w:rsidR="00CD21E3" w:rsidRPr="00CD21E3">
        <w:rPr>
          <w:rFonts w:ascii="TimesNewRomanPSMT" w:hAnsi="TimesNewRomanPSMT" w:cs="TimesNewRomanPSMT"/>
        </w:rPr>
        <w:t xml:space="preserve">ike to be a </w:t>
      </w:r>
      <w:r w:rsidR="00CD21E3">
        <w:rPr>
          <w:rFonts w:ascii="TimesNewRomanPSMT" w:hAnsi="TimesNewRomanPSMT" w:cs="TimesNewRomanPSMT"/>
        </w:rPr>
        <w:t>g</w:t>
      </w:r>
      <w:r w:rsidR="00CD21E3" w:rsidRPr="00CD21E3">
        <w:rPr>
          <w:rFonts w:ascii="TimesNewRomanPSMT" w:hAnsi="TimesNewRomanPSMT" w:cs="TimesNewRomanPSMT"/>
        </w:rPr>
        <w:t xml:space="preserve">roup </w:t>
      </w:r>
      <w:r w:rsidR="00CD21E3">
        <w:rPr>
          <w:rFonts w:ascii="TimesNewRomanPSMT" w:hAnsi="TimesNewRomanPSMT" w:cs="TimesNewRomanPSMT"/>
        </w:rPr>
        <w:t>a</w:t>
      </w:r>
      <w:r w:rsidR="00CD21E3" w:rsidRPr="00CD21E3">
        <w:rPr>
          <w:rFonts w:ascii="TimesNewRomanPSMT" w:hAnsi="TimesNewRomanPSMT" w:cs="TimesNewRomanPSMT"/>
        </w:rPr>
        <w:t>gent?</w:t>
      </w:r>
      <w:r w:rsidR="00CD21E3">
        <w:rPr>
          <w:rFonts w:ascii="TimesNewRomanPSMT" w:hAnsi="TimesNewRomanPSMT" w:cs="TimesNewRomanPSMT"/>
        </w:rPr>
        <w:t xml:space="preserve"> </w:t>
      </w:r>
      <w:r w:rsidR="00CD21E3" w:rsidRPr="00A21130">
        <w:rPr>
          <w:rFonts w:ascii="TimesNewRomanPSMT" w:hAnsi="TimesNewRomanPSMT" w:cs="TimesNewRomanPSMT"/>
          <w:i/>
        </w:rPr>
        <w:t>Noûs</w:t>
      </w:r>
      <w:r w:rsidR="00CD21E3">
        <w:rPr>
          <w:rFonts w:ascii="TimesNewRomanPSMT" w:hAnsi="TimesNewRomanPSMT" w:cs="TimesNewRomanPSMT"/>
        </w:rPr>
        <w:t xml:space="preserve"> </w:t>
      </w:r>
      <w:r w:rsidR="00CD21E3" w:rsidRPr="00CD21E3">
        <w:rPr>
          <w:rFonts w:ascii="TimesNewRomanPSMT" w:hAnsi="TimesNewRomanPSMT" w:cs="TimesNewRomanPSMT"/>
        </w:rPr>
        <w:t>52</w:t>
      </w:r>
      <w:r w:rsidR="00CD21E3">
        <w:rPr>
          <w:rFonts w:ascii="TimesNewRomanPSMT" w:hAnsi="TimesNewRomanPSMT" w:cs="TimesNewRomanPSMT"/>
        </w:rPr>
        <w:t xml:space="preserve"> (</w:t>
      </w:r>
      <w:r w:rsidR="00CD21E3" w:rsidRPr="00CD21E3">
        <w:rPr>
          <w:rFonts w:ascii="TimesNewRomanPSMT" w:hAnsi="TimesNewRomanPSMT" w:cs="TimesNewRomanPSMT"/>
        </w:rPr>
        <w:t>2</w:t>
      </w:r>
      <w:r w:rsidR="00CD21E3">
        <w:rPr>
          <w:rFonts w:ascii="TimesNewRomanPSMT" w:hAnsi="TimesNewRomanPSMT" w:cs="TimesNewRomanPSMT"/>
        </w:rPr>
        <w:t>):</w:t>
      </w:r>
      <w:r w:rsidR="00CD21E3" w:rsidRPr="00CD21E3">
        <w:rPr>
          <w:rFonts w:ascii="TimesNewRomanPSMT" w:hAnsi="TimesNewRomanPSMT" w:cs="TimesNewRomanPSMT"/>
        </w:rPr>
        <w:t xml:space="preserve"> 295–319</w:t>
      </w:r>
      <w:r w:rsidR="00CD21E3">
        <w:rPr>
          <w:rFonts w:ascii="TimesNewRomanPSMT" w:hAnsi="TimesNewRomanPSMT" w:cs="TimesNewRomanPSMT"/>
        </w:rPr>
        <w:t>.</w:t>
      </w:r>
    </w:p>
    <w:p w14:paraId="6E3033F3" w14:textId="4A45E351" w:rsidR="00704827" w:rsidRDefault="00704827" w:rsidP="00DF376C">
      <w:pPr>
        <w:widowControl w:val="0"/>
        <w:autoSpaceDE w:val="0"/>
        <w:autoSpaceDN w:val="0"/>
        <w:adjustRightInd w:val="0"/>
        <w:spacing w:after="0"/>
        <w:rPr>
          <w:rFonts w:ascii="TimesNewRomanPSMT" w:hAnsi="TimesNewRomanPSMT" w:cs="TimesNewRomanPSMT"/>
        </w:rPr>
      </w:pPr>
    </w:p>
    <w:p w14:paraId="63297220" w14:textId="101EC306" w:rsidR="00A21130" w:rsidRDefault="00704827" w:rsidP="00563774">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List, C., and P. Pe</w:t>
      </w:r>
      <w:r w:rsidR="00A951BF">
        <w:rPr>
          <w:rFonts w:ascii="TimesNewRomanPSMT" w:hAnsi="TimesNewRomanPSMT" w:cs="TimesNewRomanPSMT"/>
        </w:rPr>
        <w:t>t</w:t>
      </w:r>
      <w:r>
        <w:rPr>
          <w:rFonts w:ascii="TimesNewRomanPSMT" w:hAnsi="TimesNewRomanPSMT" w:cs="TimesNewRomanPSMT"/>
        </w:rPr>
        <w:t xml:space="preserve">tit. (2011). </w:t>
      </w:r>
      <w:r w:rsidRPr="00704827">
        <w:rPr>
          <w:rFonts w:ascii="TimesNewRomanPSMT" w:hAnsi="TimesNewRomanPSMT" w:cs="TimesNewRomanPSMT"/>
          <w:i/>
        </w:rPr>
        <w:t>Group agency</w:t>
      </w:r>
      <w:r>
        <w:rPr>
          <w:rFonts w:ascii="TimesNewRomanPSMT" w:hAnsi="TimesNewRomanPSMT" w:cs="TimesNewRomanPSMT"/>
          <w:i/>
        </w:rPr>
        <w:t>: The possibility, design, and status of corporate agents.</w:t>
      </w:r>
      <w:r>
        <w:rPr>
          <w:rFonts w:ascii="TimesNewRomanPSMT" w:hAnsi="TimesNewRomanPSMT" w:cs="TimesNewRomanPSMT"/>
        </w:rPr>
        <w:t xml:space="preserve"> Oxford: Oxford University Press.</w:t>
      </w:r>
    </w:p>
    <w:p w14:paraId="072C6798" w14:textId="4D8EDE5A" w:rsidR="00CA191A" w:rsidRDefault="00CA191A" w:rsidP="00563774">
      <w:pPr>
        <w:widowControl w:val="0"/>
        <w:autoSpaceDE w:val="0"/>
        <w:autoSpaceDN w:val="0"/>
        <w:adjustRightInd w:val="0"/>
        <w:spacing w:after="0"/>
        <w:rPr>
          <w:rFonts w:ascii="TimesNewRomanPSMT" w:hAnsi="TimesNewRomanPSMT" w:cs="TimesNewRomanPSMT"/>
        </w:rPr>
      </w:pPr>
    </w:p>
    <w:p w14:paraId="7CF4FC02" w14:textId="6F183A00" w:rsidR="00CA191A" w:rsidRPr="00704827" w:rsidRDefault="00CA191A" w:rsidP="00CA191A">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xml:space="preserve">Marr, D. (1982). </w:t>
      </w:r>
      <w:r w:rsidRPr="00CA191A">
        <w:rPr>
          <w:rFonts w:ascii="TimesNewRomanPSMT" w:hAnsi="TimesNewRomanPSMT" w:cs="TimesNewRomanPSMT"/>
          <w:i/>
        </w:rPr>
        <w:t>Vision: A computational investigation into the human representation and processing of visual information</w:t>
      </w:r>
      <w:r>
        <w:rPr>
          <w:rFonts w:ascii="TimesNewRomanPSMT" w:hAnsi="TimesNewRomanPSMT" w:cs="TimesNewRomanPSMT"/>
        </w:rPr>
        <w:t>. Cambridge: MIT Press.</w:t>
      </w:r>
    </w:p>
    <w:p w14:paraId="5854806C" w14:textId="77777777" w:rsidR="0092201D" w:rsidRDefault="0092201D" w:rsidP="00DF376C">
      <w:pPr>
        <w:widowControl w:val="0"/>
        <w:autoSpaceDE w:val="0"/>
        <w:autoSpaceDN w:val="0"/>
        <w:adjustRightInd w:val="0"/>
        <w:spacing w:after="0"/>
        <w:rPr>
          <w:rFonts w:ascii="Times New Roman" w:hAnsi="Times New Roman"/>
          <w:bCs/>
        </w:rPr>
      </w:pPr>
    </w:p>
    <w:p w14:paraId="1C569BF2" w14:textId="692555AB" w:rsidR="00DF376C" w:rsidRPr="00E44B0C" w:rsidRDefault="00DF376C"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xml:space="preserve">Nolan, D. (1997). Quantitative parsimony. </w:t>
      </w:r>
      <w:r>
        <w:rPr>
          <w:rFonts w:ascii="TimesNewRomanPSMT" w:hAnsi="TimesNewRomanPSMT" w:cs="TimesNewRomanPSMT"/>
          <w:i/>
          <w:iCs/>
        </w:rPr>
        <w:t>British Journal for the Philosophy of Science</w:t>
      </w:r>
    </w:p>
    <w:p w14:paraId="41A96556" w14:textId="16DC836A" w:rsidR="00DF376C" w:rsidRDefault="00DF376C" w:rsidP="00DF376C">
      <w:pPr>
        <w:pStyle w:val="Standard"/>
        <w:spacing w:line="240" w:lineRule="auto"/>
        <w:rPr>
          <w:rFonts w:ascii="TimesNewRomanPSMT" w:hAnsi="TimesNewRomanPSMT" w:cs="TimesNewRomanPSMT"/>
        </w:rPr>
      </w:pPr>
      <w:r>
        <w:rPr>
          <w:rFonts w:ascii="TimesNewRomanPSMT" w:hAnsi="TimesNewRomanPSMT" w:cs="TimesNewRomanPSMT"/>
        </w:rPr>
        <w:t>48</w:t>
      </w:r>
      <w:r w:rsidR="00693BFA">
        <w:rPr>
          <w:rFonts w:ascii="TimesNewRomanPSMT" w:hAnsi="TimesNewRomanPSMT" w:cs="TimesNewRomanPSMT"/>
        </w:rPr>
        <w:t xml:space="preserve"> </w:t>
      </w:r>
      <w:r>
        <w:rPr>
          <w:rFonts w:ascii="TimesNewRomanPSMT" w:hAnsi="TimesNewRomanPSMT" w:cs="TimesNewRomanPSMT"/>
        </w:rPr>
        <w:t>(3): 329-343</w:t>
      </w:r>
    </w:p>
    <w:p w14:paraId="24AA3959" w14:textId="3166DBE2" w:rsidR="00CF5F72" w:rsidRDefault="00CF5F72" w:rsidP="00CF5F72">
      <w:pPr>
        <w:pStyle w:val="Standard"/>
        <w:spacing w:line="240" w:lineRule="auto"/>
        <w:rPr>
          <w:rFonts w:ascii="TimesNewRomanPSMT" w:hAnsi="TimesNewRomanPSMT" w:cs="TimesNewRomanPSMT"/>
        </w:rPr>
      </w:pPr>
    </w:p>
    <w:p w14:paraId="16667D52" w14:textId="4B9D0489" w:rsidR="00CF5F72" w:rsidRPr="00CF5F72" w:rsidRDefault="00CF5F72" w:rsidP="00CF5F72">
      <w:pPr>
        <w:pStyle w:val="Standard"/>
        <w:spacing w:line="240" w:lineRule="auto"/>
        <w:rPr>
          <w:rFonts w:ascii="TimesNewRomanPSMT" w:hAnsi="TimesNewRomanPSMT" w:cs="TimesNewRomanPSMT"/>
        </w:rPr>
      </w:pPr>
      <w:r w:rsidRPr="00CF5F72">
        <w:rPr>
          <w:rFonts w:ascii="TimesNewRomanPSMT" w:hAnsi="TimesNewRomanPSMT" w:cs="TimesNewRomanPSMT"/>
        </w:rPr>
        <w:t xml:space="preserve">Putnam, H. (1967) Psychological </w:t>
      </w:r>
      <w:r>
        <w:rPr>
          <w:rFonts w:ascii="TimesNewRomanPSMT" w:hAnsi="TimesNewRomanPSMT" w:cs="TimesNewRomanPSMT"/>
        </w:rPr>
        <w:t>p</w:t>
      </w:r>
      <w:r w:rsidRPr="00CF5F72">
        <w:rPr>
          <w:rFonts w:ascii="TimesNewRomanPSMT" w:hAnsi="TimesNewRomanPSMT" w:cs="TimesNewRomanPSMT"/>
        </w:rPr>
        <w:t>redicates</w:t>
      </w:r>
      <w:r>
        <w:rPr>
          <w:rFonts w:ascii="TimesNewRomanPSMT" w:hAnsi="TimesNewRomanPSMT" w:cs="TimesNewRomanPSMT"/>
        </w:rPr>
        <w:t>.</w:t>
      </w:r>
      <w:r w:rsidRPr="00CF5F72">
        <w:rPr>
          <w:rFonts w:ascii="TimesNewRomanPSMT" w:hAnsi="TimesNewRomanPSMT" w:cs="TimesNewRomanPSMT"/>
        </w:rPr>
        <w:t xml:space="preserve"> </w:t>
      </w:r>
      <w:r>
        <w:rPr>
          <w:rFonts w:ascii="TimesNewRomanPSMT" w:hAnsi="TimesNewRomanPSMT" w:cs="TimesNewRomanPSMT"/>
        </w:rPr>
        <w:t>I</w:t>
      </w:r>
      <w:r w:rsidRPr="00CF5F72">
        <w:rPr>
          <w:rFonts w:ascii="TimesNewRomanPSMT" w:hAnsi="TimesNewRomanPSMT" w:cs="TimesNewRomanPSMT"/>
        </w:rPr>
        <w:t>n W. H. Capitan and D. D. Merrill (eds.),</w:t>
      </w:r>
    </w:p>
    <w:p w14:paraId="054BB51C" w14:textId="57550150" w:rsidR="00734956" w:rsidRDefault="00CF5F72" w:rsidP="00DF376C">
      <w:pPr>
        <w:pStyle w:val="Standard"/>
        <w:spacing w:line="240" w:lineRule="auto"/>
        <w:rPr>
          <w:rFonts w:ascii="TimesNewRomanPSMT" w:hAnsi="TimesNewRomanPSMT" w:cs="TimesNewRomanPSMT"/>
        </w:rPr>
      </w:pPr>
      <w:r w:rsidRPr="00CF5F72">
        <w:rPr>
          <w:rFonts w:ascii="TimesNewRomanPSMT" w:hAnsi="TimesNewRomanPSMT" w:cs="TimesNewRomanPSMT"/>
          <w:i/>
        </w:rPr>
        <w:t>Art, Mind, and Religion</w:t>
      </w:r>
      <w:r w:rsidRPr="00CF5F72">
        <w:rPr>
          <w:rFonts w:ascii="TimesNewRomanPSMT" w:hAnsi="TimesNewRomanPSMT" w:cs="TimesNewRomanPSMT"/>
        </w:rPr>
        <w:t>,</w:t>
      </w:r>
      <w:r>
        <w:rPr>
          <w:rFonts w:ascii="TimesNewRomanPSMT" w:hAnsi="TimesNewRomanPSMT" w:cs="TimesNewRomanPSMT"/>
        </w:rPr>
        <w:t xml:space="preserve"> </w:t>
      </w:r>
      <w:r w:rsidRPr="00CF5F72">
        <w:rPr>
          <w:rFonts w:ascii="TimesNewRomanPSMT" w:hAnsi="TimesNewRomanPSMT" w:cs="TimesNewRomanPSMT"/>
        </w:rPr>
        <w:t>pp. 37–48</w:t>
      </w:r>
      <w:r>
        <w:rPr>
          <w:rFonts w:ascii="TimesNewRomanPSMT" w:hAnsi="TimesNewRomanPSMT" w:cs="TimesNewRomanPSMT"/>
        </w:rPr>
        <w:t>.</w:t>
      </w:r>
      <w:r w:rsidRPr="00CF5F72">
        <w:rPr>
          <w:rFonts w:ascii="TimesNewRomanPSMT" w:hAnsi="TimesNewRomanPSMT" w:cs="TimesNewRomanPSMT"/>
        </w:rPr>
        <w:t xml:space="preserve"> Pittsburgh: University of Pittsburgh Press</w:t>
      </w:r>
      <w:r>
        <w:rPr>
          <w:rFonts w:ascii="TimesNewRomanPSMT" w:hAnsi="TimesNewRomanPSMT" w:cs="TimesNewRomanPSMT"/>
        </w:rPr>
        <w:t>.</w:t>
      </w:r>
    </w:p>
    <w:p w14:paraId="25DCC330" w14:textId="5A3FDF8D" w:rsidR="00815ACA" w:rsidRDefault="00815ACA" w:rsidP="00DF376C">
      <w:pPr>
        <w:pStyle w:val="Standard"/>
        <w:spacing w:line="240" w:lineRule="auto"/>
        <w:rPr>
          <w:rFonts w:ascii="TimesNewRomanPSMT" w:hAnsi="TimesNewRomanPSMT" w:cs="TimesNewRomanPSMT"/>
        </w:rPr>
      </w:pPr>
    </w:p>
    <w:p w14:paraId="5F7009D3" w14:textId="3920368B" w:rsidR="00815ACA" w:rsidRPr="00815ACA" w:rsidRDefault="00815ACA" w:rsidP="00DF376C">
      <w:pPr>
        <w:pStyle w:val="Standard"/>
        <w:spacing w:line="240" w:lineRule="auto"/>
        <w:rPr>
          <w:rFonts w:ascii="TimesNewRomanPSMT" w:hAnsi="TimesNewRomanPSMT" w:cs="TimesNewRomanPSMT"/>
        </w:rPr>
      </w:pPr>
      <w:r>
        <w:rPr>
          <w:rFonts w:ascii="TimesNewRomanPSMT" w:hAnsi="TimesNewRomanPSMT" w:cs="TimesNewRomanPSMT"/>
        </w:rPr>
        <w:t xml:space="preserve">Rovane, C. (2014). </w:t>
      </w:r>
      <w:r w:rsidRPr="00815ACA">
        <w:rPr>
          <w:rFonts w:ascii="TimesNewRomanPSMT" w:hAnsi="TimesNewRomanPSMT" w:cs="TimesNewRomanPSMT"/>
        </w:rPr>
        <w:t xml:space="preserve">Group </w:t>
      </w:r>
      <w:r>
        <w:rPr>
          <w:rFonts w:ascii="TimesNewRomanPSMT" w:hAnsi="TimesNewRomanPSMT" w:cs="TimesNewRomanPSMT"/>
        </w:rPr>
        <w:t>a</w:t>
      </w:r>
      <w:r w:rsidRPr="00815ACA">
        <w:rPr>
          <w:rFonts w:ascii="TimesNewRomanPSMT" w:hAnsi="TimesNewRomanPSMT" w:cs="TimesNewRomanPSMT"/>
        </w:rPr>
        <w:t xml:space="preserve">gency and </w:t>
      </w:r>
      <w:r>
        <w:rPr>
          <w:rFonts w:ascii="TimesNewRomanPSMT" w:hAnsi="TimesNewRomanPSMT" w:cs="TimesNewRomanPSMT"/>
        </w:rPr>
        <w:t>i</w:t>
      </w:r>
      <w:r w:rsidRPr="00815ACA">
        <w:rPr>
          <w:rFonts w:ascii="TimesNewRomanPSMT" w:hAnsi="TimesNewRomanPSMT" w:cs="TimesNewRomanPSMT"/>
        </w:rPr>
        <w:t>ndividualism</w:t>
      </w:r>
      <w:r>
        <w:rPr>
          <w:rFonts w:ascii="TimesNewRomanPSMT" w:hAnsi="TimesNewRomanPSMT" w:cs="TimesNewRomanPSMT"/>
        </w:rPr>
        <w:t xml:space="preserve">. </w:t>
      </w:r>
      <w:r>
        <w:rPr>
          <w:rFonts w:ascii="TimesNewRomanPSMT" w:hAnsi="TimesNewRomanPSMT" w:cs="TimesNewRomanPSMT"/>
          <w:i/>
        </w:rPr>
        <w:t>Erkenntnis</w:t>
      </w:r>
      <w:r>
        <w:rPr>
          <w:rFonts w:ascii="TimesNewRomanPSMT" w:hAnsi="TimesNewRomanPSMT" w:cs="TimesNewRomanPSMT"/>
        </w:rPr>
        <w:t xml:space="preserve"> </w:t>
      </w:r>
      <w:r w:rsidRPr="00815ACA">
        <w:rPr>
          <w:rFonts w:ascii="TimesNewRomanPSMT" w:hAnsi="TimesNewRomanPSMT" w:cs="TimesNewRomanPSMT"/>
        </w:rPr>
        <w:t>79:</w:t>
      </w:r>
      <w:r>
        <w:rPr>
          <w:rFonts w:ascii="TimesNewRomanPSMT" w:hAnsi="TimesNewRomanPSMT" w:cs="TimesNewRomanPSMT"/>
        </w:rPr>
        <w:t xml:space="preserve"> </w:t>
      </w:r>
      <w:r w:rsidRPr="00815ACA">
        <w:rPr>
          <w:rFonts w:ascii="TimesNewRomanPSMT" w:hAnsi="TimesNewRomanPSMT" w:cs="TimesNewRomanPSMT"/>
        </w:rPr>
        <w:t>1663–1684</w:t>
      </w:r>
      <w:r>
        <w:rPr>
          <w:rFonts w:ascii="TimesNewRomanPSMT" w:hAnsi="TimesNewRomanPSMT" w:cs="TimesNewRomanPSMT"/>
        </w:rPr>
        <w:t>.</w:t>
      </w:r>
    </w:p>
    <w:p w14:paraId="4E5507A5" w14:textId="77777777" w:rsidR="00DF376C" w:rsidRDefault="00DF376C" w:rsidP="00DF376C">
      <w:pPr>
        <w:pStyle w:val="Standard"/>
        <w:spacing w:line="240" w:lineRule="auto"/>
      </w:pPr>
    </w:p>
    <w:p w14:paraId="2F132F57" w14:textId="5B06D8EB" w:rsidR="00DF376C" w:rsidRDefault="00DF376C" w:rsidP="00DF376C">
      <w:pPr>
        <w:pStyle w:val="Standard"/>
        <w:spacing w:line="240" w:lineRule="auto"/>
      </w:pPr>
      <w:r>
        <w:t xml:space="preserve">Rumelhart, D. E., G. E. Hinton, and J. L. </w:t>
      </w:r>
      <w:r w:rsidR="00FD1FA2">
        <w:t>McClelland</w:t>
      </w:r>
      <w:r>
        <w:t xml:space="preserve"> (1986). A general framework for parallel distributed processing. In </w:t>
      </w:r>
      <w:r w:rsidRPr="00182AAC">
        <w:t xml:space="preserve">Rumelhart, D. E., McClelland, J. L., </w:t>
      </w:r>
      <w:r>
        <w:t xml:space="preserve">and the PDP Research Group (Eds.), </w:t>
      </w:r>
      <w:r w:rsidRPr="00182AAC">
        <w:rPr>
          <w:i/>
        </w:rPr>
        <w:t>Parallel Distributed Processing: Explorations in the Microstructure of Cognition</w:t>
      </w:r>
      <w:r w:rsidRPr="00182AAC">
        <w:t xml:space="preserve">, Vol. 1, </w:t>
      </w:r>
      <w:r w:rsidRPr="008B5DB0">
        <w:rPr>
          <w:i/>
        </w:rPr>
        <w:t>Foundations</w:t>
      </w:r>
      <w:r>
        <w:t xml:space="preserve"> (pp. 45–76)</w:t>
      </w:r>
      <w:r w:rsidRPr="00182AAC">
        <w:t>. Cambridge, MA: MIT Press.</w:t>
      </w:r>
    </w:p>
    <w:p w14:paraId="0E0BF3C0" w14:textId="77777777" w:rsidR="00DF376C" w:rsidRDefault="00DF376C" w:rsidP="00DF376C">
      <w:pPr>
        <w:pStyle w:val="Standard"/>
        <w:spacing w:line="240" w:lineRule="auto"/>
      </w:pPr>
    </w:p>
    <w:p w14:paraId="7B92C9BD" w14:textId="603DEAE3" w:rsidR="00DF376C" w:rsidRPr="005F2CCE" w:rsidRDefault="00DF376C" w:rsidP="00DF376C">
      <w:pPr>
        <w:pStyle w:val="Standard"/>
        <w:spacing w:line="240" w:lineRule="auto"/>
        <w:rPr>
          <w:i/>
        </w:rPr>
      </w:pPr>
      <w:r w:rsidRPr="005F2CCE">
        <w:t>Rupert, R.</w:t>
      </w:r>
      <w:r w:rsidR="001C4263">
        <w:t xml:space="preserve"> D.</w:t>
      </w:r>
      <w:r w:rsidRPr="005F2CCE">
        <w:t xml:space="preserve"> (2004). Challenges to the hypothesis of extended cognition. </w:t>
      </w:r>
      <w:r w:rsidRPr="005F2CCE">
        <w:rPr>
          <w:i/>
        </w:rPr>
        <w:t xml:space="preserve">Journal of </w:t>
      </w:r>
    </w:p>
    <w:p w14:paraId="49525251" w14:textId="77777777" w:rsidR="00DF376C" w:rsidRPr="005F2CCE" w:rsidRDefault="00DF376C" w:rsidP="00DF376C">
      <w:pPr>
        <w:pStyle w:val="Standard"/>
        <w:spacing w:line="240" w:lineRule="auto"/>
        <w:rPr>
          <w:i/>
        </w:rPr>
      </w:pPr>
      <w:r w:rsidRPr="005F2CCE">
        <w:rPr>
          <w:i/>
        </w:rPr>
        <w:t>Philosophy</w:t>
      </w:r>
      <w:r w:rsidRPr="005F2CCE">
        <w:t xml:space="preserve"> 101, 389–428.</w:t>
      </w:r>
    </w:p>
    <w:p w14:paraId="762CD499" w14:textId="77777777" w:rsidR="00DF376C" w:rsidRPr="00B65BF7" w:rsidRDefault="00DF376C" w:rsidP="00DF376C">
      <w:pPr>
        <w:pStyle w:val="Standard"/>
        <w:spacing w:line="240" w:lineRule="auto"/>
      </w:pPr>
    </w:p>
    <w:p w14:paraId="30E4F65B" w14:textId="2627CAC5" w:rsidR="00DF376C" w:rsidRDefault="00DF376C" w:rsidP="00DF376C">
      <w:pPr>
        <w:pStyle w:val="Standard"/>
        <w:spacing w:line="240" w:lineRule="auto"/>
      </w:pPr>
      <w:r>
        <w:t>Rupert, R.</w:t>
      </w:r>
      <w:r w:rsidR="001C4263">
        <w:t xml:space="preserve"> D.</w:t>
      </w:r>
      <w:r>
        <w:t xml:space="preserve"> (2005). Minding one’s cognitive systems: When does a group of minds constitute a single c</w:t>
      </w:r>
      <w:r w:rsidRPr="00B65BF7">
        <w:t>og</w:t>
      </w:r>
      <w:r>
        <w:t>nitive u</w:t>
      </w:r>
      <w:r w:rsidRPr="00B65BF7">
        <w:t xml:space="preserve">nit? </w:t>
      </w:r>
      <w:r w:rsidRPr="00B65BF7">
        <w:rPr>
          <w:i/>
          <w:iCs/>
        </w:rPr>
        <w:t xml:space="preserve">Episteme: A Journal of Social Epistemology </w:t>
      </w:r>
      <w:r>
        <w:t>1,</w:t>
      </w:r>
      <w:r w:rsidRPr="00B65BF7">
        <w:t xml:space="preserve"> 177–88.</w:t>
      </w:r>
    </w:p>
    <w:p w14:paraId="5ACBD5CD" w14:textId="77777777" w:rsidR="00DF376C" w:rsidRDefault="00DF376C" w:rsidP="00DF376C">
      <w:pPr>
        <w:pStyle w:val="Standard"/>
        <w:spacing w:line="240" w:lineRule="auto"/>
      </w:pPr>
    </w:p>
    <w:p w14:paraId="256518E6" w14:textId="0F786C5D" w:rsidR="00DF376C" w:rsidRDefault="00DF376C" w:rsidP="00DF376C">
      <w:pPr>
        <w:pStyle w:val="Standard"/>
        <w:spacing w:line="240" w:lineRule="auto"/>
      </w:pPr>
      <w:r w:rsidRPr="005F2CCE">
        <w:t xml:space="preserve">Rupert, R. </w:t>
      </w:r>
      <w:r w:rsidR="001C4263">
        <w:t xml:space="preserve">D. </w:t>
      </w:r>
      <w:r w:rsidRPr="005F2CCE">
        <w:t xml:space="preserve">(2009). </w:t>
      </w:r>
      <w:r w:rsidRPr="005F2CCE">
        <w:rPr>
          <w:i/>
        </w:rPr>
        <w:t>Cognitive systems and the extended mind</w:t>
      </w:r>
      <w:r w:rsidRPr="005F2CCE">
        <w:t>. Oxford: Oxford University Press.</w:t>
      </w:r>
    </w:p>
    <w:p w14:paraId="3278E44E" w14:textId="77777777" w:rsidR="00DF376C" w:rsidRDefault="00DF376C" w:rsidP="00DF376C">
      <w:pPr>
        <w:pStyle w:val="Standard"/>
        <w:spacing w:line="240" w:lineRule="auto"/>
      </w:pPr>
    </w:p>
    <w:p w14:paraId="62DB5961" w14:textId="67975005" w:rsidR="00DF376C" w:rsidRDefault="00DF376C" w:rsidP="00DF376C">
      <w:pPr>
        <w:pStyle w:val="Standard"/>
        <w:spacing w:line="240" w:lineRule="auto"/>
      </w:pPr>
      <w:r>
        <w:lastRenderedPageBreak/>
        <w:t>Rupert, R</w:t>
      </w:r>
      <w:r w:rsidRPr="007074F4">
        <w:t xml:space="preserve">. </w:t>
      </w:r>
      <w:r w:rsidR="001C4263">
        <w:t xml:space="preserve">D. </w:t>
      </w:r>
      <w:r w:rsidRPr="007074F4">
        <w:t>(2010)</w:t>
      </w:r>
      <w:r>
        <w:t>.</w:t>
      </w:r>
      <w:r w:rsidRPr="007074F4">
        <w:t xml:space="preserve"> </w:t>
      </w:r>
      <w:r>
        <w:t>Extended cognition and the p</w:t>
      </w:r>
      <w:r w:rsidRPr="007074F4">
        <w:t>riori</w:t>
      </w:r>
      <w:r>
        <w:t>ty of cognitive systems.</w:t>
      </w:r>
      <w:r w:rsidRPr="007074F4">
        <w:t xml:space="preserve"> </w:t>
      </w:r>
      <w:r w:rsidRPr="007074F4">
        <w:rPr>
          <w:i/>
        </w:rPr>
        <w:t>Cognitive Systems Research</w:t>
      </w:r>
      <w:r w:rsidRPr="007074F4">
        <w:t xml:space="preserve"> 11: 343–56.</w:t>
      </w:r>
    </w:p>
    <w:p w14:paraId="6D36EC2F" w14:textId="6F0FB883" w:rsidR="00704827" w:rsidRDefault="00704827" w:rsidP="00704827">
      <w:pPr>
        <w:pStyle w:val="Standard"/>
        <w:spacing w:line="240" w:lineRule="auto"/>
      </w:pPr>
    </w:p>
    <w:p w14:paraId="49267A17" w14:textId="356C452E" w:rsidR="00704827" w:rsidRDefault="00704827" w:rsidP="00704827">
      <w:pPr>
        <w:pStyle w:val="Standard"/>
        <w:spacing w:line="240" w:lineRule="auto"/>
      </w:pPr>
      <w:r>
        <w:t>Rupert, R.</w:t>
      </w:r>
      <w:r w:rsidR="001C4263">
        <w:t xml:space="preserve"> D.</w:t>
      </w:r>
      <w:r>
        <w:t xml:space="preserve"> (2011). Empirical arguments for group minds: A critical appraisal. </w:t>
      </w:r>
      <w:r w:rsidRPr="00704827">
        <w:rPr>
          <w:i/>
        </w:rPr>
        <w:t xml:space="preserve">Philosophy Compass </w:t>
      </w:r>
      <w:r>
        <w:t>6 (9): 630–639</w:t>
      </w:r>
    </w:p>
    <w:p w14:paraId="1400BE4D" w14:textId="77777777" w:rsidR="00DF376C" w:rsidRDefault="00DF376C" w:rsidP="00DF376C">
      <w:pPr>
        <w:pStyle w:val="Standard"/>
        <w:spacing w:line="240" w:lineRule="auto"/>
      </w:pPr>
    </w:p>
    <w:p w14:paraId="5F5748C7" w14:textId="2E41AB33" w:rsidR="00CC5C62" w:rsidRDefault="00DF376C" w:rsidP="00DF376C">
      <w:pPr>
        <w:pStyle w:val="Standard"/>
        <w:spacing w:line="240" w:lineRule="auto"/>
        <w:rPr>
          <w:bCs/>
        </w:rPr>
      </w:pPr>
      <w:r>
        <w:t>Rupert, R.</w:t>
      </w:r>
      <w:r w:rsidR="001C4263">
        <w:t xml:space="preserve"> D.</w:t>
      </w:r>
      <w:r>
        <w:t xml:space="preserve"> (2013). Memory, natural kinds, and cognitive e</w:t>
      </w:r>
      <w:r w:rsidRPr="003348D7">
        <w:t>xtension;</w:t>
      </w:r>
      <w:r>
        <w:t xml:space="preserve"> or, M</w:t>
      </w:r>
      <w:r w:rsidRPr="003348D7">
        <w:t xml:space="preserve">artians </w:t>
      </w:r>
      <w:r>
        <w:t>don’t remember, and cognitive s</w:t>
      </w:r>
      <w:r w:rsidRPr="003348D7">
        <w:t>cience</w:t>
      </w:r>
      <w:r>
        <w:t xml:space="preserve"> is not about cognition. </w:t>
      </w:r>
      <w:r>
        <w:rPr>
          <w:i/>
        </w:rPr>
        <w:t>Review of Philosophy and Psychology</w:t>
      </w:r>
      <w:r>
        <w:t xml:space="preserve"> </w:t>
      </w:r>
      <w:r w:rsidR="00704827">
        <w:rPr>
          <w:bCs/>
        </w:rPr>
        <w:t>4 (1): 25–</w:t>
      </w:r>
      <w:r w:rsidR="00704827" w:rsidRPr="0097147A">
        <w:rPr>
          <w:bCs/>
        </w:rPr>
        <w:t>47</w:t>
      </w:r>
    </w:p>
    <w:p w14:paraId="1098D429" w14:textId="77777777" w:rsidR="00704827" w:rsidRDefault="00704827" w:rsidP="00DF376C">
      <w:pPr>
        <w:pStyle w:val="Standard"/>
        <w:spacing w:line="240" w:lineRule="auto"/>
      </w:pPr>
    </w:p>
    <w:p w14:paraId="043A74D3" w14:textId="3CC38B7B" w:rsidR="00DF376C" w:rsidRDefault="00704827" w:rsidP="00DF376C">
      <w:pPr>
        <w:pStyle w:val="Standard"/>
        <w:spacing w:line="240" w:lineRule="auto"/>
        <w:rPr>
          <w:snapToGrid w:val="0"/>
        </w:rPr>
      </w:pPr>
      <w:r>
        <w:t>Rupert, R.</w:t>
      </w:r>
      <w:r w:rsidR="001C4263">
        <w:t xml:space="preserve"> D.</w:t>
      </w:r>
      <w:r>
        <w:t xml:space="preserve"> (2014)</w:t>
      </w:r>
      <w:r w:rsidR="00DF376C">
        <w:t>. Against grou</w:t>
      </w:r>
      <w:r>
        <w:t>p cognitive states. In</w:t>
      </w:r>
      <w:r w:rsidR="00DF376C">
        <w:t xml:space="preserve"> S. Chant, F. </w:t>
      </w:r>
      <w:proofErr w:type="spellStart"/>
      <w:r w:rsidR="00DF376C">
        <w:t>Hindriks</w:t>
      </w:r>
      <w:proofErr w:type="spellEnd"/>
      <w:r w:rsidR="00DF376C">
        <w:t xml:space="preserve">, and G. </w:t>
      </w:r>
      <w:proofErr w:type="spellStart"/>
      <w:r w:rsidR="00DF376C">
        <w:t>Preyer</w:t>
      </w:r>
      <w:proofErr w:type="spellEnd"/>
      <w:r w:rsidR="00DF376C">
        <w:t xml:space="preserve"> (eds.), </w:t>
      </w:r>
      <w:r>
        <w:rPr>
          <w:i/>
        </w:rPr>
        <w:t xml:space="preserve">From individual to collective </w:t>
      </w:r>
      <w:r w:rsidRPr="00704827">
        <w:t>i</w:t>
      </w:r>
      <w:r w:rsidR="00DF376C" w:rsidRPr="00704827">
        <w:t>ntentionality</w:t>
      </w:r>
      <w:r>
        <w:t xml:space="preserve">, </w:t>
      </w:r>
      <w:r w:rsidRPr="00704827">
        <w:rPr>
          <w:snapToGrid w:val="0"/>
        </w:rPr>
        <w:t>pp</w:t>
      </w:r>
      <w:r>
        <w:rPr>
          <w:snapToGrid w:val="0"/>
        </w:rPr>
        <w:t>. 97–</w:t>
      </w:r>
      <w:r w:rsidRPr="00F965D8">
        <w:rPr>
          <w:snapToGrid w:val="0"/>
        </w:rPr>
        <w:t>111</w:t>
      </w:r>
      <w:r>
        <w:t xml:space="preserve"> </w:t>
      </w:r>
      <w:r w:rsidR="00DF376C">
        <w:t>O</w:t>
      </w:r>
      <w:r>
        <w:t>xford: Oxford University Press</w:t>
      </w:r>
      <w:r>
        <w:rPr>
          <w:snapToGrid w:val="0"/>
        </w:rPr>
        <w:t>.</w:t>
      </w:r>
    </w:p>
    <w:p w14:paraId="140C6319" w14:textId="3A427BFE" w:rsidR="001C4263" w:rsidRDefault="001C4263" w:rsidP="00DF376C">
      <w:pPr>
        <w:pStyle w:val="Standard"/>
        <w:spacing w:line="240" w:lineRule="auto"/>
      </w:pPr>
    </w:p>
    <w:p w14:paraId="239B84CF" w14:textId="257B7F9C" w:rsidR="001C4263" w:rsidRDefault="001C4263" w:rsidP="00DF376C">
      <w:pPr>
        <w:pStyle w:val="Standard"/>
        <w:spacing w:line="240" w:lineRule="auto"/>
      </w:pPr>
      <w:r>
        <w:t xml:space="preserve">Rupert, R. D. (2018). </w:t>
      </w:r>
      <w:r w:rsidRPr="001C4263">
        <w:t xml:space="preserve">The </w:t>
      </w:r>
      <w:r w:rsidR="00644EE3">
        <w:t>s</w:t>
      </w:r>
      <w:r w:rsidRPr="001C4263">
        <w:t xml:space="preserve">elf in the </w:t>
      </w:r>
      <w:r w:rsidR="00644EE3">
        <w:t>a</w:t>
      </w:r>
      <w:r w:rsidRPr="001C4263">
        <w:t xml:space="preserve">ge of </w:t>
      </w:r>
      <w:r w:rsidR="00644EE3">
        <w:t>c</w:t>
      </w:r>
      <w:r w:rsidRPr="001C4263">
        <w:t xml:space="preserve">ognitive </w:t>
      </w:r>
      <w:r w:rsidR="00644EE3">
        <w:t>s</w:t>
      </w:r>
      <w:r w:rsidRPr="001C4263">
        <w:t>cience</w:t>
      </w:r>
      <w:r w:rsidR="00644EE3">
        <w:t>.</w:t>
      </w:r>
      <w:r w:rsidRPr="001C4263">
        <w:t xml:space="preserve"> </w:t>
      </w:r>
      <w:r w:rsidRPr="00644EE3">
        <w:rPr>
          <w:i/>
        </w:rPr>
        <w:t>Philosophic Exchange</w:t>
      </w:r>
      <w:r w:rsidRPr="001C4263">
        <w:t xml:space="preserve"> 47</w:t>
      </w:r>
      <w:r>
        <w:t>.</w:t>
      </w:r>
      <w:r w:rsidRPr="001C4263">
        <w:t xml:space="preserve"> </w:t>
      </w:r>
      <w:hyperlink r:id="rId6" w:history="1">
        <w:r w:rsidRPr="00DD1023">
          <w:rPr>
            <w:rStyle w:val="Hyperlink"/>
          </w:rPr>
          <w:t>https://digitalcommons.brockport.edu/phil_ex/vol47/iss1/2</w:t>
        </w:r>
      </w:hyperlink>
      <w:r w:rsidR="00644EE3">
        <w:t xml:space="preserve"> .</w:t>
      </w:r>
    </w:p>
    <w:p w14:paraId="51A076A7" w14:textId="55DC6E84" w:rsidR="00DF376C" w:rsidRDefault="00DF376C" w:rsidP="00DF376C">
      <w:pPr>
        <w:pStyle w:val="Standard"/>
        <w:spacing w:line="240" w:lineRule="auto"/>
      </w:pPr>
    </w:p>
    <w:p w14:paraId="0488B0AC" w14:textId="00043FF8" w:rsidR="00704827" w:rsidRDefault="00704827" w:rsidP="00A21130">
      <w:pPr>
        <w:pStyle w:val="Standard"/>
        <w:spacing w:line="240" w:lineRule="auto"/>
      </w:pPr>
      <w:r>
        <w:t xml:space="preserve">Schaffer, J. (2016). Ground rules: Lessons from Wilson. In K. Aizawa and C. Gillett (eds.), </w:t>
      </w:r>
      <w:r>
        <w:rPr>
          <w:i/>
        </w:rPr>
        <w:t>Scientific composition and metaphysical ground</w:t>
      </w:r>
      <w:r>
        <w:t>, pp. 143–169. Springer.</w:t>
      </w:r>
    </w:p>
    <w:p w14:paraId="6F9D5A59" w14:textId="029FEB51" w:rsidR="002D1E56" w:rsidRDefault="002D1E56" w:rsidP="00A21130">
      <w:pPr>
        <w:pStyle w:val="Standard"/>
        <w:spacing w:line="240" w:lineRule="auto"/>
      </w:pPr>
    </w:p>
    <w:p w14:paraId="37CF4D65" w14:textId="77777777" w:rsidR="002D1E56" w:rsidRDefault="002D1E56" w:rsidP="00A21130">
      <w:pPr>
        <w:pStyle w:val="Standard"/>
        <w:spacing w:line="240" w:lineRule="auto"/>
      </w:pPr>
      <w:r>
        <w:t>Schwitzgebel, E. (2015). If materialism is true, the United States is probably</w:t>
      </w:r>
    </w:p>
    <w:p w14:paraId="4C134257" w14:textId="16DDD3DF" w:rsidR="002D1E56" w:rsidRDefault="002D1E56" w:rsidP="00A21130">
      <w:pPr>
        <w:pStyle w:val="Standard"/>
        <w:spacing w:line="240" w:lineRule="auto"/>
      </w:pPr>
      <w:r>
        <w:t xml:space="preserve">conscious. </w:t>
      </w:r>
      <w:r>
        <w:rPr>
          <w:i/>
        </w:rPr>
        <w:t xml:space="preserve">Philosophical Studies </w:t>
      </w:r>
      <w:r w:rsidRPr="002D1E56">
        <w:t>172:</w:t>
      </w:r>
      <w:r>
        <w:t xml:space="preserve"> </w:t>
      </w:r>
      <w:r w:rsidRPr="002D1E56">
        <w:t>1697–1721</w:t>
      </w:r>
      <w:r>
        <w:t>.</w:t>
      </w:r>
    </w:p>
    <w:p w14:paraId="5715CF4D" w14:textId="7ABEAD23" w:rsidR="00CF5F72" w:rsidRDefault="00CF5F72" w:rsidP="00CF5F72">
      <w:pPr>
        <w:pStyle w:val="Standard"/>
        <w:spacing w:line="240" w:lineRule="auto"/>
      </w:pPr>
    </w:p>
    <w:p w14:paraId="000514B3" w14:textId="79CB6EDC" w:rsidR="00CF5F72" w:rsidRPr="002D1E56" w:rsidRDefault="00CF5F72" w:rsidP="00CF5F72">
      <w:pPr>
        <w:pStyle w:val="Standard"/>
        <w:spacing w:line="240" w:lineRule="auto"/>
      </w:pPr>
      <w:r>
        <w:t xml:space="preserve">Shoemaker, S. (1981) Some varieties of functionalism. </w:t>
      </w:r>
      <w:r w:rsidRPr="00CF5F72">
        <w:rPr>
          <w:i/>
        </w:rPr>
        <w:t>Philosophical Topics</w:t>
      </w:r>
      <w:r>
        <w:t xml:space="preserve"> 12: 93–118.</w:t>
      </w:r>
    </w:p>
    <w:p w14:paraId="77EAEDF5" w14:textId="77777777" w:rsidR="00704827" w:rsidRDefault="00704827" w:rsidP="00A21130">
      <w:pPr>
        <w:pStyle w:val="Standard"/>
        <w:spacing w:line="240" w:lineRule="auto"/>
      </w:pPr>
    </w:p>
    <w:p w14:paraId="13F4C0C2" w14:textId="77777777" w:rsidR="00DF376C" w:rsidRPr="005F2CCE" w:rsidRDefault="00DF376C" w:rsidP="00A21130">
      <w:pPr>
        <w:pStyle w:val="Standard"/>
        <w:spacing w:line="240" w:lineRule="auto"/>
      </w:pPr>
      <w:r w:rsidRPr="005F2CCE">
        <w:t xml:space="preserve">Sprevak, M. (2009). Extended cognition and functionalism. </w:t>
      </w:r>
      <w:r w:rsidRPr="005F2CCE">
        <w:rPr>
          <w:i/>
        </w:rPr>
        <w:t>Journal of Philosophy</w:t>
      </w:r>
      <w:r w:rsidRPr="005F2CCE">
        <w:t xml:space="preserve"> 106, </w:t>
      </w:r>
    </w:p>
    <w:p w14:paraId="2F938F05" w14:textId="54D30513" w:rsidR="00DF376C" w:rsidRDefault="00DF376C" w:rsidP="00A21130">
      <w:pPr>
        <w:pStyle w:val="Standard"/>
        <w:spacing w:line="240" w:lineRule="auto"/>
      </w:pPr>
      <w:r w:rsidRPr="005F2CCE">
        <w:t>503–27.</w:t>
      </w:r>
    </w:p>
    <w:p w14:paraId="3E7682EB" w14:textId="6389431E" w:rsidR="00F860B7" w:rsidRDefault="00F860B7" w:rsidP="00A21130">
      <w:pPr>
        <w:pStyle w:val="Standard"/>
        <w:spacing w:line="240" w:lineRule="auto"/>
      </w:pPr>
    </w:p>
    <w:p w14:paraId="23E0B642" w14:textId="53ABF36F" w:rsidR="00F860B7" w:rsidRPr="00F860B7" w:rsidRDefault="00F860B7" w:rsidP="00A21130">
      <w:pPr>
        <w:pStyle w:val="Standard"/>
        <w:spacing w:line="240" w:lineRule="auto"/>
      </w:pPr>
      <w:r>
        <w:t xml:space="preserve">Stich, S. (1996). </w:t>
      </w:r>
      <w:r>
        <w:rPr>
          <w:i/>
        </w:rPr>
        <w:t>Deconstructing the Mind</w:t>
      </w:r>
      <w:r>
        <w:t>. Oxford: Oxford University Press.</w:t>
      </w:r>
    </w:p>
    <w:p w14:paraId="6657DE82" w14:textId="54000FE5" w:rsidR="00A21130" w:rsidRDefault="00A21130" w:rsidP="00A21130">
      <w:pPr>
        <w:pStyle w:val="Standard"/>
        <w:spacing w:line="240" w:lineRule="auto"/>
      </w:pPr>
    </w:p>
    <w:p w14:paraId="0B67F4D9" w14:textId="11AE2B35" w:rsidR="00A21130" w:rsidRDefault="00A21130" w:rsidP="00A21130">
      <w:pPr>
        <w:pStyle w:val="Standard"/>
        <w:spacing w:line="240" w:lineRule="auto"/>
      </w:pPr>
      <w:r>
        <w:t xml:space="preserve">Sytsma, J. and E. Machery. (2009). How to study folk intuitions about phenomenal consciousness. </w:t>
      </w:r>
      <w:r w:rsidRPr="00A21130">
        <w:rPr>
          <w:i/>
        </w:rPr>
        <w:t>Philosophical Psychology</w:t>
      </w:r>
      <w:r>
        <w:t xml:space="preserve"> 22: 21–35.</w:t>
      </w:r>
    </w:p>
    <w:p w14:paraId="61BC5E1A" w14:textId="77777777" w:rsidR="00A21130" w:rsidRDefault="00A21130" w:rsidP="00A21130">
      <w:pPr>
        <w:pStyle w:val="Standard"/>
        <w:spacing w:line="240" w:lineRule="auto"/>
      </w:pPr>
    </w:p>
    <w:p w14:paraId="216EA8E6" w14:textId="59C8F37B" w:rsidR="00A21130" w:rsidRDefault="00A21130" w:rsidP="00C668FB">
      <w:pPr>
        <w:pStyle w:val="Standard"/>
        <w:spacing w:line="240" w:lineRule="auto"/>
      </w:pPr>
      <w:r>
        <w:t xml:space="preserve">Sytsma, J. and E. Machery. (2010) Two conceptions of subjective experience. </w:t>
      </w:r>
      <w:r w:rsidRPr="00A21130">
        <w:rPr>
          <w:i/>
        </w:rPr>
        <w:t>Philosophical Studies</w:t>
      </w:r>
      <w:r>
        <w:t xml:space="preserve"> 151: 299–327.</w:t>
      </w:r>
    </w:p>
    <w:p w14:paraId="0D319F09" w14:textId="43AEDE95" w:rsidR="00C668FB" w:rsidRDefault="00C668FB" w:rsidP="00C668FB">
      <w:pPr>
        <w:pStyle w:val="Standard"/>
        <w:spacing w:line="240" w:lineRule="auto"/>
      </w:pPr>
    </w:p>
    <w:p w14:paraId="39BFBCB9" w14:textId="35E9975F" w:rsidR="00C668FB" w:rsidRDefault="00C668FB" w:rsidP="00C668FB">
      <w:pPr>
        <w:pStyle w:val="Standard"/>
        <w:spacing w:line="240" w:lineRule="auto"/>
      </w:pPr>
      <w:proofErr w:type="spellStart"/>
      <w:r>
        <w:t>Theiner</w:t>
      </w:r>
      <w:proofErr w:type="spellEnd"/>
      <w:r>
        <w:t xml:space="preserve">, G. and T. O’Connor. (2010). The emergence of group cognition. In A. </w:t>
      </w:r>
      <w:proofErr w:type="spellStart"/>
      <w:r>
        <w:t>Corradini</w:t>
      </w:r>
      <w:proofErr w:type="spellEnd"/>
      <w:r>
        <w:t xml:space="preserve"> and T. O’Connor (Eds.). </w:t>
      </w:r>
      <w:r w:rsidRPr="00C668FB">
        <w:rPr>
          <w:i/>
        </w:rPr>
        <w:t xml:space="preserve">Emergence in </w:t>
      </w:r>
      <w:r>
        <w:rPr>
          <w:i/>
        </w:rPr>
        <w:t>s</w:t>
      </w:r>
      <w:r w:rsidRPr="00C668FB">
        <w:rPr>
          <w:i/>
        </w:rPr>
        <w:t xml:space="preserve">cience and </w:t>
      </w:r>
      <w:r>
        <w:rPr>
          <w:i/>
        </w:rPr>
        <w:t>p</w:t>
      </w:r>
      <w:r w:rsidRPr="00C668FB">
        <w:rPr>
          <w:i/>
        </w:rPr>
        <w:t>hilosophy</w:t>
      </w:r>
      <w:r>
        <w:t>, pp. 78–117. New York: Routledge.</w:t>
      </w:r>
    </w:p>
    <w:p w14:paraId="2B546525" w14:textId="77777777" w:rsidR="00C668FB" w:rsidRDefault="00C668FB" w:rsidP="00C668FB">
      <w:pPr>
        <w:pStyle w:val="Standard"/>
        <w:spacing w:line="240" w:lineRule="auto"/>
      </w:pPr>
    </w:p>
    <w:p w14:paraId="269DCA74" w14:textId="7FEBDFA9" w:rsidR="00C668FB" w:rsidRDefault="00C668FB" w:rsidP="00C668FB">
      <w:pPr>
        <w:pStyle w:val="Standard"/>
        <w:spacing w:line="240" w:lineRule="auto"/>
      </w:pPr>
      <w:proofErr w:type="spellStart"/>
      <w:r>
        <w:t>Theiner</w:t>
      </w:r>
      <w:proofErr w:type="spellEnd"/>
      <w:r>
        <w:t xml:space="preserve">, G., C. Allen, and R. L. Goldstone. (2010). Recognizing group cognition. </w:t>
      </w:r>
      <w:r w:rsidRPr="00C668FB">
        <w:rPr>
          <w:i/>
        </w:rPr>
        <w:t>Cognitive Systems Research</w:t>
      </w:r>
      <w:r>
        <w:t xml:space="preserve"> 11: 378–395.</w:t>
      </w:r>
    </w:p>
    <w:p w14:paraId="50ED7986" w14:textId="5A2E6E87" w:rsidR="00DF376C" w:rsidRDefault="00DF376C" w:rsidP="00C668FB">
      <w:pPr>
        <w:pStyle w:val="Standard"/>
        <w:spacing w:line="240" w:lineRule="auto"/>
      </w:pPr>
    </w:p>
    <w:p w14:paraId="48DA370C" w14:textId="1725B0DD" w:rsidR="00A21130" w:rsidRDefault="00286DE4" w:rsidP="00C668FB">
      <w:pPr>
        <w:pStyle w:val="Standard"/>
        <w:spacing w:line="240" w:lineRule="auto"/>
      </w:pPr>
      <w:proofErr w:type="spellStart"/>
      <w:r>
        <w:t>Tollefsen</w:t>
      </w:r>
      <w:proofErr w:type="spellEnd"/>
      <w:r>
        <w:t>, D. (2006). From extended mind to collective mind.</w:t>
      </w:r>
      <w:r w:rsidRPr="00963DE8">
        <w:t xml:space="preserve"> </w:t>
      </w:r>
      <w:r>
        <w:rPr>
          <w:i/>
        </w:rPr>
        <w:t xml:space="preserve">Cognitive Systems </w:t>
      </w:r>
      <w:r w:rsidRPr="00963DE8">
        <w:rPr>
          <w:i/>
        </w:rPr>
        <w:t>Research</w:t>
      </w:r>
      <w:r w:rsidRPr="00963DE8">
        <w:t xml:space="preserve"> 7 (2006): 140–50.</w:t>
      </w:r>
    </w:p>
    <w:p w14:paraId="151297AC" w14:textId="77777777" w:rsidR="00A21130" w:rsidRDefault="00A21130" w:rsidP="00DF376C">
      <w:pPr>
        <w:pStyle w:val="Standard"/>
        <w:spacing w:line="240" w:lineRule="auto"/>
      </w:pPr>
    </w:p>
    <w:p w14:paraId="2EBF9473" w14:textId="77777777" w:rsidR="00023344" w:rsidRDefault="00DF376C" w:rsidP="00023344">
      <w:pPr>
        <w:pStyle w:val="Standard"/>
        <w:spacing w:line="240" w:lineRule="auto"/>
      </w:pPr>
      <w:r>
        <w:t>Wheeler</w:t>
      </w:r>
      <w:r w:rsidRPr="00987448">
        <w:t xml:space="preserve">, M. (2011). In search of clarity about parity. </w:t>
      </w:r>
      <w:r w:rsidRPr="00987448">
        <w:rPr>
          <w:i/>
        </w:rPr>
        <w:t>Philosophical Studies</w:t>
      </w:r>
      <w:r w:rsidR="00023344">
        <w:t xml:space="preserve"> 152, 417</w:t>
      </w:r>
    </w:p>
    <w:p w14:paraId="415BEC36" w14:textId="63D99F42" w:rsidR="00DF376C" w:rsidRDefault="00DF376C" w:rsidP="00DF376C">
      <w:pPr>
        <w:pStyle w:val="Standard"/>
      </w:pPr>
      <w:r w:rsidRPr="00987448">
        <w:t>425.</w:t>
      </w:r>
    </w:p>
    <w:p w14:paraId="47BD6E79" w14:textId="324A2B17" w:rsidR="005278AD" w:rsidRDefault="005278AD" w:rsidP="00DF376C">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lastRenderedPageBreak/>
        <w:t xml:space="preserve">Wilson, J. (2016). </w:t>
      </w:r>
      <w:r w:rsidRPr="005278AD">
        <w:rPr>
          <w:rFonts w:ascii="Times New Roman" w:hAnsi="Times New Roman" w:cs="Scala"/>
          <w:szCs w:val="18"/>
        </w:rPr>
        <w:t xml:space="preserve">The </w:t>
      </w:r>
      <w:r>
        <w:rPr>
          <w:rFonts w:ascii="Times New Roman" w:hAnsi="Times New Roman" w:cs="Scala"/>
          <w:szCs w:val="18"/>
        </w:rPr>
        <w:t>u</w:t>
      </w:r>
      <w:r w:rsidRPr="005278AD">
        <w:rPr>
          <w:rFonts w:ascii="Times New Roman" w:hAnsi="Times New Roman" w:cs="Scala"/>
          <w:szCs w:val="18"/>
        </w:rPr>
        <w:t xml:space="preserve">nity and </w:t>
      </w:r>
      <w:r>
        <w:rPr>
          <w:rFonts w:ascii="Times New Roman" w:hAnsi="Times New Roman" w:cs="Scala"/>
          <w:szCs w:val="18"/>
        </w:rPr>
        <w:t>p</w:t>
      </w:r>
      <w:r w:rsidRPr="005278AD">
        <w:rPr>
          <w:rFonts w:ascii="Times New Roman" w:hAnsi="Times New Roman" w:cs="Scala"/>
          <w:szCs w:val="18"/>
        </w:rPr>
        <w:t xml:space="preserve">riority </w:t>
      </w:r>
      <w:r>
        <w:rPr>
          <w:rFonts w:ascii="Times New Roman" w:hAnsi="Times New Roman" w:cs="Scala"/>
          <w:szCs w:val="18"/>
        </w:rPr>
        <w:t>a</w:t>
      </w:r>
      <w:r w:rsidRPr="005278AD">
        <w:rPr>
          <w:rFonts w:ascii="Times New Roman" w:hAnsi="Times New Roman" w:cs="Scala"/>
          <w:szCs w:val="18"/>
        </w:rPr>
        <w:t xml:space="preserve">rguments for </w:t>
      </w:r>
      <w:r w:rsidR="00E40AD3">
        <w:rPr>
          <w:rFonts w:ascii="Times New Roman" w:hAnsi="Times New Roman" w:cs="Scala"/>
          <w:szCs w:val="18"/>
        </w:rPr>
        <w:t>g</w:t>
      </w:r>
      <w:r w:rsidRPr="005278AD">
        <w:rPr>
          <w:rFonts w:ascii="Times New Roman" w:hAnsi="Times New Roman" w:cs="Scala"/>
          <w:szCs w:val="18"/>
        </w:rPr>
        <w:t xml:space="preserve">rounding. </w:t>
      </w:r>
      <w:r w:rsidR="00E34940">
        <w:rPr>
          <w:rFonts w:ascii="Times New Roman" w:hAnsi="Times New Roman" w:cs="Scala"/>
          <w:szCs w:val="18"/>
        </w:rPr>
        <w:t xml:space="preserve">In </w:t>
      </w:r>
      <w:r w:rsidR="00E34940" w:rsidRPr="005278AD">
        <w:rPr>
          <w:rFonts w:ascii="Times New Roman" w:hAnsi="Times New Roman" w:cs="Scala"/>
          <w:szCs w:val="18"/>
        </w:rPr>
        <w:t>Ken</w:t>
      </w:r>
      <w:r w:rsidR="00E34940">
        <w:rPr>
          <w:rFonts w:ascii="Times New Roman" w:hAnsi="Times New Roman" w:cs="Scala"/>
          <w:szCs w:val="18"/>
        </w:rPr>
        <w:t>neth</w:t>
      </w:r>
      <w:r w:rsidR="00E34940" w:rsidRPr="005278AD">
        <w:rPr>
          <w:rFonts w:ascii="Times New Roman" w:hAnsi="Times New Roman" w:cs="Scala"/>
          <w:szCs w:val="18"/>
        </w:rPr>
        <w:t xml:space="preserve"> Aizawa and Carl Gillett </w:t>
      </w:r>
      <w:r w:rsidR="00E34940">
        <w:rPr>
          <w:rFonts w:ascii="Times New Roman" w:hAnsi="Times New Roman" w:cs="Scala"/>
          <w:szCs w:val="18"/>
        </w:rPr>
        <w:t>(E</w:t>
      </w:r>
      <w:r w:rsidR="00E34940" w:rsidRPr="005278AD">
        <w:rPr>
          <w:rFonts w:ascii="Times New Roman" w:hAnsi="Times New Roman" w:cs="Scala"/>
          <w:szCs w:val="18"/>
        </w:rPr>
        <w:t>ds.</w:t>
      </w:r>
      <w:r w:rsidR="00E34940">
        <w:rPr>
          <w:rFonts w:ascii="Times New Roman" w:hAnsi="Times New Roman" w:cs="Scala"/>
          <w:szCs w:val="18"/>
        </w:rPr>
        <w:t xml:space="preserve">), </w:t>
      </w:r>
      <w:r w:rsidRPr="00E34940">
        <w:rPr>
          <w:rFonts w:ascii="Times New Roman" w:hAnsi="Times New Roman" w:cs="Scala"/>
          <w:i/>
          <w:szCs w:val="18"/>
        </w:rPr>
        <w:t>Scientific Composition and Metaphysical Ground</w:t>
      </w:r>
      <w:r w:rsidR="00E34940">
        <w:rPr>
          <w:rFonts w:ascii="Times New Roman" w:hAnsi="Times New Roman" w:cs="Scala"/>
          <w:szCs w:val="18"/>
        </w:rPr>
        <w:t>, pp.</w:t>
      </w:r>
      <w:r w:rsidRPr="005278AD">
        <w:rPr>
          <w:rFonts w:ascii="Times New Roman" w:hAnsi="Times New Roman" w:cs="Scala"/>
          <w:szCs w:val="18"/>
        </w:rPr>
        <w:t xml:space="preserve"> 171–204.</w:t>
      </w:r>
      <w:r w:rsidR="00E34940">
        <w:rPr>
          <w:rFonts w:ascii="Times New Roman" w:hAnsi="Times New Roman" w:cs="Scala"/>
          <w:szCs w:val="18"/>
        </w:rPr>
        <w:t xml:space="preserve"> London: Palgrave Macmillan.</w:t>
      </w:r>
    </w:p>
    <w:p w14:paraId="4F60881E" w14:textId="77777777" w:rsidR="005278AD" w:rsidRDefault="005278AD" w:rsidP="00DF376C">
      <w:pPr>
        <w:widowControl w:val="0"/>
        <w:autoSpaceDE w:val="0"/>
        <w:autoSpaceDN w:val="0"/>
        <w:adjustRightInd w:val="0"/>
        <w:spacing w:after="0"/>
        <w:rPr>
          <w:rFonts w:ascii="Times New Roman" w:hAnsi="Times New Roman" w:cs="Scala"/>
          <w:szCs w:val="18"/>
        </w:rPr>
      </w:pPr>
    </w:p>
    <w:p w14:paraId="7E81A7FC" w14:textId="4943F6D1" w:rsidR="00DF376C" w:rsidRPr="00BC7945" w:rsidRDefault="00DF376C" w:rsidP="00DF376C">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Wilson, M</w:t>
      </w:r>
      <w:r w:rsidRPr="00BC7945">
        <w:rPr>
          <w:rFonts w:ascii="Times New Roman" w:hAnsi="Times New Roman" w:cs="Scala"/>
          <w:szCs w:val="18"/>
        </w:rPr>
        <w:t xml:space="preserve">. (2002). Six Views of Embodied Cognition. </w:t>
      </w:r>
      <w:r w:rsidRPr="00BC7945">
        <w:rPr>
          <w:rFonts w:ascii="Times New Roman" w:hAnsi="Times New Roman" w:cs="Scala"/>
          <w:i/>
          <w:iCs/>
          <w:szCs w:val="18"/>
        </w:rPr>
        <w:t xml:space="preserve">Psychonomic Bulletin and Review </w:t>
      </w:r>
      <w:r w:rsidRPr="00BC7945">
        <w:rPr>
          <w:rFonts w:ascii="Times New Roman" w:hAnsi="Times New Roman" w:cs="Scala"/>
          <w:szCs w:val="18"/>
        </w:rPr>
        <w:t>9:</w:t>
      </w:r>
      <w:r>
        <w:rPr>
          <w:rFonts w:ascii="Times New Roman" w:hAnsi="Times New Roman" w:cs="Scala"/>
          <w:szCs w:val="18"/>
        </w:rPr>
        <w:t xml:space="preserve"> </w:t>
      </w:r>
      <w:r w:rsidRPr="00BC7945">
        <w:rPr>
          <w:rFonts w:ascii="Times New Roman" w:hAnsi="Times New Roman" w:cs="Scala"/>
          <w:szCs w:val="18"/>
        </w:rPr>
        <w:t>625–36.</w:t>
      </w:r>
    </w:p>
    <w:p w14:paraId="4F165C9E" w14:textId="77777777" w:rsidR="00DF376C" w:rsidRPr="00CA2C24" w:rsidRDefault="00DF376C" w:rsidP="00DF376C">
      <w:pPr>
        <w:widowControl w:val="0"/>
        <w:autoSpaceDE w:val="0"/>
        <w:autoSpaceDN w:val="0"/>
        <w:adjustRightInd w:val="0"/>
        <w:spacing w:after="0"/>
        <w:rPr>
          <w:rFonts w:ascii="Times New Roman" w:hAnsi="Times New Roman" w:cs="Scala"/>
          <w:szCs w:val="18"/>
        </w:rPr>
      </w:pPr>
    </w:p>
    <w:p w14:paraId="255F731A" w14:textId="20E807F5" w:rsidR="00BD4658" w:rsidRPr="00DF376C" w:rsidRDefault="00DF376C" w:rsidP="00DF376C">
      <w:r>
        <w:rPr>
          <w:rFonts w:ascii="Times New Roman" w:hAnsi="Times New Roman" w:cs="Scala"/>
          <w:szCs w:val="18"/>
        </w:rPr>
        <w:t xml:space="preserve">Wilson, R. A. </w:t>
      </w:r>
      <w:r w:rsidRPr="00CA2C24">
        <w:rPr>
          <w:rFonts w:ascii="Times New Roman" w:hAnsi="Times New Roman" w:cs="Scala"/>
          <w:szCs w:val="18"/>
        </w:rPr>
        <w:t xml:space="preserve">(2004). </w:t>
      </w:r>
      <w:r w:rsidRPr="00CA2C24">
        <w:rPr>
          <w:rFonts w:ascii="Times New Roman" w:hAnsi="Times New Roman" w:cs="Scala"/>
          <w:i/>
          <w:iCs/>
          <w:szCs w:val="18"/>
        </w:rPr>
        <w:t>Boundaries of the Mind: The Individual in the Fragile Sciences</w:t>
      </w:r>
      <w:r w:rsidRPr="00CA2C24">
        <w:rPr>
          <w:rFonts w:ascii="Times New Roman" w:hAnsi="Times New Roman" w:cs="Scala"/>
          <w:szCs w:val="18"/>
        </w:rPr>
        <w:t>. Cambridge:</w:t>
      </w:r>
      <w:r>
        <w:rPr>
          <w:rFonts w:ascii="Times New Roman" w:hAnsi="Times New Roman" w:cs="Scala"/>
          <w:szCs w:val="18"/>
        </w:rPr>
        <w:t xml:space="preserve"> </w:t>
      </w:r>
      <w:r w:rsidRPr="00CA2C24">
        <w:rPr>
          <w:rFonts w:ascii="Times New Roman" w:hAnsi="Times New Roman" w:cs="Scala"/>
          <w:szCs w:val="18"/>
        </w:rPr>
        <w:t>Cambridge University Press.</w:t>
      </w:r>
    </w:p>
    <w:sectPr w:rsidR="00BD4658" w:rsidRPr="00DF376C" w:rsidSect="00546888">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FE72C" w14:textId="77777777" w:rsidR="009D2A9C" w:rsidRDefault="009D2A9C" w:rsidP="004947BD">
      <w:pPr>
        <w:spacing w:after="0"/>
      </w:pPr>
      <w:r>
        <w:separator/>
      </w:r>
    </w:p>
  </w:endnote>
  <w:endnote w:type="continuationSeparator" w:id="0">
    <w:p w14:paraId="46744E3E" w14:textId="77777777" w:rsidR="009D2A9C" w:rsidRDefault="009D2A9C" w:rsidP="004947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a231+20">
    <w:altName w:val="Cambria"/>
    <w:panose1 w:val="020B0604020202020204"/>
    <w:charset w:val="4D"/>
    <w:family w:val="roman"/>
    <w:notTrueType/>
    <w:pitch w:val="default"/>
    <w:sig w:usb0="00000003" w:usb1="00000000" w:usb2="00000000" w:usb3="00000000" w:csb0="00000001" w:csb1="00000000"/>
  </w:font>
  <w:font w:name="TimesNewRomanPSMT">
    <w:altName w:val="Times New Roman"/>
    <w:panose1 w:val="02020603050405020304"/>
    <w:charset w:val="4D"/>
    <w:family w:val="roman"/>
    <w:notTrueType/>
    <w:pitch w:val="default"/>
    <w:sig w:usb0="00000003" w:usb1="00000000" w:usb2="00000000" w:usb3="00000000" w:csb0="00000001" w:csb1="00000000"/>
  </w:font>
  <w:font w:name="Scala">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2C63" w14:textId="77777777" w:rsidR="009D2A9C" w:rsidRDefault="009D2A9C" w:rsidP="004947BD">
      <w:pPr>
        <w:spacing w:after="0"/>
      </w:pPr>
      <w:r>
        <w:separator/>
      </w:r>
    </w:p>
  </w:footnote>
  <w:footnote w:type="continuationSeparator" w:id="0">
    <w:p w14:paraId="32EF183B" w14:textId="77777777" w:rsidR="009D2A9C" w:rsidRDefault="009D2A9C" w:rsidP="004947BD">
      <w:pPr>
        <w:spacing w:after="0"/>
      </w:pPr>
      <w:r>
        <w:continuationSeparator/>
      </w:r>
    </w:p>
  </w:footnote>
  <w:footnote w:id="1">
    <w:p w14:paraId="45731A73" w14:textId="616D4DC9" w:rsidR="006A4E76" w:rsidRPr="0096780D" w:rsidRDefault="006A4E76" w:rsidP="0096780D">
      <w:pPr>
        <w:pStyle w:val="FootnoteText"/>
        <w:spacing w:line="240" w:lineRule="auto"/>
        <w:rPr>
          <w:sz w:val="20"/>
          <w:szCs w:val="20"/>
        </w:rPr>
      </w:pPr>
      <w:r w:rsidRPr="0096780D">
        <w:rPr>
          <w:rStyle w:val="FootnoteReference"/>
        </w:rPr>
        <w:sym w:font="Symbol" w:char="F02A"/>
      </w:r>
      <w:r>
        <w:t xml:space="preserve"> </w:t>
      </w:r>
      <w:r>
        <w:rPr>
          <w:sz w:val="20"/>
          <w:szCs w:val="20"/>
        </w:rPr>
        <w:t xml:space="preserve">This paper descends from the previously circulated manuscript “Individuals as Group Minds, Group Minds as Individuals.” Significant portions of this material were presented at Macquarie U., U. of Auckland, U. of Edinburgh, Ruhr U. Bochum, </w:t>
      </w:r>
      <w:r>
        <w:rPr>
          <w:i/>
          <w:sz w:val="20"/>
          <w:szCs w:val="20"/>
        </w:rPr>
        <w:t>Collective Intentionality</w:t>
      </w:r>
      <w:r w:rsidRPr="007E09A5">
        <w:rPr>
          <w:i/>
          <w:sz w:val="20"/>
          <w:szCs w:val="20"/>
        </w:rPr>
        <w:t xml:space="preserve"> </w:t>
      </w:r>
      <w:r>
        <w:rPr>
          <w:i/>
          <w:sz w:val="20"/>
          <w:szCs w:val="20"/>
        </w:rPr>
        <w:t>I</w:t>
      </w:r>
      <w:r w:rsidRPr="007E09A5">
        <w:rPr>
          <w:i/>
          <w:sz w:val="20"/>
          <w:szCs w:val="20"/>
        </w:rPr>
        <w:t>X</w:t>
      </w:r>
      <w:r>
        <w:rPr>
          <w:sz w:val="20"/>
          <w:szCs w:val="20"/>
        </w:rPr>
        <w:t xml:space="preserve"> at Indiana U., </w:t>
      </w:r>
      <w:r w:rsidRPr="00673D0C">
        <w:rPr>
          <w:i/>
          <w:sz w:val="20"/>
          <w:szCs w:val="20"/>
        </w:rPr>
        <w:t>Trends i</w:t>
      </w:r>
      <w:r>
        <w:rPr>
          <w:i/>
          <w:sz w:val="20"/>
          <w:szCs w:val="20"/>
        </w:rPr>
        <w:t>n Interdisciplinary Sciences III</w:t>
      </w:r>
      <w:r>
        <w:rPr>
          <w:sz w:val="20"/>
          <w:szCs w:val="20"/>
        </w:rPr>
        <w:t xml:space="preserve">, Johns Hopkins U., and Humboldt U., and to New York U.’s Philosophy of Mind Discussion Group. Many thanks to numerous audience members and group participants for their helpful feedback. Special thanks in this regard to Georg </w:t>
      </w:r>
      <w:proofErr w:type="spellStart"/>
      <w:r>
        <w:rPr>
          <w:sz w:val="20"/>
          <w:szCs w:val="20"/>
        </w:rPr>
        <w:t>Theiner</w:t>
      </w:r>
      <w:proofErr w:type="spellEnd"/>
      <w:r>
        <w:rPr>
          <w:sz w:val="20"/>
          <w:szCs w:val="20"/>
        </w:rPr>
        <w:t>.</w:t>
      </w:r>
    </w:p>
  </w:footnote>
  <w:footnote w:id="2">
    <w:p w14:paraId="368B47B1" w14:textId="47C467E8" w:rsidR="006A4E76" w:rsidRPr="001D6144" w:rsidRDefault="006A4E76" w:rsidP="00AD6485">
      <w:pPr>
        <w:pStyle w:val="FootnoteText"/>
        <w:spacing w:line="240" w:lineRule="auto"/>
        <w:rPr>
          <w:sz w:val="20"/>
          <w:szCs w:val="20"/>
        </w:rPr>
      </w:pPr>
      <w:r>
        <w:rPr>
          <w:rStyle w:val="FootnoteReference"/>
        </w:rPr>
        <w:footnoteRef/>
      </w:r>
      <w:r>
        <w:rPr>
          <w:sz w:val="20"/>
          <w:szCs w:val="20"/>
        </w:rPr>
        <w:t xml:space="preserve"> A large literature on group minds has been driven primarily by reflections on ordinary ways of ascribing mental states. For example, in describing her methodological assumptions, Margaret Gilbert says, “</w:t>
      </w:r>
      <w:r w:rsidRPr="008C4A81">
        <w:rPr>
          <w:sz w:val="20"/>
          <w:szCs w:val="20"/>
        </w:rPr>
        <w:t>Suffice it to say that my own tendency is to go with everyday discourse, as I understand it. If such-and-such a phenomenon is referred to, seriously and literally, as belief, it is hard to argue that it is not, after all, belief as this is ordinarily understood</w:t>
      </w:r>
      <w:r>
        <w:rPr>
          <w:sz w:val="20"/>
          <w:szCs w:val="20"/>
        </w:rPr>
        <w:t xml:space="preserve">” (2003, 103). I set this literature aside. I would like to know whether groups really are in cognitive states of their own, and to my mind, that requires making our best sense of scientific work on cognition, largely disregarding what the folk tend to think about matters mental and cognitive (acknowledging, however, that folk patterns of usage may, in the end, help to determine, not so much where nature’s joints lie, but how to label the categories thereby carved out – see Stich 1996, </w:t>
      </w:r>
      <w:proofErr w:type="spellStart"/>
      <w:r>
        <w:rPr>
          <w:sz w:val="20"/>
          <w:szCs w:val="20"/>
        </w:rPr>
        <w:t>chpt</w:t>
      </w:r>
      <w:proofErr w:type="spellEnd"/>
      <w:r>
        <w:rPr>
          <w:sz w:val="20"/>
          <w:szCs w:val="20"/>
        </w:rPr>
        <w:t>. 1). For similar reasons, I set aside empirical investigations of folk tendencies to ascribe psychological states to groups (</w:t>
      </w:r>
      <w:r w:rsidRPr="003222EA">
        <w:rPr>
          <w:sz w:val="20"/>
          <w:szCs w:val="20"/>
        </w:rPr>
        <w:t>Knobe and Prinz 2008, Sytsma and Machery 2009, 2010, Arico 2010, Huebner et al. 2010)</w:t>
      </w:r>
      <w:r>
        <w:rPr>
          <w:sz w:val="20"/>
          <w:szCs w:val="20"/>
        </w:rPr>
        <w:t>, at least insofar as such investigations are thought to bear on the question whether extant groups actually are in cognitive states of their own.</w:t>
      </w:r>
    </w:p>
  </w:footnote>
  <w:footnote w:id="3">
    <w:p w14:paraId="774EE279" w14:textId="786EF36F" w:rsidR="006A4E76" w:rsidRPr="00E305BF" w:rsidRDefault="006A4E76" w:rsidP="00E305BF">
      <w:pPr>
        <w:pStyle w:val="FootnoteText"/>
        <w:spacing w:line="240" w:lineRule="auto"/>
        <w:rPr>
          <w:sz w:val="20"/>
          <w:szCs w:val="20"/>
        </w:rPr>
      </w:pPr>
      <w:r w:rsidRPr="00E305BF">
        <w:rPr>
          <w:rStyle w:val="FootnoteReference"/>
          <w:sz w:val="20"/>
          <w:szCs w:val="20"/>
        </w:rPr>
        <w:footnoteRef/>
      </w:r>
      <w:r w:rsidRPr="00E305BF">
        <w:rPr>
          <w:sz w:val="20"/>
          <w:szCs w:val="20"/>
        </w:rPr>
        <w:t xml:space="preserve"> For present purposes, </w:t>
      </w:r>
      <w:r>
        <w:rPr>
          <w:sz w:val="20"/>
          <w:szCs w:val="20"/>
        </w:rPr>
        <w:t>I</w:t>
      </w:r>
      <w:r w:rsidRPr="00E305BF">
        <w:rPr>
          <w:sz w:val="20"/>
          <w:szCs w:val="20"/>
        </w:rPr>
        <w:t xml:space="preserve"> use</w:t>
      </w:r>
      <w:r>
        <w:rPr>
          <w:sz w:val="20"/>
          <w:szCs w:val="20"/>
        </w:rPr>
        <w:t xml:space="preserve"> these terms</w:t>
      </w:r>
      <w:r w:rsidRPr="00E305BF">
        <w:rPr>
          <w:sz w:val="20"/>
          <w:szCs w:val="20"/>
        </w:rPr>
        <w:t xml:space="preserve"> interchangeably</w:t>
      </w:r>
      <w:r>
        <w:rPr>
          <w:sz w:val="20"/>
          <w:szCs w:val="20"/>
        </w:rPr>
        <w:t>, all providing a way of referring to joints in nature that the sciences attempt to identify.</w:t>
      </w:r>
    </w:p>
  </w:footnote>
  <w:footnote w:id="4">
    <w:p w14:paraId="6A769BAC" w14:textId="52074261" w:rsidR="006A4E76" w:rsidRPr="00487C66" w:rsidRDefault="006A4E76">
      <w:pPr>
        <w:pStyle w:val="FootnoteText"/>
        <w:rPr>
          <w:sz w:val="20"/>
          <w:szCs w:val="20"/>
        </w:rPr>
      </w:pPr>
      <w:r w:rsidRPr="00487C66">
        <w:rPr>
          <w:rStyle w:val="FootnoteReference"/>
          <w:sz w:val="20"/>
          <w:szCs w:val="20"/>
        </w:rPr>
        <w:footnoteRef/>
      </w:r>
      <w:r w:rsidRPr="00487C66">
        <w:rPr>
          <w:sz w:val="20"/>
          <w:szCs w:val="20"/>
        </w:rPr>
        <w:t xml:space="preserve"> List is a realist about group cognition, though not </w:t>
      </w:r>
      <w:r>
        <w:rPr>
          <w:sz w:val="20"/>
          <w:szCs w:val="20"/>
        </w:rPr>
        <w:t xml:space="preserve">about </w:t>
      </w:r>
      <w:r w:rsidRPr="00487C66">
        <w:rPr>
          <w:sz w:val="20"/>
          <w:szCs w:val="20"/>
        </w:rPr>
        <w:t>group phenomenal consciousness.</w:t>
      </w:r>
    </w:p>
  </w:footnote>
  <w:footnote w:id="5">
    <w:p w14:paraId="0DD17B64" w14:textId="485453D4" w:rsidR="006A4E76" w:rsidRDefault="006A4E76" w:rsidP="002F32AA">
      <w:pPr>
        <w:pStyle w:val="FootnoteText"/>
        <w:spacing w:line="240" w:lineRule="auto"/>
        <w:rPr>
          <w:sz w:val="20"/>
          <w:szCs w:val="20"/>
        </w:rPr>
      </w:pPr>
      <w:r w:rsidRPr="00D05705">
        <w:rPr>
          <w:rStyle w:val="FootnoteReference"/>
          <w:sz w:val="20"/>
          <w:szCs w:val="20"/>
        </w:rPr>
        <w:footnoteRef/>
      </w:r>
      <w:r w:rsidRPr="00D05705">
        <w:rPr>
          <w:sz w:val="20"/>
          <w:szCs w:val="20"/>
        </w:rPr>
        <w:t xml:space="preserve"> </w:t>
      </w:r>
      <w:r>
        <w:rPr>
          <w:sz w:val="20"/>
          <w:szCs w:val="20"/>
        </w:rPr>
        <w:t>This represents only one of the two realist arguments developed by List and Pettit – their argument from positive social science (2011, 10</w:t>
      </w:r>
      <w:r w:rsidRPr="00A81C48">
        <w:rPr>
          <w:i/>
          <w:sz w:val="20"/>
          <w:szCs w:val="20"/>
        </w:rPr>
        <w:t>ff</w:t>
      </w:r>
      <w:r>
        <w:rPr>
          <w:sz w:val="20"/>
          <w:szCs w:val="20"/>
        </w:rPr>
        <w:t>.). List and Pettit also build a normative case for realism, which rests on such intuitions as that every good or bad action requires the apportioning of an appropriately corresponding amount of praise or blame; as List and Pettit see things, in some cases, the blame or praise properly distributed among individual members of a group does not sum to a sufficient amount given the nature of the act in question, and thus a group agent exists as something to be held responsible and given the remainder of the praise or blame (2011, 166). Such normative intuitions seem clearly out of place in the present context, the theme of which is, roughly, “what cognitive science tells us about realism,” for such intuitions have no probative force in cognitive science; rather, they exist only as phenomena, that is, as data the production of which is to be modelled using standard cognitive scientific tools; and there is no reason to think cognitive science’s best models of the production of such intuitions will include normative facts (in the philosopher’s sense) as elements.</w:t>
      </w:r>
    </w:p>
    <w:p w14:paraId="0E0F03BB" w14:textId="604AB078" w:rsidR="006A4E76" w:rsidRPr="00D05705" w:rsidRDefault="006A4E76" w:rsidP="002F32AA">
      <w:pPr>
        <w:pStyle w:val="FootnoteText"/>
        <w:spacing w:line="240" w:lineRule="auto"/>
        <w:rPr>
          <w:sz w:val="20"/>
          <w:szCs w:val="20"/>
        </w:rPr>
      </w:pPr>
      <w:r>
        <w:rPr>
          <w:sz w:val="20"/>
          <w:szCs w:val="20"/>
        </w:rPr>
        <w:tab/>
        <w:t xml:space="preserve">One might wonder, however, whether normativity plays a more direct role in cognitive science, by being presupposed, for instance, by Bayesian-based research programs (see, e.g., Griffiths, </w:t>
      </w:r>
      <w:proofErr w:type="spellStart"/>
      <w:r>
        <w:rPr>
          <w:sz w:val="20"/>
          <w:szCs w:val="20"/>
        </w:rPr>
        <w:t>Chater</w:t>
      </w:r>
      <w:proofErr w:type="spellEnd"/>
      <w:r>
        <w:rPr>
          <w:sz w:val="20"/>
          <w:szCs w:val="20"/>
        </w:rPr>
        <w:t xml:space="preserve">, Kemp, </w:t>
      </w:r>
      <w:proofErr w:type="spellStart"/>
      <w:r>
        <w:rPr>
          <w:sz w:val="20"/>
          <w:szCs w:val="20"/>
        </w:rPr>
        <w:t>Perfors</w:t>
      </w:r>
      <w:proofErr w:type="spellEnd"/>
      <w:r>
        <w:rPr>
          <w:sz w:val="20"/>
          <w:szCs w:val="20"/>
        </w:rPr>
        <w:t xml:space="preserve">, and Tenenbaum 2010). Such research seems driven by claims about how problems </w:t>
      </w:r>
      <w:r w:rsidRPr="008B58ED">
        <w:rPr>
          <w:i/>
          <w:sz w:val="20"/>
          <w:szCs w:val="20"/>
        </w:rPr>
        <w:t>ought</w:t>
      </w:r>
      <w:r>
        <w:rPr>
          <w:sz w:val="20"/>
          <w:szCs w:val="20"/>
        </w:rPr>
        <w:t xml:space="preserve"> to be solved, viz. in a Bayes-optimal fashion.</w:t>
      </w:r>
      <w:r w:rsidRPr="002F32AA">
        <w:t xml:space="preserve"> </w:t>
      </w:r>
      <w:r>
        <w:rPr>
          <w:sz w:val="20"/>
          <w:szCs w:val="20"/>
        </w:rPr>
        <w:t xml:space="preserve">Note, however, that, in this research program, normativity does not play a role </w:t>
      </w:r>
      <w:r w:rsidR="00C53F50">
        <w:rPr>
          <w:sz w:val="20"/>
          <w:szCs w:val="20"/>
        </w:rPr>
        <w:t>analogous</w:t>
      </w:r>
      <w:r>
        <w:rPr>
          <w:sz w:val="20"/>
          <w:szCs w:val="20"/>
        </w:rPr>
        <w:t xml:space="preserve"> to the role it plays in List and Pettit’s reasoning. On List and Pettit’s view, intuitions or judgments about normative matters – how much holding of responsibility is required relative to a given action – play the role of premises. But, in cognitive science, Bayesian thinking provides inspiration for the development of models that are then evaluated by independent standards. </w:t>
      </w:r>
      <w:r w:rsidRPr="002F32AA">
        <w:rPr>
          <w:sz w:val="20"/>
          <w:szCs w:val="20"/>
        </w:rPr>
        <w:t>Bayesian cognitive modelers</w:t>
      </w:r>
      <w:r>
        <w:rPr>
          <w:sz w:val="20"/>
          <w:szCs w:val="20"/>
        </w:rPr>
        <w:t xml:space="preserve"> attempt to</w:t>
      </w:r>
      <w:r w:rsidRPr="002F32AA">
        <w:rPr>
          <w:sz w:val="20"/>
          <w:szCs w:val="20"/>
        </w:rPr>
        <w:t xml:space="preserve"> match</w:t>
      </w:r>
      <w:r>
        <w:rPr>
          <w:sz w:val="20"/>
          <w:szCs w:val="20"/>
        </w:rPr>
        <w:t xml:space="preserve"> </w:t>
      </w:r>
      <w:r w:rsidRPr="002F32AA">
        <w:rPr>
          <w:sz w:val="20"/>
          <w:szCs w:val="20"/>
        </w:rPr>
        <w:t>human performance by guiding the search for mechanisms that</w:t>
      </w:r>
      <w:r>
        <w:rPr>
          <w:sz w:val="20"/>
          <w:szCs w:val="20"/>
        </w:rPr>
        <w:t xml:space="preserve"> </w:t>
      </w:r>
      <w:r w:rsidRPr="002F32AA">
        <w:rPr>
          <w:sz w:val="20"/>
          <w:szCs w:val="20"/>
        </w:rPr>
        <w:t>perform Bayesian inference “in a variety of implicit and approximate</w:t>
      </w:r>
      <w:r>
        <w:rPr>
          <w:sz w:val="20"/>
          <w:szCs w:val="20"/>
        </w:rPr>
        <w:t xml:space="preserve"> </w:t>
      </w:r>
      <w:r w:rsidRPr="002F32AA">
        <w:rPr>
          <w:sz w:val="20"/>
          <w:szCs w:val="20"/>
        </w:rPr>
        <w:t xml:space="preserve">ways” </w:t>
      </w:r>
      <w:r>
        <w:rPr>
          <w:sz w:val="20"/>
          <w:szCs w:val="20"/>
        </w:rPr>
        <w:t>(Griffiths et al. 2010</w:t>
      </w:r>
      <w:r w:rsidRPr="002F32AA">
        <w:rPr>
          <w:sz w:val="20"/>
          <w:szCs w:val="20"/>
        </w:rPr>
        <w:t>, 362). More generally speaking, Griffiths et al.</w:t>
      </w:r>
      <w:r>
        <w:rPr>
          <w:sz w:val="20"/>
          <w:szCs w:val="20"/>
        </w:rPr>
        <w:t xml:space="preserve"> </w:t>
      </w:r>
      <w:r w:rsidRPr="002F32AA">
        <w:rPr>
          <w:sz w:val="20"/>
          <w:szCs w:val="20"/>
        </w:rPr>
        <w:t>hope for a “synthesis with more bottom-up, mechanistically constrained</w:t>
      </w:r>
      <w:r>
        <w:rPr>
          <w:sz w:val="20"/>
          <w:szCs w:val="20"/>
        </w:rPr>
        <w:t xml:space="preserve"> </w:t>
      </w:r>
      <w:r w:rsidRPr="002F32AA">
        <w:rPr>
          <w:sz w:val="20"/>
          <w:szCs w:val="20"/>
        </w:rPr>
        <w:t>approaches to modeling the mind” (</w:t>
      </w:r>
      <w:r w:rsidRPr="004A755C">
        <w:rPr>
          <w:i/>
          <w:sz w:val="20"/>
          <w:szCs w:val="20"/>
        </w:rPr>
        <w:t>ibid.</w:t>
      </w:r>
      <w:r w:rsidRPr="002F32AA">
        <w:rPr>
          <w:sz w:val="20"/>
          <w:szCs w:val="20"/>
        </w:rPr>
        <w:t>, 362). On this</w:t>
      </w:r>
      <w:r>
        <w:rPr>
          <w:sz w:val="20"/>
          <w:szCs w:val="20"/>
        </w:rPr>
        <w:t xml:space="preserve"> </w:t>
      </w:r>
      <w:r w:rsidRPr="002F32AA">
        <w:rPr>
          <w:sz w:val="20"/>
          <w:szCs w:val="20"/>
        </w:rPr>
        <w:t>view, “Probabilistic models are a tool for exploring different sets</w:t>
      </w:r>
      <w:r>
        <w:rPr>
          <w:sz w:val="20"/>
          <w:szCs w:val="20"/>
        </w:rPr>
        <w:t xml:space="preserve"> </w:t>
      </w:r>
      <w:r w:rsidRPr="002F32AA">
        <w:rPr>
          <w:sz w:val="20"/>
          <w:szCs w:val="20"/>
        </w:rPr>
        <w:t>of assumptions about representations and inductive biases, making</w:t>
      </w:r>
      <w:r>
        <w:rPr>
          <w:sz w:val="20"/>
          <w:szCs w:val="20"/>
        </w:rPr>
        <w:t xml:space="preserve"> </w:t>
      </w:r>
      <w:r w:rsidRPr="002F32AA">
        <w:rPr>
          <w:sz w:val="20"/>
          <w:szCs w:val="20"/>
        </w:rPr>
        <w:t>it possible for data to lead us to an account of human</w:t>
      </w:r>
      <w:r>
        <w:rPr>
          <w:sz w:val="20"/>
          <w:szCs w:val="20"/>
        </w:rPr>
        <w:t xml:space="preserve"> </w:t>
      </w:r>
      <w:r w:rsidRPr="002F32AA">
        <w:rPr>
          <w:sz w:val="20"/>
          <w:szCs w:val="20"/>
        </w:rPr>
        <w:t>cognition”</w:t>
      </w:r>
      <w:r>
        <w:rPr>
          <w:sz w:val="20"/>
          <w:szCs w:val="20"/>
        </w:rPr>
        <w:t xml:space="preserve"> </w:t>
      </w:r>
      <w:r w:rsidRPr="002F32AA">
        <w:rPr>
          <w:sz w:val="20"/>
          <w:szCs w:val="20"/>
        </w:rPr>
        <w:t>(</w:t>
      </w:r>
      <w:r w:rsidRPr="004A755C">
        <w:rPr>
          <w:i/>
          <w:sz w:val="20"/>
          <w:szCs w:val="20"/>
        </w:rPr>
        <w:t>ibid.</w:t>
      </w:r>
      <w:r w:rsidRPr="002F32AA">
        <w:rPr>
          <w:sz w:val="20"/>
          <w:szCs w:val="20"/>
        </w:rPr>
        <w:t xml:space="preserve">, 363). Bayesian </w:t>
      </w:r>
      <w:r>
        <w:rPr>
          <w:sz w:val="20"/>
          <w:szCs w:val="20"/>
        </w:rPr>
        <w:t>principles</w:t>
      </w:r>
      <w:r w:rsidRPr="002F32AA">
        <w:rPr>
          <w:sz w:val="20"/>
          <w:szCs w:val="20"/>
        </w:rPr>
        <w:t xml:space="preserve"> do not </w:t>
      </w:r>
      <w:r>
        <w:rPr>
          <w:sz w:val="20"/>
          <w:szCs w:val="20"/>
        </w:rPr>
        <w:t>represent</w:t>
      </w:r>
      <w:r w:rsidRPr="002F32AA">
        <w:rPr>
          <w:sz w:val="20"/>
          <w:szCs w:val="20"/>
        </w:rPr>
        <w:t xml:space="preserve"> </w:t>
      </w:r>
      <w:r w:rsidRPr="00D507F2">
        <w:rPr>
          <w:i/>
          <w:sz w:val="20"/>
          <w:szCs w:val="20"/>
        </w:rPr>
        <w:t>a priori</w:t>
      </w:r>
      <w:r w:rsidRPr="002F32AA">
        <w:rPr>
          <w:sz w:val="20"/>
          <w:szCs w:val="20"/>
        </w:rPr>
        <w:t xml:space="preserve"> </w:t>
      </w:r>
      <w:r>
        <w:rPr>
          <w:sz w:val="20"/>
          <w:szCs w:val="20"/>
        </w:rPr>
        <w:t xml:space="preserve">or commonsense </w:t>
      </w:r>
      <w:r w:rsidRPr="002F32AA">
        <w:rPr>
          <w:sz w:val="20"/>
          <w:szCs w:val="20"/>
        </w:rPr>
        <w:t>truths</w:t>
      </w:r>
      <w:r>
        <w:rPr>
          <w:sz w:val="20"/>
          <w:szCs w:val="20"/>
        </w:rPr>
        <w:t xml:space="preserve"> about human cognition</w:t>
      </w:r>
      <w:r w:rsidRPr="002F32AA">
        <w:rPr>
          <w:sz w:val="20"/>
          <w:szCs w:val="20"/>
        </w:rPr>
        <w:t>, truths that constrain the selection</w:t>
      </w:r>
      <w:r>
        <w:rPr>
          <w:sz w:val="20"/>
          <w:szCs w:val="20"/>
        </w:rPr>
        <w:t xml:space="preserve"> </w:t>
      </w:r>
      <w:r w:rsidRPr="002F32AA">
        <w:rPr>
          <w:sz w:val="20"/>
          <w:szCs w:val="20"/>
        </w:rPr>
        <w:t>of models in cognitive science (leading cognitive scientists to</w:t>
      </w:r>
      <w:r>
        <w:rPr>
          <w:sz w:val="20"/>
          <w:szCs w:val="20"/>
        </w:rPr>
        <w:t xml:space="preserve"> </w:t>
      </w:r>
      <w:r w:rsidRPr="002F32AA">
        <w:rPr>
          <w:sz w:val="20"/>
          <w:szCs w:val="20"/>
        </w:rPr>
        <w:t>reject otherwise superior models of the data because they do</w:t>
      </w:r>
      <w:r>
        <w:rPr>
          <w:sz w:val="20"/>
          <w:szCs w:val="20"/>
        </w:rPr>
        <w:t xml:space="preserve"> </w:t>
      </w:r>
      <w:r w:rsidRPr="002F32AA">
        <w:rPr>
          <w:sz w:val="20"/>
          <w:szCs w:val="20"/>
        </w:rPr>
        <w:t>n</w:t>
      </w:r>
      <w:r>
        <w:rPr>
          <w:sz w:val="20"/>
          <w:szCs w:val="20"/>
        </w:rPr>
        <w:t>o</w:t>
      </w:r>
      <w:r w:rsidRPr="002F32AA">
        <w:rPr>
          <w:sz w:val="20"/>
          <w:szCs w:val="20"/>
        </w:rPr>
        <w:t>t</w:t>
      </w:r>
      <w:r>
        <w:rPr>
          <w:sz w:val="20"/>
          <w:szCs w:val="20"/>
        </w:rPr>
        <w:t xml:space="preserve"> </w:t>
      </w:r>
      <w:r w:rsidRPr="002F32AA">
        <w:rPr>
          <w:sz w:val="20"/>
          <w:szCs w:val="20"/>
        </w:rPr>
        <w:t>portray human cognition as optimally Bayesian). Rather, the use of</w:t>
      </w:r>
      <w:r>
        <w:rPr>
          <w:sz w:val="20"/>
          <w:szCs w:val="20"/>
        </w:rPr>
        <w:t xml:space="preserve"> </w:t>
      </w:r>
      <w:r w:rsidRPr="002F32AA">
        <w:rPr>
          <w:sz w:val="20"/>
          <w:szCs w:val="20"/>
        </w:rPr>
        <w:t xml:space="preserve">Bayesian principles helps </w:t>
      </w:r>
      <w:r>
        <w:rPr>
          <w:sz w:val="20"/>
          <w:szCs w:val="20"/>
        </w:rPr>
        <w:t>researchers</w:t>
      </w:r>
      <w:r w:rsidRPr="002F32AA">
        <w:rPr>
          <w:sz w:val="20"/>
          <w:szCs w:val="20"/>
        </w:rPr>
        <w:t xml:space="preserve"> to formulate</w:t>
      </w:r>
      <w:r>
        <w:rPr>
          <w:sz w:val="20"/>
          <w:szCs w:val="20"/>
        </w:rPr>
        <w:t xml:space="preserve"> possible</w:t>
      </w:r>
      <w:r w:rsidRPr="002F32AA">
        <w:rPr>
          <w:sz w:val="20"/>
          <w:szCs w:val="20"/>
        </w:rPr>
        <w:t xml:space="preserve"> models of the human</w:t>
      </w:r>
      <w:r>
        <w:rPr>
          <w:sz w:val="20"/>
          <w:szCs w:val="20"/>
        </w:rPr>
        <w:t xml:space="preserve"> </w:t>
      </w:r>
      <w:r w:rsidRPr="002F32AA">
        <w:rPr>
          <w:sz w:val="20"/>
          <w:szCs w:val="20"/>
        </w:rPr>
        <w:t xml:space="preserve">cognitive process and understand why </w:t>
      </w:r>
      <w:r>
        <w:rPr>
          <w:sz w:val="20"/>
          <w:szCs w:val="20"/>
        </w:rPr>
        <w:t>a</w:t>
      </w:r>
      <w:r w:rsidRPr="002F32AA">
        <w:rPr>
          <w:sz w:val="20"/>
          <w:szCs w:val="20"/>
        </w:rPr>
        <w:t xml:space="preserve"> process</w:t>
      </w:r>
      <w:r>
        <w:rPr>
          <w:sz w:val="20"/>
          <w:szCs w:val="20"/>
        </w:rPr>
        <w:t>,</w:t>
      </w:r>
      <w:r w:rsidRPr="002F32AA">
        <w:rPr>
          <w:sz w:val="20"/>
          <w:szCs w:val="20"/>
        </w:rPr>
        <w:t xml:space="preserve"> </w:t>
      </w:r>
      <w:r>
        <w:rPr>
          <w:sz w:val="20"/>
          <w:szCs w:val="20"/>
        </w:rPr>
        <w:t xml:space="preserve">so modeled, </w:t>
      </w:r>
      <w:r w:rsidRPr="002F32AA">
        <w:rPr>
          <w:sz w:val="20"/>
          <w:szCs w:val="20"/>
        </w:rPr>
        <w:t>might be</w:t>
      </w:r>
      <w:r>
        <w:rPr>
          <w:sz w:val="20"/>
          <w:szCs w:val="20"/>
        </w:rPr>
        <w:t xml:space="preserve"> </w:t>
      </w:r>
      <w:r w:rsidRPr="002F32AA">
        <w:rPr>
          <w:sz w:val="20"/>
          <w:szCs w:val="20"/>
        </w:rPr>
        <w:t>useful to the organism, even if actual human cognition is not</w:t>
      </w:r>
      <w:r>
        <w:rPr>
          <w:sz w:val="20"/>
          <w:szCs w:val="20"/>
        </w:rPr>
        <w:t xml:space="preserve"> </w:t>
      </w:r>
      <w:r w:rsidRPr="002F32AA">
        <w:rPr>
          <w:sz w:val="20"/>
          <w:szCs w:val="20"/>
        </w:rPr>
        <w:t>Bayesian. For</w:t>
      </w:r>
      <w:r>
        <w:rPr>
          <w:sz w:val="20"/>
          <w:szCs w:val="20"/>
        </w:rPr>
        <w:t xml:space="preserve"> </w:t>
      </w:r>
      <w:r w:rsidRPr="002F32AA">
        <w:rPr>
          <w:sz w:val="20"/>
          <w:szCs w:val="20"/>
        </w:rPr>
        <w:t>Griffiths et al., the</w:t>
      </w:r>
      <w:r>
        <w:rPr>
          <w:sz w:val="20"/>
          <w:szCs w:val="20"/>
        </w:rPr>
        <w:t xml:space="preserve"> Bayesian</w:t>
      </w:r>
      <w:r w:rsidRPr="002F32AA">
        <w:rPr>
          <w:sz w:val="20"/>
          <w:szCs w:val="20"/>
        </w:rPr>
        <w:t xml:space="preserve"> top-down approach is an empirical bet about</w:t>
      </w:r>
      <w:r>
        <w:rPr>
          <w:sz w:val="20"/>
          <w:szCs w:val="20"/>
        </w:rPr>
        <w:t xml:space="preserve"> </w:t>
      </w:r>
      <w:r w:rsidRPr="002F32AA">
        <w:rPr>
          <w:sz w:val="20"/>
          <w:szCs w:val="20"/>
        </w:rPr>
        <w:t>methodology. They offer empirical arguments for their approach,</w:t>
      </w:r>
      <w:r>
        <w:rPr>
          <w:sz w:val="20"/>
          <w:szCs w:val="20"/>
        </w:rPr>
        <w:t xml:space="preserve"> </w:t>
      </w:r>
      <w:r w:rsidRPr="002F32AA">
        <w:rPr>
          <w:sz w:val="20"/>
          <w:szCs w:val="20"/>
        </w:rPr>
        <w:t>for example, that Bayesian cognitive modeling is more</w:t>
      </w:r>
      <w:r>
        <w:rPr>
          <w:sz w:val="20"/>
          <w:szCs w:val="20"/>
        </w:rPr>
        <w:t xml:space="preserve"> </w:t>
      </w:r>
      <w:r w:rsidRPr="002F32AA">
        <w:rPr>
          <w:sz w:val="20"/>
          <w:szCs w:val="20"/>
        </w:rPr>
        <w:t>likely to explore the space of possibilities effectively, and less likely</w:t>
      </w:r>
      <w:r>
        <w:rPr>
          <w:sz w:val="20"/>
          <w:szCs w:val="20"/>
        </w:rPr>
        <w:t xml:space="preserve"> </w:t>
      </w:r>
      <w:r w:rsidRPr="002F32AA">
        <w:rPr>
          <w:sz w:val="20"/>
          <w:szCs w:val="20"/>
        </w:rPr>
        <w:t>to get bogged down in dead-ends, than is a mechanisms-first</w:t>
      </w:r>
      <w:r>
        <w:rPr>
          <w:sz w:val="20"/>
          <w:szCs w:val="20"/>
        </w:rPr>
        <w:t xml:space="preserve"> </w:t>
      </w:r>
      <w:r w:rsidRPr="002F32AA">
        <w:rPr>
          <w:sz w:val="20"/>
          <w:szCs w:val="20"/>
        </w:rPr>
        <w:t>approach (</w:t>
      </w:r>
      <w:r w:rsidRPr="00D507F2">
        <w:rPr>
          <w:i/>
          <w:sz w:val="20"/>
          <w:szCs w:val="20"/>
        </w:rPr>
        <w:t>ibid.</w:t>
      </w:r>
      <w:r w:rsidRPr="002F32AA">
        <w:rPr>
          <w:sz w:val="20"/>
          <w:szCs w:val="20"/>
        </w:rPr>
        <w:t>, 358). Implicit in this style of argument is a</w:t>
      </w:r>
      <w:r>
        <w:rPr>
          <w:sz w:val="20"/>
          <w:szCs w:val="20"/>
        </w:rPr>
        <w:t xml:space="preserve"> </w:t>
      </w:r>
      <w:r w:rsidRPr="002F32AA">
        <w:rPr>
          <w:sz w:val="20"/>
          <w:szCs w:val="20"/>
        </w:rPr>
        <w:t>commitment to contingency: if the competing mechanisms-first</w:t>
      </w:r>
      <w:r>
        <w:rPr>
          <w:sz w:val="20"/>
          <w:szCs w:val="20"/>
        </w:rPr>
        <w:t xml:space="preserve"> </w:t>
      </w:r>
      <w:r w:rsidRPr="002F32AA">
        <w:rPr>
          <w:sz w:val="20"/>
          <w:szCs w:val="20"/>
        </w:rPr>
        <w:t>approach produces models that account</w:t>
      </w:r>
      <w:r>
        <w:rPr>
          <w:sz w:val="20"/>
          <w:szCs w:val="20"/>
        </w:rPr>
        <w:t xml:space="preserve"> well</w:t>
      </w:r>
      <w:r w:rsidRPr="002F32AA">
        <w:rPr>
          <w:sz w:val="20"/>
          <w:szCs w:val="20"/>
        </w:rPr>
        <w:t xml:space="preserve"> for human</w:t>
      </w:r>
      <w:r>
        <w:rPr>
          <w:sz w:val="20"/>
          <w:szCs w:val="20"/>
        </w:rPr>
        <w:t xml:space="preserve"> </w:t>
      </w:r>
      <w:r w:rsidRPr="002F32AA">
        <w:rPr>
          <w:sz w:val="20"/>
          <w:szCs w:val="20"/>
        </w:rPr>
        <w:t>behavior, while the top-down Bayesian approach flounders,</w:t>
      </w:r>
      <w:r>
        <w:rPr>
          <w:sz w:val="20"/>
          <w:szCs w:val="20"/>
        </w:rPr>
        <w:t xml:space="preserve"> </w:t>
      </w:r>
      <w:r w:rsidRPr="002F32AA">
        <w:rPr>
          <w:sz w:val="20"/>
          <w:szCs w:val="20"/>
        </w:rPr>
        <w:t>Griffiths et al. will have lost their empirical bet</w:t>
      </w:r>
      <w:r>
        <w:rPr>
          <w:sz w:val="20"/>
          <w:szCs w:val="20"/>
        </w:rPr>
        <w:t xml:space="preserve"> and will abandon the Bayesian program. The attitude Griffiths et al. take toward the normativity presupposed by Bayesian modeling, treating it as a kind of tool that might be fruitful in the context of discovery or as a way of seeing the advantages of certain problem-solving strategies, seems well advised and to apply equally to the general question of how much normativity is presupposed by cognitive-scientific methodology. Thanks to Antonia Peacocke, David Chalmers, and Steven Gross for pressing me on normativity-related issues.</w:t>
      </w:r>
    </w:p>
  </w:footnote>
  <w:footnote w:id="6">
    <w:p w14:paraId="71022BA1" w14:textId="5FBD472F" w:rsidR="006A4E76" w:rsidRPr="009E472B" w:rsidRDefault="006A4E76" w:rsidP="009E472B">
      <w:pPr>
        <w:pStyle w:val="FootnoteText"/>
        <w:spacing w:line="240" w:lineRule="auto"/>
        <w:rPr>
          <w:sz w:val="20"/>
          <w:szCs w:val="20"/>
        </w:rPr>
      </w:pPr>
      <w:r w:rsidRPr="009E472B">
        <w:rPr>
          <w:rStyle w:val="FootnoteReference"/>
          <w:sz w:val="20"/>
          <w:szCs w:val="20"/>
        </w:rPr>
        <w:footnoteRef/>
      </w:r>
      <w:r w:rsidRPr="009E472B">
        <w:rPr>
          <w:sz w:val="20"/>
          <w:szCs w:val="20"/>
        </w:rPr>
        <w:t xml:space="preserve"> </w:t>
      </w:r>
      <w:r>
        <w:rPr>
          <w:sz w:val="20"/>
          <w:szCs w:val="20"/>
        </w:rPr>
        <w:t>The point here is that g</w:t>
      </w:r>
      <w:r w:rsidRPr="009E472B">
        <w:rPr>
          <w:sz w:val="20"/>
          <w:szCs w:val="20"/>
        </w:rPr>
        <w:t>roup states might be of enormous</w:t>
      </w:r>
      <w:r>
        <w:rPr>
          <w:sz w:val="20"/>
          <w:szCs w:val="20"/>
        </w:rPr>
        <w:t xml:space="preserve"> scientific and philosophical</w:t>
      </w:r>
      <w:r w:rsidRPr="009E472B">
        <w:rPr>
          <w:sz w:val="20"/>
          <w:szCs w:val="20"/>
        </w:rPr>
        <w:t xml:space="preserve"> interest even if </w:t>
      </w:r>
      <w:r>
        <w:rPr>
          <w:sz w:val="20"/>
          <w:szCs w:val="20"/>
        </w:rPr>
        <w:t>groups have no</w:t>
      </w:r>
      <w:r w:rsidRPr="009E472B">
        <w:rPr>
          <w:sz w:val="20"/>
          <w:szCs w:val="20"/>
        </w:rPr>
        <w:t xml:space="preserve"> cognitive or psychological </w:t>
      </w:r>
      <w:r>
        <w:rPr>
          <w:sz w:val="20"/>
          <w:szCs w:val="20"/>
        </w:rPr>
        <w:t>states.</w:t>
      </w:r>
    </w:p>
  </w:footnote>
  <w:footnote w:id="7">
    <w:p w14:paraId="6AB018FC" w14:textId="431333F0" w:rsidR="006A4E76" w:rsidRPr="00EA0962" w:rsidRDefault="006A4E76" w:rsidP="00EA0962">
      <w:pPr>
        <w:pStyle w:val="FootnoteText"/>
        <w:spacing w:line="240" w:lineRule="auto"/>
        <w:rPr>
          <w:sz w:val="20"/>
          <w:szCs w:val="20"/>
        </w:rPr>
      </w:pPr>
      <w:r w:rsidRPr="00EA0962">
        <w:rPr>
          <w:rStyle w:val="FootnoteReference"/>
          <w:sz w:val="20"/>
          <w:szCs w:val="20"/>
        </w:rPr>
        <w:footnoteRef/>
      </w:r>
      <w:r w:rsidRPr="00EA0962">
        <w:rPr>
          <w:sz w:val="20"/>
          <w:szCs w:val="20"/>
        </w:rPr>
        <w:t xml:space="preserve"> This</w:t>
      </w:r>
      <w:r>
        <w:rPr>
          <w:sz w:val="20"/>
          <w:szCs w:val="20"/>
        </w:rPr>
        <w:t xml:space="preserve"> line of argument</w:t>
      </w:r>
      <w:r w:rsidRPr="00EA0962">
        <w:rPr>
          <w:sz w:val="20"/>
          <w:szCs w:val="20"/>
        </w:rPr>
        <w:t xml:space="preserve"> </w:t>
      </w:r>
      <w:r>
        <w:rPr>
          <w:sz w:val="20"/>
          <w:szCs w:val="20"/>
        </w:rPr>
        <w:t>parallels the</w:t>
      </w:r>
      <w:r w:rsidRPr="00EA0962">
        <w:rPr>
          <w:sz w:val="20"/>
          <w:szCs w:val="20"/>
        </w:rPr>
        <w:t xml:space="preserve"> dilemma</w:t>
      </w:r>
      <w:r>
        <w:rPr>
          <w:sz w:val="20"/>
          <w:szCs w:val="20"/>
        </w:rPr>
        <w:t xml:space="preserve"> presented</w:t>
      </w:r>
      <w:r w:rsidRPr="00EA0962">
        <w:rPr>
          <w:sz w:val="20"/>
          <w:szCs w:val="20"/>
        </w:rPr>
        <w:t xml:space="preserve"> in Rupert (2004</w:t>
      </w:r>
      <w:r>
        <w:rPr>
          <w:sz w:val="20"/>
          <w:szCs w:val="20"/>
        </w:rPr>
        <w:t>, sections V–VIII</w:t>
      </w:r>
      <w:r w:rsidRPr="00EA0962">
        <w:rPr>
          <w:sz w:val="20"/>
          <w:szCs w:val="20"/>
        </w:rPr>
        <w:t>)</w:t>
      </w:r>
      <w:r>
        <w:rPr>
          <w:sz w:val="20"/>
          <w:szCs w:val="20"/>
        </w:rPr>
        <w:t xml:space="preserve"> </w:t>
      </w:r>
      <w:r w:rsidRPr="00EA0962">
        <w:rPr>
          <w:sz w:val="20"/>
          <w:szCs w:val="20"/>
        </w:rPr>
        <w:t>in the context of the debate about</w:t>
      </w:r>
      <w:r>
        <w:rPr>
          <w:sz w:val="20"/>
          <w:szCs w:val="20"/>
        </w:rPr>
        <w:t xml:space="preserve"> individual-level</w:t>
      </w:r>
      <w:r w:rsidRPr="00EA0962">
        <w:rPr>
          <w:sz w:val="20"/>
          <w:szCs w:val="20"/>
        </w:rPr>
        <w:t xml:space="preserve"> extende</w:t>
      </w:r>
      <w:r>
        <w:rPr>
          <w:sz w:val="20"/>
          <w:szCs w:val="20"/>
        </w:rPr>
        <w:t>d</w:t>
      </w:r>
      <w:r w:rsidRPr="00EA0962">
        <w:rPr>
          <w:sz w:val="20"/>
          <w:szCs w:val="20"/>
        </w:rPr>
        <w:t xml:space="preserve"> mind and</w:t>
      </w:r>
      <w:r>
        <w:rPr>
          <w:sz w:val="20"/>
          <w:szCs w:val="20"/>
        </w:rPr>
        <w:t xml:space="preserve"> </w:t>
      </w:r>
      <w:r w:rsidRPr="00EA0962">
        <w:rPr>
          <w:sz w:val="20"/>
          <w:szCs w:val="20"/>
        </w:rPr>
        <w:t>cognition</w:t>
      </w:r>
      <w:r>
        <w:rPr>
          <w:sz w:val="20"/>
          <w:szCs w:val="20"/>
        </w:rPr>
        <w:t xml:space="preserve"> (Clark and Chalmers 1998)</w:t>
      </w:r>
      <w:r w:rsidRPr="00EA0962">
        <w:rPr>
          <w:sz w:val="20"/>
          <w:szCs w:val="20"/>
        </w:rPr>
        <w:t>.</w:t>
      </w:r>
    </w:p>
  </w:footnote>
  <w:footnote w:id="8">
    <w:p w14:paraId="2D15EDFB" w14:textId="5A05D373" w:rsidR="006A4E76" w:rsidRPr="00620C38" w:rsidRDefault="006A4E76" w:rsidP="00620C38">
      <w:pPr>
        <w:pStyle w:val="FootnoteText"/>
        <w:spacing w:line="240" w:lineRule="auto"/>
        <w:rPr>
          <w:sz w:val="20"/>
          <w:szCs w:val="20"/>
        </w:rPr>
      </w:pPr>
      <w:r w:rsidRPr="00620C38">
        <w:rPr>
          <w:rStyle w:val="FootnoteReference"/>
          <w:sz w:val="20"/>
          <w:szCs w:val="20"/>
        </w:rPr>
        <w:footnoteRef/>
      </w:r>
      <w:r w:rsidRPr="00620C38">
        <w:rPr>
          <w:sz w:val="20"/>
          <w:szCs w:val="20"/>
        </w:rPr>
        <w:t xml:space="preserve"> The device of Ramsification </w:t>
      </w:r>
      <w:r>
        <w:rPr>
          <w:sz w:val="20"/>
          <w:szCs w:val="20"/>
        </w:rPr>
        <w:t>provides a tool</w:t>
      </w:r>
      <w:r w:rsidRPr="00620C38">
        <w:rPr>
          <w:sz w:val="20"/>
          <w:szCs w:val="20"/>
        </w:rPr>
        <w:t xml:space="preserve"> for formally schematizing psychological theory. A Ramsey sentence</w:t>
      </w:r>
      <w:r>
        <w:rPr>
          <w:sz w:val="20"/>
          <w:szCs w:val="20"/>
        </w:rPr>
        <w:t xml:space="preserve"> does so</w:t>
      </w:r>
      <w:r w:rsidRPr="00620C38">
        <w:rPr>
          <w:sz w:val="20"/>
          <w:szCs w:val="20"/>
        </w:rPr>
        <w:t xml:space="preserve"> by amalgamating or stitching together many successful fragmentary models (that is, models of specific data sets or</w:t>
      </w:r>
      <w:r>
        <w:rPr>
          <w:sz w:val="20"/>
          <w:szCs w:val="20"/>
        </w:rPr>
        <w:t xml:space="preserve"> models of</w:t>
      </w:r>
      <w:r w:rsidRPr="00620C38">
        <w:rPr>
          <w:sz w:val="20"/>
          <w:szCs w:val="20"/>
        </w:rPr>
        <w:t xml:space="preserve"> families of related data sets). Overarching state-types – such as belief – might be made explicit in the</w:t>
      </w:r>
      <w:r>
        <w:rPr>
          <w:sz w:val="20"/>
          <w:szCs w:val="20"/>
        </w:rPr>
        <w:t xml:space="preserve"> relevant</w:t>
      </w:r>
      <w:r w:rsidRPr="00620C38">
        <w:rPr>
          <w:sz w:val="20"/>
          <w:szCs w:val="20"/>
        </w:rPr>
        <w:t xml:space="preserve"> models and thus in the Ramsey sentence</w:t>
      </w:r>
      <w:r>
        <w:rPr>
          <w:sz w:val="20"/>
          <w:szCs w:val="20"/>
        </w:rPr>
        <w:t xml:space="preserve"> built from them; or</w:t>
      </w:r>
      <w:r w:rsidRPr="00620C38">
        <w:rPr>
          <w:sz w:val="20"/>
          <w:szCs w:val="20"/>
        </w:rPr>
        <w:t xml:space="preserve"> such types may be only implicitly defined, say, by common structural patterns detectable in various parts of the Ramsey sentence</w:t>
      </w:r>
      <w:r>
        <w:rPr>
          <w:sz w:val="20"/>
          <w:szCs w:val="20"/>
        </w:rPr>
        <w:t xml:space="preserve"> at issue</w:t>
      </w:r>
      <w:r w:rsidRPr="00620C38">
        <w:rPr>
          <w:sz w:val="20"/>
          <w:szCs w:val="20"/>
        </w:rPr>
        <w:t xml:space="preserve">. </w:t>
      </w:r>
      <w:r>
        <w:rPr>
          <w:sz w:val="20"/>
          <w:szCs w:val="20"/>
        </w:rPr>
        <w:t>In either case, the question remains open whether the types, so defined, are shared by groups and individual humans.</w:t>
      </w:r>
    </w:p>
  </w:footnote>
  <w:footnote w:id="9">
    <w:p w14:paraId="6C3D62BB" w14:textId="2E04B0D7" w:rsidR="006A4E76" w:rsidRPr="00A22FDD" w:rsidRDefault="006A4E76" w:rsidP="00A22FDD">
      <w:pPr>
        <w:pStyle w:val="FootnoteText"/>
        <w:spacing w:line="240" w:lineRule="auto"/>
        <w:rPr>
          <w:sz w:val="20"/>
          <w:szCs w:val="20"/>
        </w:rPr>
      </w:pPr>
      <w:r w:rsidRPr="00A22FDD">
        <w:rPr>
          <w:rStyle w:val="FootnoteReference"/>
          <w:sz w:val="20"/>
          <w:szCs w:val="20"/>
        </w:rPr>
        <w:footnoteRef/>
      </w:r>
      <w:r w:rsidRPr="00A22FDD">
        <w:rPr>
          <w:sz w:val="20"/>
          <w:szCs w:val="20"/>
        </w:rPr>
        <w:t xml:space="preserve"> List and Pettit do not focus exclusively on agents’ individual states, such as beliefs and desires. They frequently emphasize properties of the agent</w:t>
      </w:r>
      <w:r>
        <w:rPr>
          <w:sz w:val="20"/>
          <w:szCs w:val="20"/>
        </w:rPr>
        <w:t>’s psychology</w:t>
      </w:r>
      <w:r w:rsidRPr="00A22FDD">
        <w:rPr>
          <w:sz w:val="20"/>
          <w:szCs w:val="20"/>
        </w:rPr>
        <w:t xml:space="preserve"> as a whole, such as consistency and coherence over time. They argue that </w:t>
      </w:r>
      <w:r>
        <w:rPr>
          <w:sz w:val="20"/>
          <w:szCs w:val="20"/>
        </w:rPr>
        <w:t xml:space="preserve">in order </w:t>
      </w:r>
      <w:r w:rsidRPr="00A22FDD">
        <w:rPr>
          <w:sz w:val="20"/>
          <w:szCs w:val="20"/>
        </w:rPr>
        <w:t>to construct group-level institutions that serve our needs, we must</w:t>
      </w:r>
      <w:r>
        <w:rPr>
          <w:sz w:val="20"/>
          <w:szCs w:val="20"/>
        </w:rPr>
        <w:t xml:space="preserve"> carefully</w:t>
      </w:r>
      <w:r w:rsidRPr="00A22FDD">
        <w:rPr>
          <w:sz w:val="20"/>
          <w:szCs w:val="20"/>
        </w:rPr>
        <w:t xml:space="preserve"> structure the</w:t>
      </w:r>
      <w:r>
        <w:rPr>
          <w:sz w:val="20"/>
          <w:szCs w:val="20"/>
        </w:rPr>
        <w:t>se</w:t>
      </w:r>
      <w:r w:rsidRPr="00A22FDD">
        <w:rPr>
          <w:sz w:val="20"/>
          <w:szCs w:val="20"/>
        </w:rPr>
        <w:t xml:space="preserve"> institutions – by codifying the use of certain methods of aggregating individual humans’ </w:t>
      </w:r>
      <w:r>
        <w:rPr>
          <w:sz w:val="20"/>
          <w:szCs w:val="20"/>
        </w:rPr>
        <w:t>judgements and preferences</w:t>
      </w:r>
      <w:r w:rsidRPr="00A22FDD">
        <w:rPr>
          <w:sz w:val="20"/>
          <w:szCs w:val="20"/>
        </w:rPr>
        <w:t xml:space="preserve"> – in ways that </w:t>
      </w:r>
      <w:r>
        <w:rPr>
          <w:sz w:val="20"/>
          <w:szCs w:val="20"/>
        </w:rPr>
        <w:t>endow groups with s</w:t>
      </w:r>
      <w:r w:rsidRPr="00A22FDD">
        <w:rPr>
          <w:sz w:val="20"/>
          <w:szCs w:val="20"/>
        </w:rPr>
        <w:t xml:space="preserve">uch properties </w:t>
      </w:r>
      <w:r>
        <w:rPr>
          <w:sz w:val="20"/>
          <w:szCs w:val="20"/>
        </w:rPr>
        <w:t xml:space="preserve">as </w:t>
      </w:r>
      <w:r w:rsidRPr="00A22FDD">
        <w:rPr>
          <w:sz w:val="20"/>
          <w:szCs w:val="20"/>
        </w:rPr>
        <w:t>consistency</w:t>
      </w:r>
      <w:r>
        <w:rPr>
          <w:sz w:val="20"/>
          <w:szCs w:val="20"/>
        </w:rPr>
        <w:t xml:space="preserve">, </w:t>
      </w:r>
      <w:r w:rsidRPr="00A22FDD">
        <w:rPr>
          <w:sz w:val="20"/>
          <w:szCs w:val="20"/>
        </w:rPr>
        <w:t>coherence</w:t>
      </w:r>
      <w:r>
        <w:rPr>
          <w:sz w:val="20"/>
          <w:szCs w:val="20"/>
        </w:rPr>
        <w:t>,</w:t>
      </w:r>
      <w:r w:rsidRPr="00A22FDD">
        <w:rPr>
          <w:sz w:val="20"/>
          <w:szCs w:val="20"/>
        </w:rPr>
        <w:t xml:space="preserve"> </w:t>
      </w:r>
      <w:r>
        <w:rPr>
          <w:sz w:val="20"/>
          <w:szCs w:val="20"/>
        </w:rPr>
        <w:t xml:space="preserve">and </w:t>
      </w:r>
      <w:r w:rsidRPr="00A22FDD">
        <w:rPr>
          <w:sz w:val="20"/>
          <w:szCs w:val="20"/>
        </w:rPr>
        <w:t>completeness</w:t>
      </w:r>
      <w:r>
        <w:rPr>
          <w:sz w:val="20"/>
          <w:szCs w:val="20"/>
        </w:rPr>
        <w:t xml:space="preserve"> (where to be complete is to be such</w:t>
      </w:r>
      <w:r w:rsidRPr="00A22FDD">
        <w:rPr>
          <w:sz w:val="20"/>
          <w:szCs w:val="20"/>
        </w:rPr>
        <w:t xml:space="preserve"> that, for any of the relevant propositions</w:t>
      </w:r>
      <w:r>
        <w:rPr>
          <w:sz w:val="20"/>
          <w:szCs w:val="20"/>
        </w:rPr>
        <w:t>,</w:t>
      </w:r>
      <w:r w:rsidRPr="00A22FDD">
        <w:rPr>
          <w:sz w:val="20"/>
          <w:szCs w:val="20"/>
        </w:rPr>
        <w:t xml:space="preserve"> the group either endorses it or endorses its negation</w:t>
      </w:r>
      <w:r>
        <w:rPr>
          <w:sz w:val="20"/>
          <w:szCs w:val="20"/>
        </w:rPr>
        <w:t xml:space="preserve">; </w:t>
      </w:r>
      <w:r w:rsidRPr="00A22FDD">
        <w:rPr>
          <w:sz w:val="20"/>
          <w:szCs w:val="20"/>
        </w:rPr>
        <w:t>List and Pettit 2011, 53).</w:t>
      </w:r>
    </w:p>
    <w:p w14:paraId="3E257E42" w14:textId="7A43F81C" w:rsidR="006A4E76" w:rsidRDefault="006A4E76" w:rsidP="00A22FDD">
      <w:pPr>
        <w:pStyle w:val="FootnoteText"/>
        <w:spacing w:line="240" w:lineRule="auto"/>
      </w:pPr>
      <w:r w:rsidRPr="00A22FDD">
        <w:rPr>
          <w:sz w:val="20"/>
          <w:szCs w:val="20"/>
        </w:rPr>
        <w:tab/>
        <w:t>List and Pettit do little, however, to support the claim that the properties in question in fact hold of individual humans. They draw on intuitive conceptions of</w:t>
      </w:r>
      <w:r>
        <w:rPr>
          <w:sz w:val="20"/>
          <w:szCs w:val="20"/>
        </w:rPr>
        <w:t xml:space="preserve"> such</w:t>
      </w:r>
      <w:r w:rsidRPr="00A22FDD">
        <w:rPr>
          <w:sz w:val="20"/>
          <w:szCs w:val="20"/>
        </w:rPr>
        <w:t xml:space="preserve"> properties and in some cases on empirical claims about how we would like our institutions to function</w:t>
      </w:r>
      <w:r>
        <w:rPr>
          <w:sz w:val="20"/>
          <w:szCs w:val="20"/>
        </w:rPr>
        <w:t>,</w:t>
      </w:r>
      <w:r w:rsidRPr="00A22FDD">
        <w:rPr>
          <w:sz w:val="20"/>
          <w:szCs w:val="20"/>
        </w:rPr>
        <w:t xml:space="preserve"> without making a case that</w:t>
      </w:r>
      <w:r>
        <w:rPr>
          <w:sz w:val="20"/>
          <w:szCs w:val="20"/>
        </w:rPr>
        <w:t xml:space="preserve"> the global properties </w:t>
      </w:r>
      <w:r w:rsidRPr="00A22FDD">
        <w:rPr>
          <w:sz w:val="20"/>
          <w:szCs w:val="20"/>
        </w:rPr>
        <w:t>we</w:t>
      </w:r>
      <w:r>
        <w:rPr>
          <w:sz w:val="20"/>
          <w:szCs w:val="20"/>
        </w:rPr>
        <w:t xml:space="preserve"> might</w:t>
      </w:r>
      <w:r w:rsidRPr="00A22FDD">
        <w:rPr>
          <w:sz w:val="20"/>
          <w:szCs w:val="20"/>
        </w:rPr>
        <w:t xml:space="preserve"> thereby create in groups </w:t>
      </w:r>
      <w:r>
        <w:rPr>
          <w:sz w:val="20"/>
          <w:szCs w:val="20"/>
        </w:rPr>
        <w:t xml:space="preserve">are </w:t>
      </w:r>
      <w:r w:rsidRPr="00A22FDD">
        <w:rPr>
          <w:sz w:val="20"/>
          <w:szCs w:val="20"/>
        </w:rPr>
        <w:t xml:space="preserve">of the same natural kind as </w:t>
      </w:r>
      <w:r>
        <w:rPr>
          <w:sz w:val="20"/>
          <w:szCs w:val="20"/>
        </w:rPr>
        <w:t>global properties of</w:t>
      </w:r>
      <w:r w:rsidRPr="00A22FDD">
        <w:rPr>
          <w:sz w:val="20"/>
          <w:szCs w:val="20"/>
        </w:rPr>
        <w:t xml:space="preserve"> </w:t>
      </w:r>
      <w:r>
        <w:rPr>
          <w:sz w:val="20"/>
          <w:szCs w:val="20"/>
        </w:rPr>
        <w:t xml:space="preserve">individual </w:t>
      </w:r>
      <w:r w:rsidRPr="00A22FDD">
        <w:rPr>
          <w:sz w:val="20"/>
          <w:szCs w:val="20"/>
        </w:rPr>
        <w:t>human</w:t>
      </w:r>
      <w:r>
        <w:rPr>
          <w:sz w:val="20"/>
          <w:szCs w:val="20"/>
        </w:rPr>
        <w:t xml:space="preserve"> cognitive systems</w:t>
      </w:r>
      <w:r w:rsidRPr="00A22FDD">
        <w:rPr>
          <w:sz w:val="20"/>
          <w:szCs w:val="20"/>
        </w:rPr>
        <w:t>. Although some vague conception of rationality is likely to apply to humans and to certain groups, the questions remain open just how thin the shared kind in question is and whether a kind that thin does any causal-explanatory work.</w:t>
      </w:r>
    </w:p>
  </w:footnote>
  <w:footnote w:id="10">
    <w:p w14:paraId="4267F403" w14:textId="45D325A4" w:rsidR="006A4E76" w:rsidRDefault="006A4E76" w:rsidP="00DB0C9E">
      <w:pPr>
        <w:pStyle w:val="FootnoteText"/>
        <w:spacing w:line="240" w:lineRule="auto"/>
      </w:pPr>
      <w:r w:rsidRPr="00DB0C9E">
        <w:rPr>
          <w:rStyle w:val="FootnoteReference"/>
          <w:sz w:val="20"/>
          <w:szCs w:val="20"/>
        </w:rPr>
        <w:footnoteRef/>
      </w:r>
      <w:r w:rsidRPr="00DB0C9E">
        <w:rPr>
          <w:sz w:val="20"/>
          <w:szCs w:val="20"/>
        </w:rPr>
        <w:t xml:space="preserve"> In this respect, the present discussion dovetails a long-running debate about functionalism and chauvinism at the individual level (</w:t>
      </w:r>
      <w:r>
        <w:rPr>
          <w:sz w:val="20"/>
          <w:szCs w:val="20"/>
        </w:rPr>
        <w:t>Block 1978). On the role this issue has played in debates about distributed cognition and the extended mind, see</w:t>
      </w:r>
      <w:r w:rsidRPr="00DB0C9E">
        <w:rPr>
          <w:sz w:val="20"/>
          <w:szCs w:val="20"/>
        </w:rPr>
        <w:t xml:space="preserve"> </w:t>
      </w:r>
      <w:r>
        <w:rPr>
          <w:sz w:val="20"/>
          <w:szCs w:val="20"/>
        </w:rPr>
        <w:t xml:space="preserve">Rupert (2004, 2013), </w:t>
      </w:r>
      <w:r w:rsidRPr="00DB0C9E">
        <w:rPr>
          <w:sz w:val="20"/>
          <w:szCs w:val="20"/>
        </w:rPr>
        <w:t xml:space="preserve">Clark </w:t>
      </w:r>
      <w:r>
        <w:rPr>
          <w:sz w:val="20"/>
          <w:szCs w:val="20"/>
        </w:rPr>
        <w:t>(</w:t>
      </w:r>
      <w:r w:rsidRPr="00DB0C9E">
        <w:rPr>
          <w:sz w:val="20"/>
          <w:szCs w:val="20"/>
        </w:rPr>
        <w:t>2008</w:t>
      </w:r>
      <w:r>
        <w:rPr>
          <w:sz w:val="20"/>
          <w:szCs w:val="20"/>
        </w:rPr>
        <w:t>)</w:t>
      </w:r>
      <w:r w:rsidRPr="00DB0C9E">
        <w:rPr>
          <w:sz w:val="20"/>
          <w:szCs w:val="20"/>
        </w:rPr>
        <w:t xml:space="preserve">, Sprevak </w:t>
      </w:r>
      <w:r>
        <w:rPr>
          <w:sz w:val="20"/>
          <w:szCs w:val="20"/>
        </w:rPr>
        <w:t>(</w:t>
      </w:r>
      <w:r w:rsidRPr="00DB0C9E">
        <w:rPr>
          <w:sz w:val="20"/>
          <w:szCs w:val="20"/>
        </w:rPr>
        <w:t>2009</w:t>
      </w:r>
      <w:r>
        <w:rPr>
          <w:sz w:val="20"/>
          <w:szCs w:val="20"/>
        </w:rPr>
        <w:t>)</w:t>
      </w:r>
      <w:r w:rsidRPr="00DB0C9E">
        <w:rPr>
          <w:sz w:val="20"/>
          <w:szCs w:val="20"/>
        </w:rPr>
        <w:t>,</w:t>
      </w:r>
      <w:r>
        <w:rPr>
          <w:sz w:val="20"/>
          <w:szCs w:val="20"/>
        </w:rPr>
        <w:t xml:space="preserve"> and </w:t>
      </w:r>
      <w:r w:rsidRPr="00E06E3F">
        <w:rPr>
          <w:sz w:val="20"/>
          <w:szCs w:val="20"/>
        </w:rPr>
        <w:t xml:space="preserve">Wheeler </w:t>
      </w:r>
      <w:r>
        <w:rPr>
          <w:sz w:val="20"/>
          <w:szCs w:val="20"/>
        </w:rPr>
        <w:t>(</w:t>
      </w:r>
      <w:r w:rsidRPr="00E06E3F">
        <w:rPr>
          <w:sz w:val="20"/>
          <w:szCs w:val="20"/>
        </w:rPr>
        <w:t>2011</w:t>
      </w:r>
      <w:r>
        <w:rPr>
          <w:sz w:val="20"/>
          <w:szCs w:val="20"/>
        </w:rPr>
        <w:t>)</w:t>
      </w:r>
      <w:r w:rsidRPr="00DB0C9E">
        <w:rPr>
          <w:sz w:val="20"/>
          <w:szCs w:val="20"/>
        </w:rPr>
        <w:t>.</w:t>
      </w:r>
    </w:p>
  </w:footnote>
  <w:footnote w:id="11">
    <w:p w14:paraId="0A9F39CD" w14:textId="72E41BAE" w:rsidR="006A4E76" w:rsidRPr="006807A4" w:rsidRDefault="006A4E76" w:rsidP="006807A4">
      <w:pPr>
        <w:pStyle w:val="FootnoteText"/>
        <w:spacing w:line="240" w:lineRule="auto"/>
        <w:rPr>
          <w:sz w:val="20"/>
          <w:szCs w:val="20"/>
        </w:rPr>
      </w:pPr>
      <w:r w:rsidRPr="006807A4">
        <w:rPr>
          <w:rStyle w:val="FootnoteReference"/>
          <w:sz w:val="20"/>
          <w:szCs w:val="20"/>
        </w:rPr>
        <w:footnoteRef/>
      </w:r>
      <w:r w:rsidRPr="006807A4">
        <w:rPr>
          <w:sz w:val="20"/>
          <w:szCs w:val="20"/>
        </w:rPr>
        <w:t xml:space="preserve"> </w:t>
      </w:r>
      <w:r>
        <w:rPr>
          <w:sz w:val="20"/>
          <w:szCs w:val="20"/>
        </w:rPr>
        <w:t>For a</w:t>
      </w:r>
      <w:r w:rsidRPr="006807A4">
        <w:rPr>
          <w:sz w:val="20"/>
          <w:szCs w:val="20"/>
        </w:rPr>
        <w:t xml:space="preserve"> further example</w:t>
      </w:r>
      <w:r>
        <w:rPr>
          <w:sz w:val="20"/>
          <w:szCs w:val="20"/>
        </w:rPr>
        <w:t>, see</w:t>
      </w:r>
      <w:r w:rsidRPr="006807A4">
        <w:rPr>
          <w:sz w:val="20"/>
          <w:szCs w:val="20"/>
        </w:rPr>
        <w:t xml:space="preserve"> Chemero’s discussion of Haken-Kelso-Bunz model and its various extensions and refinements (2009, 85–96).</w:t>
      </w:r>
    </w:p>
  </w:footnote>
  <w:footnote w:id="12">
    <w:p w14:paraId="19CDB087" w14:textId="77777777" w:rsidR="006A4E76" w:rsidRPr="00B74C7E" w:rsidRDefault="006A4E76" w:rsidP="00B74C7E">
      <w:pPr>
        <w:pStyle w:val="FootnoteText"/>
        <w:spacing w:line="240" w:lineRule="auto"/>
        <w:rPr>
          <w:sz w:val="20"/>
          <w:szCs w:val="20"/>
        </w:rPr>
      </w:pPr>
      <w:r w:rsidRPr="0002153E">
        <w:rPr>
          <w:rStyle w:val="FootnoteReference"/>
          <w:sz w:val="20"/>
          <w:szCs w:val="20"/>
        </w:rPr>
        <w:footnoteRef/>
      </w:r>
      <w:r w:rsidRPr="0002153E">
        <w:rPr>
          <w:sz w:val="20"/>
          <w:szCs w:val="20"/>
        </w:rPr>
        <w:t xml:space="preserve"> </w:t>
      </w:r>
      <w:r>
        <w:rPr>
          <w:sz w:val="20"/>
          <w:szCs w:val="20"/>
        </w:rPr>
        <w:t xml:space="preserve">Thanks to Jackson </w:t>
      </w:r>
      <w:proofErr w:type="spellStart"/>
      <w:r>
        <w:rPr>
          <w:sz w:val="20"/>
          <w:szCs w:val="20"/>
        </w:rPr>
        <w:t>Kernion</w:t>
      </w:r>
      <w:proofErr w:type="spellEnd"/>
      <w:r>
        <w:rPr>
          <w:sz w:val="20"/>
          <w:szCs w:val="20"/>
        </w:rPr>
        <w:t xml:space="preserve"> for pushing me on this point.</w:t>
      </w:r>
    </w:p>
  </w:footnote>
  <w:footnote w:id="13">
    <w:p w14:paraId="0A728C0B" w14:textId="36074D01" w:rsidR="006A4E76" w:rsidRDefault="006A4E76" w:rsidP="00B74C7E">
      <w:pPr>
        <w:pStyle w:val="FootnoteText"/>
        <w:spacing w:line="240" w:lineRule="auto"/>
      </w:pPr>
      <w:r w:rsidRPr="00B74C7E">
        <w:rPr>
          <w:rStyle w:val="FootnoteReference"/>
          <w:sz w:val="20"/>
          <w:szCs w:val="20"/>
        </w:rPr>
        <w:footnoteRef/>
      </w:r>
      <w:r w:rsidRPr="00B74C7E">
        <w:rPr>
          <w:sz w:val="20"/>
          <w:szCs w:val="20"/>
        </w:rPr>
        <w:t xml:space="preserve"> Although one might wonder about the extent to which such judgements will vary with the particular context, with, for example, the</w:t>
      </w:r>
      <w:r>
        <w:rPr>
          <w:sz w:val="20"/>
          <w:szCs w:val="20"/>
        </w:rPr>
        <w:t xml:space="preserve"> purpose the expert has in mind when asked the relevant question</w:t>
      </w:r>
      <w:r w:rsidRPr="00B74C7E">
        <w:rPr>
          <w:sz w:val="20"/>
          <w:szCs w:val="20"/>
        </w:rPr>
        <w:t xml:space="preserve"> (</w:t>
      </w:r>
      <w:r w:rsidRPr="00B74C7E">
        <w:rPr>
          <w:i/>
          <w:sz w:val="20"/>
          <w:szCs w:val="20"/>
        </w:rPr>
        <w:t xml:space="preserve">cf. </w:t>
      </w:r>
      <w:r w:rsidRPr="00B74C7E">
        <w:rPr>
          <w:sz w:val="20"/>
          <w:szCs w:val="20"/>
        </w:rPr>
        <w:t>Block 1997).</w:t>
      </w:r>
    </w:p>
  </w:footnote>
  <w:footnote w:id="14">
    <w:p w14:paraId="0F973FA7" w14:textId="5AAAC86A" w:rsidR="006A4E76" w:rsidRPr="007C7757" w:rsidRDefault="006A4E76" w:rsidP="007C7757">
      <w:pPr>
        <w:pStyle w:val="FootnoteText"/>
        <w:spacing w:line="240" w:lineRule="auto"/>
        <w:rPr>
          <w:sz w:val="20"/>
          <w:szCs w:val="20"/>
        </w:rPr>
      </w:pPr>
      <w:r w:rsidRPr="007C7757">
        <w:rPr>
          <w:rStyle w:val="FootnoteReference"/>
          <w:sz w:val="20"/>
          <w:szCs w:val="20"/>
        </w:rPr>
        <w:footnoteRef/>
      </w:r>
      <w:r w:rsidRPr="007C7757">
        <w:rPr>
          <w:sz w:val="20"/>
          <w:szCs w:val="20"/>
        </w:rPr>
        <w:t xml:space="preserve"> This approach might seem to beg the question in the current context, but </w:t>
      </w:r>
      <w:r>
        <w:rPr>
          <w:sz w:val="20"/>
          <w:szCs w:val="20"/>
        </w:rPr>
        <w:t>it represents</w:t>
      </w:r>
      <w:r w:rsidRPr="007C7757">
        <w:rPr>
          <w:sz w:val="20"/>
          <w:szCs w:val="20"/>
        </w:rPr>
        <w:t xml:space="preserve"> standard method</w:t>
      </w:r>
      <w:r>
        <w:rPr>
          <w:sz w:val="20"/>
          <w:szCs w:val="20"/>
        </w:rPr>
        <w:t>ology</w:t>
      </w:r>
      <w:r w:rsidRPr="007C7757">
        <w:rPr>
          <w:sz w:val="20"/>
          <w:szCs w:val="20"/>
        </w:rPr>
        <w:t xml:space="preserve"> </w:t>
      </w:r>
      <w:r>
        <w:rPr>
          <w:sz w:val="20"/>
          <w:szCs w:val="20"/>
        </w:rPr>
        <w:t>in</w:t>
      </w:r>
      <w:r w:rsidRPr="007C7757">
        <w:rPr>
          <w:sz w:val="20"/>
          <w:szCs w:val="20"/>
        </w:rPr>
        <w:t xml:space="preserve"> the sciences. If the process o</w:t>
      </w:r>
      <w:r>
        <w:rPr>
          <w:sz w:val="20"/>
          <w:szCs w:val="20"/>
        </w:rPr>
        <w:t>f</w:t>
      </w:r>
      <w:r w:rsidRPr="007C7757">
        <w:rPr>
          <w:sz w:val="20"/>
          <w:szCs w:val="20"/>
        </w:rPr>
        <w:t xml:space="preserve"> investigation works properly,</w:t>
      </w:r>
      <w:r>
        <w:rPr>
          <w:sz w:val="20"/>
          <w:szCs w:val="20"/>
        </w:rPr>
        <w:t xml:space="preserve"> then</w:t>
      </w:r>
      <w:r w:rsidR="001139FF">
        <w:rPr>
          <w:sz w:val="20"/>
          <w:szCs w:val="20"/>
        </w:rPr>
        <w:t>,</w:t>
      </w:r>
      <w:r>
        <w:rPr>
          <w:sz w:val="20"/>
          <w:szCs w:val="20"/>
        </w:rPr>
        <w:t xml:space="preserve"> in the normal course of </w:t>
      </w:r>
      <w:r w:rsidR="001139FF">
        <w:rPr>
          <w:sz w:val="20"/>
          <w:szCs w:val="20"/>
        </w:rPr>
        <w:t>events</w:t>
      </w:r>
      <w:r w:rsidRPr="007C7757">
        <w:rPr>
          <w:sz w:val="20"/>
          <w:szCs w:val="20"/>
        </w:rPr>
        <w:t xml:space="preserve"> </w:t>
      </w:r>
      <w:r w:rsidR="001139FF">
        <w:rPr>
          <w:sz w:val="20"/>
          <w:szCs w:val="20"/>
        </w:rPr>
        <w:t>(</w:t>
      </w:r>
      <w:r w:rsidRPr="007C7757">
        <w:rPr>
          <w:sz w:val="20"/>
          <w:szCs w:val="20"/>
        </w:rPr>
        <w:t>as those working in cognitive science and related fields expand the range of phenomena of interest</w:t>
      </w:r>
      <w:r w:rsidR="001139FF">
        <w:rPr>
          <w:sz w:val="20"/>
          <w:szCs w:val="20"/>
        </w:rPr>
        <w:t>)</w:t>
      </w:r>
      <w:r w:rsidRPr="007C7757">
        <w:rPr>
          <w:sz w:val="20"/>
          <w:szCs w:val="20"/>
        </w:rPr>
        <w:t xml:space="preserve">, which of the various phenomena turn out to be of a piece – that is, </w:t>
      </w:r>
      <w:r>
        <w:rPr>
          <w:sz w:val="20"/>
          <w:szCs w:val="20"/>
        </w:rPr>
        <w:t xml:space="preserve">which </w:t>
      </w:r>
      <w:r w:rsidRPr="007C7757">
        <w:rPr>
          <w:sz w:val="20"/>
          <w:szCs w:val="20"/>
        </w:rPr>
        <w:t>are</w:t>
      </w:r>
      <w:r>
        <w:rPr>
          <w:sz w:val="20"/>
          <w:szCs w:val="20"/>
        </w:rPr>
        <w:t xml:space="preserve"> in fact</w:t>
      </w:r>
      <w:r w:rsidRPr="007C7757">
        <w:rPr>
          <w:sz w:val="20"/>
          <w:szCs w:val="20"/>
        </w:rPr>
        <w:t xml:space="preserve"> produced by processes of the same kind – will emerge, regardless of </w:t>
      </w:r>
      <w:r>
        <w:rPr>
          <w:sz w:val="20"/>
          <w:szCs w:val="20"/>
        </w:rPr>
        <w:t>the</w:t>
      </w:r>
      <w:r w:rsidRPr="007C7757">
        <w:rPr>
          <w:sz w:val="20"/>
          <w:szCs w:val="20"/>
        </w:rPr>
        <w:t xml:space="preserve"> initial inclinations</w:t>
      </w:r>
      <w:r>
        <w:rPr>
          <w:sz w:val="20"/>
          <w:szCs w:val="20"/>
        </w:rPr>
        <w:t xml:space="preserve"> of researchers</w:t>
      </w:r>
      <w:r w:rsidRPr="007C7757">
        <w:rPr>
          <w:sz w:val="20"/>
          <w:szCs w:val="20"/>
        </w:rPr>
        <w:t xml:space="preserve"> to group phenomena</w:t>
      </w:r>
      <w:r w:rsidR="001139FF">
        <w:rPr>
          <w:sz w:val="20"/>
          <w:szCs w:val="20"/>
        </w:rPr>
        <w:t xml:space="preserve"> in</w:t>
      </w:r>
      <w:r w:rsidRPr="007C7757">
        <w:rPr>
          <w:sz w:val="20"/>
          <w:szCs w:val="20"/>
        </w:rPr>
        <w:t xml:space="preserve"> one way </w:t>
      </w:r>
      <w:r w:rsidR="001139FF">
        <w:rPr>
          <w:sz w:val="20"/>
          <w:szCs w:val="20"/>
        </w:rPr>
        <w:t>rather than in</w:t>
      </w:r>
      <w:r w:rsidRPr="007C7757">
        <w:rPr>
          <w:sz w:val="20"/>
          <w:szCs w:val="20"/>
        </w:rPr>
        <w:t xml:space="preserve"> another.</w:t>
      </w:r>
    </w:p>
  </w:footnote>
  <w:footnote w:id="15">
    <w:p w14:paraId="0459959A" w14:textId="763646D0" w:rsidR="006A4E76" w:rsidRDefault="006A4E76" w:rsidP="00694202">
      <w:pPr>
        <w:pStyle w:val="FootnoteText"/>
        <w:spacing w:line="240" w:lineRule="auto"/>
      </w:pPr>
      <w:r w:rsidRPr="00694202">
        <w:rPr>
          <w:rStyle w:val="FootnoteReference"/>
          <w:sz w:val="20"/>
          <w:szCs w:val="20"/>
        </w:rPr>
        <w:footnoteRef/>
      </w:r>
      <w:r w:rsidRPr="00694202">
        <w:rPr>
          <w:sz w:val="20"/>
          <w:szCs w:val="20"/>
        </w:rPr>
        <w:t xml:space="preserve"> Relativizing the </w:t>
      </w:r>
      <w:r>
        <w:rPr>
          <w:sz w:val="20"/>
          <w:szCs w:val="20"/>
        </w:rPr>
        <w:t>conditional probability to task-</w:t>
      </w:r>
      <w:r w:rsidRPr="00694202">
        <w:rPr>
          <w:sz w:val="20"/>
          <w:szCs w:val="20"/>
        </w:rPr>
        <w:t>type is not, contrary to what de Brigard (2017) suggest</w:t>
      </w:r>
      <w:r>
        <w:rPr>
          <w:sz w:val="20"/>
          <w:szCs w:val="20"/>
        </w:rPr>
        <w:t>s</w:t>
      </w:r>
      <w:r w:rsidRPr="00694202">
        <w:rPr>
          <w:sz w:val="20"/>
          <w:szCs w:val="20"/>
        </w:rPr>
        <w:t xml:space="preserve">, designed to identify the cognitive </w:t>
      </w:r>
      <w:r w:rsidRPr="00275E7A">
        <w:rPr>
          <w:i/>
          <w:sz w:val="20"/>
          <w:szCs w:val="20"/>
        </w:rPr>
        <w:t>sub</w:t>
      </w:r>
      <w:r w:rsidRPr="00694202">
        <w:rPr>
          <w:sz w:val="20"/>
          <w:szCs w:val="20"/>
        </w:rPr>
        <w:t xml:space="preserve">system responsible for performing </w:t>
      </w:r>
      <w:r>
        <w:rPr>
          <w:sz w:val="20"/>
          <w:szCs w:val="20"/>
        </w:rPr>
        <w:t>a certain tasks or family</w:t>
      </w:r>
      <w:r w:rsidRPr="00694202">
        <w:rPr>
          <w:sz w:val="20"/>
          <w:szCs w:val="20"/>
        </w:rPr>
        <w:t xml:space="preserve"> of tasks. Rather, the idea is to identify a single cognitive system, something roughly an</w:t>
      </w:r>
      <w:r>
        <w:rPr>
          <w:sz w:val="20"/>
          <w:szCs w:val="20"/>
        </w:rPr>
        <w:t>alogous to the subject or self. And, in this context, contribution to the execution of multiple task-</w:t>
      </w:r>
      <w:r w:rsidRPr="00694202">
        <w:rPr>
          <w:sz w:val="20"/>
          <w:szCs w:val="20"/>
        </w:rPr>
        <w:t>types should weigh in favor of a mechanism’s being part of the cognitive system as a whole</w:t>
      </w:r>
      <w:r>
        <w:rPr>
          <w:sz w:val="20"/>
          <w:szCs w:val="20"/>
        </w:rPr>
        <w:t xml:space="preserve">; estimating conditional probabilities relative to each kind of task increases the likelihood, </w:t>
      </w:r>
      <w:r w:rsidRPr="00985141">
        <w:rPr>
          <w:i/>
          <w:sz w:val="20"/>
          <w:szCs w:val="20"/>
        </w:rPr>
        <w:t>ceteris paribus</w:t>
      </w:r>
      <w:r>
        <w:rPr>
          <w:sz w:val="20"/>
          <w:szCs w:val="20"/>
        </w:rPr>
        <w:t>, that a mechanism deployed across task-types will count as part of the overall cognitive system, which is at it should be.</w:t>
      </w:r>
    </w:p>
  </w:footnote>
  <w:footnote w:id="16">
    <w:p w14:paraId="1C491B22" w14:textId="1141402B" w:rsidR="006A4E76" w:rsidRPr="0002153E" w:rsidRDefault="006A4E76" w:rsidP="0002153E">
      <w:pPr>
        <w:pStyle w:val="FootnoteText"/>
        <w:spacing w:line="240" w:lineRule="auto"/>
        <w:rPr>
          <w:rFonts w:cs="Times New Roman"/>
          <w:sz w:val="20"/>
          <w:szCs w:val="20"/>
        </w:rPr>
      </w:pPr>
      <w:r w:rsidRPr="0002153E">
        <w:rPr>
          <w:rStyle w:val="FootnoteReference"/>
          <w:rFonts w:cs="Times New Roman"/>
          <w:sz w:val="20"/>
          <w:szCs w:val="20"/>
        </w:rPr>
        <w:footnoteRef/>
      </w:r>
      <w:r w:rsidRPr="0002153E">
        <w:rPr>
          <w:rFonts w:cs="Times New Roman"/>
          <w:sz w:val="20"/>
          <w:szCs w:val="20"/>
        </w:rPr>
        <w:t xml:space="preserve"> The use of this measure of integration to identify the cognitive system is consistent with a modular architecture (</w:t>
      </w:r>
      <w:r w:rsidRPr="0002153E">
        <w:rPr>
          <w:rFonts w:cs="Times New Roman"/>
          <w:i/>
          <w:sz w:val="20"/>
          <w:szCs w:val="20"/>
        </w:rPr>
        <w:t xml:space="preserve">contra </w:t>
      </w:r>
      <w:r w:rsidRPr="0002153E">
        <w:rPr>
          <w:rFonts w:cs="Times New Roman"/>
          <w:sz w:val="20"/>
          <w:szCs w:val="20"/>
        </w:rPr>
        <w:t>the suggestion made b</w:t>
      </w:r>
      <w:r>
        <w:rPr>
          <w:rFonts w:cs="Times New Roman"/>
          <w:sz w:val="20"/>
          <w:szCs w:val="20"/>
        </w:rPr>
        <w:t>y Clark 2011, 456</w:t>
      </w:r>
      <w:r w:rsidRPr="0002153E">
        <w:rPr>
          <w:rFonts w:cs="Times New Roman"/>
          <w:sz w:val="20"/>
          <w:szCs w:val="20"/>
        </w:rPr>
        <w:t xml:space="preserve">). The measure is sensitive to </w:t>
      </w:r>
      <w:r>
        <w:rPr>
          <w:rFonts w:cs="Times New Roman"/>
          <w:sz w:val="20"/>
          <w:szCs w:val="20"/>
        </w:rPr>
        <w:t xml:space="preserve">co-contribution of </w:t>
      </w:r>
      <w:r w:rsidRPr="0002153E">
        <w:rPr>
          <w:rFonts w:cs="Times New Roman"/>
          <w:sz w:val="20"/>
          <w:szCs w:val="20"/>
        </w:rPr>
        <w:t>factors to the causal production of intelligent behavior, not to whether the factors causally interact with each other when producing that behavior</w:t>
      </w:r>
      <w:r w:rsidR="00677D1A">
        <w:rPr>
          <w:rFonts w:cs="Times New Roman"/>
          <w:sz w:val="20"/>
          <w:szCs w:val="20"/>
        </w:rPr>
        <w:t xml:space="preserve"> (although interaction is likely to occur in some cases of co-contribution).</w:t>
      </w:r>
    </w:p>
  </w:footnote>
  <w:footnote w:id="17">
    <w:p w14:paraId="3D67BA01" w14:textId="77777777" w:rsidR="006A30A2" w:rsidRPr="006A30A2" w:rsidRDefault="006A30A2" w:rsidP="006A30A2">
      <w:pPr>
        <w:pStyle w:val="FootnoteText"/>
        <w:spacing w:line="240" w:lineRule="auto"/>
        <w:rPr>
          <w:sz w:val="20"/>
          <w:szCs w:val="20"/>
        </w:rPr>
      </w:pPr>
      <w:r w:rsidRPr="006A30A2">
        <w:rPr>
          <w:rStyle w:val="FootnoteReference"/>
          <w:sz w:val="20"/>
          <w:szCs w:val="20"/>
        </w:rPr>
        <w:footnoteRef/>
      </w:r>
      <w:r w:rsidRPr="006A30A2">
        <w:rPr>
          <w:sz w:val="20"/>
          <w:szCs w:val="20"/>
        </w:rPr>
        <w:t xml:space="preserve"> </w:t>
      </w:r>
      <w:r>
        <w:rPr>
          <w:sz w:val="20"/>
          <w:szCs w:val="20"/>
        </w:rPr>
        <w:t>C</w:t>
      </w:r>
      <w:r w:rsidRPr="006A30A2">
        <w:rPr>
          <w:sz w:val="20"/>
          <w:szCs w:val="20"/>
        </w:rPr>
        <w:t xml:space="preserve">ompare this measure to Tononi’s </w:t>
      </w:r>
      <w:r w:rsidRPr="006A30A2">
        <w:rPr>
          <w:i/>
          <w:sz w:val="20"/>
          <w:szCs w:val="20"/>
        </w:rPr>
        <w:t>phi</w:t>
      </w:r>
      <w:r>
        <w:rPr>
          <w:sz w:val="20"/>
          <w:szCs w:val="20"/>
        </w:rPr>
        <w:t xml:space="preserve">, a measure of systemic integration that various authors have invoked in related contexts (Clark 2008, Goldstone and Gureckis 2009, </w:t>
      </w:r>
      <w:r w:rsidRPr="006A30A2">
        <w:rPr>
          <w:sz w:val="20"/>
          <w:szCs w:val="20"/>
        </w:rPr>
        <w:t>List 2018)</w:t>
      </w:r>
      <w:r>
        <w:rPr>
          <w:sz w:val="20"/>
          <w:szCs w:val="20"/>
        </w:rPr>
        <w:t xml:space="preserve"> and which could equally have been used here as a model of cognition.</w:t>
      </w:r>
    </w:p>
  </w:footnote>
  <w:footnote w:id="18">
    <w:p w14:paraId="1A6D72FA" w14:textId="2DCE7A86" w:rsidR="006A4E76" w:rsidRPr="005278AD" w:rsidRDefault="006A4E76" w:rsidP="005278AD">
      <w:pPr>
        <w:pStyle w:val="FootnoteText"/>
        <w:spacing w:line="240" w:lineRule="auto"/>
        <w:rPr>
          <w:sz w:val="20"/>
          <w:szCs w:val="20"/>
        </w:rPr>
      </w:pPr>
      <w:r w:rsidRPr="005278AD">
        <w:rPr>
          <w:rStyle w:val="FootnoteReference"/>
          <w:sz w:val="20"/>
          <w:szCs w:val="20"/>
        </w:rPr>
        <w:footnoteRef/>
      </w:r>
      <w:r w:rsidRPr="005278AD">
        <w:rPr>
          <w:sz w:val="20"/>
          <w:szCs w:val="20"/>
        </w:rPr>
        <w:t xml:space="preserve"> </w:t>
      </w:r>
      <w:r>
        <w:rPr>
          <w:sz w:val="20"/>
          <w:szCs w:val="20"/>
        </w:rPr>
        <w:t>Compare</w:t>
      </w:r>
      <w:r w:rsidRPr="005278AD">
        <w:rPr>
          <w:sz w:val="20"/>
          <w:szCs w:val="20"/>
        </w:rPr>
        <w:t xml:space="preserve"> </w:t>
      </w:r>
      <w:r w:rsidR="00F96FF9">
        <w:rPr>
          <w:sz w:val="20"/>
          <w:szCs w:val="20"/>
        </w:rPr>
        <w:t>the search for</w:t>
      </w:r>
      <w:r w:rsidR="00F96FF9" w:rsidRPr="005278AD">
        <w:rPr>
          <w:sz w:val="20"/>
          <w:szCs w:val="20"/>
        </w:rPr>
        <w:t xml:space="preserve"> a generic conception of cognition </w:t>
      </w:r>
      <w:r w:rsidR="00F96FF9">
        <w:rPr>
          <w:sz w:val="20"/>
          <w:szCs w:val="20"/>
        </w:rPr>
        <w:t xml:space="preserve">to </w:t>
      </w:r>
      <w:r w:rsidRPr="005278AD">
        <w:rPr>
          <w:sz w:val="20"/>
          <w:szCs w:val="20"/>
        </w:rPr>
        <w:t>the search for a generic grounding relation.</w:t>
      </w:r>
      <w:r>
        <w:rPr>
          <w:sz w:val="20"/>
          <w:szCs w:val="20"/>
        </w:rPr>
        <w:t xml:space="preserve"> In particular, consider </w:t>
      </w:r>
      <w:r w:rsidRPr="005278AD">
        <w:rPr>
          <w:sz w:val="20"/>
          <w:szCs w:val="20"/>
        </w:rPr>
        <w:t>Jonathan Schaffer</w:t>
      </w:r>
      <w:r>
        <w:rPr>
          <w:sz w:val="20"/>
          <w:szCs w:val="20"/>
        </w:rPr>
        <w:t xml:space="preserve">’s </w:t>
      </w:r>
      <w:r w:rsidRPr="005278AD">
        <w:rPr>
          <w:sz w:val="20"/>
          <w:szCs w:val="20"/>
        </w:rPr>
        <w:t>response</w:t>
      </w:r>
      <w:r>
        <w:rPr>
          <w:sz w:val="20"/>
          <w:szCs w:val="20"/>
        </w:rPr>
        <w:t xml:space="preserve"> </w:t>
      </w:r>
      <w:r w:rsidRPr="005278AD">
        <w:rPr>
          <w:sz w:val="20"/>
          <w:szCs w:val="20"/>
        </w:rPr>
        <w:t>to Jessica Wilson</w:t>
      </w:r>
      <w:r>
        <w:rPr>
          <w:sz w:val="20"/>
          <w:szCs w:val="20"/>
        </w:rPr>
        <w:t>’s</w:t>
      </w:r>
      <w:r w:rsidRPr="005278AD">
        <w:rPr>
          <w:sz w:val="20"/>
          <w:szCs w:val="20"/>
        </w:rPr>
        <w:t xml:space="preserve"> criticism</w:t>
      </w:r>
      <w:r>
        <w:rPr>
          <w:sz w:val="20"/>
          <w:szCs w:val="20"/>
        </w:rPr>
        <w:t>s</w:t>
      </w:r>
      <w:r w:rsidRPr="005278AD">
        <w:rPr>
          <w:sz w:val="20"/>
          <w:szCs w:val="20"/>
        </w:rPr>
        <w:t xml:space="preserve"> of</w:t>
      </w:r>
      <w:r>
        <w:rPr>
          <w:sz w:val="20"/>
          <w:szCs w:val="20"/>
        </w:rPr>
        <w:t xml:space="preserve"> the claim that there is</w:t>
      </w:r>
      <w:r w:rsidRPr="005278AD">
        <w:rPr>
          <w:sz w:val="20"/>
          <w:szCs w:val="20"/>
        </w:rPr>
        <w:t xml:space="preserve"> </w:t>
      </w:r>
      <w:r>
        <w:rPr>
          <w:sz w:val="20"/>
          <w:szCs w:val="20"/>
        </w:rPr>
        <w:t>a</w:t>
      </w:r>
      <w:r w:rsidR="00F96FF9">
        <w:rPr>
          <w:sz w:val="20"/>
          <w:szCs w:val="20"/>
        </w:rPr>
        <w:t>n</w:t>
      </w:r>
      <w:r>
        <w:rPr>
          <w:sz w:val="20"/>
          <w:szCs w:val="20"/>
        </w:rPr>
        <w:t xml:space="preserve"> interesting </w:t>
      </w:r>
      <w:r w:rsidRPr="005278AD">
        <w:rPr>
          <w:sz w:val="20"/>
          <w:szCs w:val="20"/>
        </w:rPr>
        <w:t>generic conception of grounding (Wilson 2006)</w:t>
      </w:r>
      <w:r w:rsidR="00F96FF9">
        <w:rPr>
          <w:sz w:val="20"/>
          <w:szCs w:val="20"/>
        </w:rPr>
        <w:t xml:space="preserve">. Schaffer claims </w:t>
      </w:r>
      <w:r w:rsidRPr="005278AD">
        <w:rPr>
          <w:sz w:val="20"/>
          <w:szCs w:val="20"/>
        </w:rPr>
        <w:t>that what is common to various specific grounding relations is that they can all be</w:t>
      </w:r>
      <w:r w:rsidR="00F96FF9">
        <w:rPr>
          <w:sz w:val="20"/>
          <w:szCs w:val="20"/>
        </w:rPr>
        <w:t xml:space="preserve"> represented</w:t>
      </w:r>
      <w:r w:rsidRPr="005278AD">
        <w:rPr>
          <w:sz w:val="20"/>
          <w:szCs w:val="20"/>
        </w:rPr>
        <w:t xml:space="preserve"> using structural equation models</w:t>
      </w:r>
      <w:r>
        <w:rPr>
          <w:sz w:val="20"/>
          <w:szCs w:val="20"/>
        </w:rPr>
        <w:t xml:space="preserve"> </w:t>
      </w:r>
      <w:r w:rsidRPr="00E34940">
        <w:rPr>
          <w:sz w:val="20"/>
          <w:szCs w:val="20"/>
        </w:rPr>
        <w:t>(Schaffer 2016)</w:t>
      </w:r>
      <w:r>
        <w:rPr>
          <w:sz w:val="20"/>
          <w:szCs w:val="20"/>
        </w:rPr>
        <w:t>.</w:t>
      </w:r>
      <w:r w:rsidRPr="005278AD">
        <w:rPr>
          <w:sz w:val="20"/>
          <w:szCs w:val="20"/>
        </w:rPr>
        <w:t xml:space="preserve"> This raises the interesting question whether the </w:t>
      </w:r>
      <w:r>
        <w:rPr>
          <w:sz w:val="20"/>
          <w:szCs w:val="20"/>
        </w:rPr>
        <w:t>thin</w:t>
      </w:r>
      <w:r w:rsidRPr="005278AD">
        <w:rPr>
          <w:sz w:val="20"/>
          <w:szCs w:val="20"/>
        </w:rPr>
        <w:t xml:space="preserve"> property </w:t>
      </w:r>
      <w:r w:rsidRPr="005278AD">
        <w:rPr>
          <w:i/>
          <w:sz w:val="20"/>
          <w:szCs w:val="20"/>
        </w:rPr>
        <w:t xml:space="preserve">can be </w:t>
      </w:r>
      <w:r>
        <w:rPr>
          <w:i/>
          <w:sz w:val="20"/>
          <w:szCs w:val="20"/>
        </w:rPr>
        <w:t>represented by</w:t>
      </w:r>
      <w:r w:rsidRPr="005278AD">
        <w:rPr>
          <w:i/>
          <w:sz w:val="20"/>
          <w:szCs w:val="20"/>
        </w:rPr>
        <w:t xml:space="preserve"> a structural equation model</w:t>
      </w:r>
      <w:r w:rsidRPr="005278AD">
        <w:rPr>
          <w:sz w:val="20"/>
          <w:szCs w:val="20"/>
        </w:rPr>
        <w:t xml:space="preserve"> does significant explanatory work, all by itself, absent the filling in of the dynamics relative to a particular domain or class of systems in which a specific grounding relation holds.</w:t>
      </w:r>
      <w:r>
        <w:rPr>
          <w:sz w:val="20"/>
          <w:szCs w:val="20"/>
        </w:rPr>
        <w:t xml:space="preserve"> It is unclear, for instance, what interesting range of counterfactual inferences is licensed just by a relation’s instantiating </w:t>
      </w:r>
      <w:r w:rsidR="00F96FF9">
        <w:rPr>
          <w:sz w:val="20"/>
          <w:szCs w:val="20"/>
        </w:rPr>
        <w:t xml:space="preserve">the property </w:t>
      </w:r>
      <w:r w:rsidR="00F96FF9" w:rsidRPr="00F96FF9">
        <w:rPr>
          <w:sz w:val="20"/>
          <w:szCs w:val="20"/>
        </w:rPr>
        <w:t>can be represented by a structural equation model</w:t>
      </w:r>
      <w:r>
        <w:rPr>
          <w:sz w:val="20"/>
          <w:szCs w:val="20"/>
        </w:rPr>
        <w:t>.</w:t>
      </w:r>
    </w:p>
  </w:footnote>
  <w:footnote w:id="19">
    <w:p w14:paraId="72733A35" w14:textId="149802C0" w:rsidR="006A4E76" w:rsidRPr="00ED6AB7" w:rsidRDefault="006A4E76" w:rsidP="006811D9">
      <w:pPr>
        <w:pStyle w:val="Standard"/>
        <w:spacing w:line="240" w:lineRule="auto"/>
        <w:rPr>
          <w:sz w:val="20"/>
          <w:szCs w:val="20"/>
        </w:rPr>
      </w:pPr>
      <w:r w:rsidRPr="00427313">
        <w:rPr>
          <w:rStyle w:val="FootnoteReference"/>
          <w:sz w:val="20"/>
          <w:szCs w:val="20"/>
        </w:rPr>
        <w:footnoteRef/>
      </w:r>
      <w:r w:rsidRPr="00427313">
        <w:rPr>
          <w:sz w:val="20"/>
          <w:szCs w:val="20"/>
        </w:rPr>
        <w:t xml:space="preserve"> Consider a corresponding point about Ramsey sentences:</w:t>
      </w:r>
      <w:r>
        <w:rPr>
          <w:sz w:val="20"/>
          <w:szCs w:val="20"/>
        </w:rPr>
        <w:t xml:space="preserve"> one might worry that</w:t>
      </w:r>
      <w:r w:rsidR="00F96FF9">
        <w:rPr>
          <w:sz w:val="20"/>
          <w:szCs w:val="20"/>
        </w:rPr>
        <w:t xml:space="preserve"> a </w:t>
      </w:r>
      <w:r w:rsidR="00F96FF9" w:rsidRPr="00427313">
        <w:rPr>
          <w:sz w:val="20"/>
          <w:szCs w:val="20"/>
        </w:rPr>
        <w:t>Ramsey sentence</w:t>
      </w:r>
      <w:r w:rsidR="00F96FF9">
        <w:rPr>
          <w:sz w:val="20"/>
          <w:szCs w:val="20"/>
        </w:rPr>
        <w:t xml:space="preserve"> can be used to represent </w:t>
      </w:r>
      <w:r>
        <w:rPr>
          <w:sz w:val="20"/>
          <w:szCs w:val="20"/>
        </w:rPr>
        <w:t>a theory of any domain that contains interrelated properties</w:t>
      </w:r>
      <w:r w:rsidR="00F96FF9">
        <w:rPr>
          <w:sz w:val="20"/>
          <w:szCs w:val="20"/>
        </w:rPr>
        <w:t>,</w:t>
      </w:r>
      <w:r w:rsidRPr="00427313">
        <w:rPr>
          <w:sz w:val="20"/>
          <w:szCs w:val="20"/>
        </w:rPr>
        <w:t xml:space="preserve"> wit</w:t>
      </w:r>
      <w:r>
        <w:rPr>
          <w:sz w:val="20"/>
          <w:szCs w:val="20"/>
        </w:rPr>
        <w:t>hout doing violence to the theory</w:t>
      </w:r>
      <w:r w:rsidRPr="00427313">
        <w:rPr>
          <w:sz w:val="20"/>
          <w:szCs w:val="20"/>
        </w:rPr>
        <w:t>. It would thus be ill-advised for a function</w:t>
      </w:r>
      <w:r>
        <w:rPr>
          <w:sz w:val="20"/>
          <w:szCs w:val="20"/>
        </w:rPr>
        <w:t>alist in philosophy of mind</w:t>
      </w:r>
      <w:r w:rsidRPr="00427313">
        <w:rPr>
          <w:sz w:val="20"/>
          <w:szCs w:val="20"/>
        </w:rPr>
        <w:t xml:space="preserve"> to assert that any system that can be modeled using a Ramsey sentence has a mind! (And the flexibility of the</w:t>
      </w:r>
      <w:r w:rsidR="00104011">
        <w:rPr>
          <w:sz w:val="20"/>
          <w:szCs w:val="20"/>
        </w:rPr>
        <w:t xml:space="preserve"> Ramsey-sentence</w:t>
      </w:r>
      <w:r w:rsidRPr="00427313">
        <w:rPr>
          <w:sz w:val="20"/>
          <w:szCs w:val="20"/>
        </w:rPr>
        <w:t xml:space="preserve"> formalism should come as no surprise. Consider Lewis’s use of it </w:t>
      </w:r>
      <w:r>
        <w:rPr>
          <w:sz w:val="20"/>
          <w:szCs w:val="20"/>
        </w:rPr>
        <w:t>as a general tool for</w:t>
      </w:r>
      <w:r w:rsidRPr="00427313">
        <w:rPr>
          <w:sz w:val="20"/>
          <w:szCs w:val="20"/>
        </w:rPr>
        <w:t xml:space="preserve"> characteriz</w:t>
      </w:r>
      <w:r>
        <w:rPr>
          <w:sz w:val="20"/>
          <w:szCs w:val="20"/>
        </w:rPr>
        <w:t>ing theoretical terms – Lewis 1970.)</w:t>
      </w:r>
    </w:p>
  </w:footnote>
  <w:footnote w:id="20">
    <w:p w14:paraId="573C1015" w14:textId="71DC2441" w:rsidR="006A4E76" w:rsidRPr="000A576C" w:rsidRDefault="006A4E76" w:rsidP="000A576C">
      <w:pPr>
        <w:pStyle w:val="FootnoteText"/>
        <w:spacing w:line="240" w:lineRule="auto"/>
        <w:rPr>
          <w:sz w:val="20"/>
          <w:szCs w:val="20"/>
        </w:rPr>
      </w:pPr>
      <w:r w:rsidRPr="000A576C">
        <w:rPr>
          <w:rStyle w:val="FootnoteReference"/>
          <w:sz w:val="20"/>
          <w:szCs w:val="20"/>
        </w:rPr>
        <w:footnoteRef/>
      </w:r>
      <w:r w:rsidRPr="000A576C">
        <w:rPr>
          <w:sz w:val="20"/>
          <w:szCs w:val="20"/>
        </w:rPr>
        <w:t xml:space="preserve"> Treatment of it as a necessary condition</w:t>
      </w:r>
      <w:r w:rsidR="00104011">
        <w:rPr>
          <w:sz w:val="20"/>
          <w:szCs w:val="20"/>
        </w:rPr>
        <w:t xml:space="preserve"> does</w:t>
      </w:r>
      <w:r w:rsidRPr="000A576C">
        <w:rPr>
          <w:sz w:val="20"/>
          <w:szCs w:val="20"/>
        </w:rPr>
        <w:t xml:space="preserve"> serve certain dialectical purposes</w:t>
      </w:r>
      <w:r w:rsidR="00104011">
        <w:rPr>
          <w:sz w:val="20"/>
          <w:szCs w:val="20"/>
        </w:rPr>
        <w:t>, though</w:t>
      </w:r>
      <w:r w:rsidRPr="000A576C">
        <w:rPr>
          <w:sz w:val="20"/>
          <w:szCs w:val="20"/>
        </w:rPr>
        <w:t xml:space="preserve">. If, for example, </w:t>
      </w:r>
      <w:r w:rsidRPr="000A576C">
        <w:rPr>
          <w:i/>
          <w:sz w:val="20"/>
          <w:szCs w:val="20"/>
        </w:rPr>
        <w:t>(a)</w:t>
      </w:r>
      <w:r w:rsidRPr="000A576C">
        <w:rPr>
          <w:sz w:val="20"/>
          <w:szCs w:val="20"/>
        </w:rPr>
        <w:t xml:space="preserve"> anywhere mental states are, there must also be cognition, </w:t>
      </w:r>
      <w:r w:rsidRPr="000A576C">
        <w:rPr>
          <w:i/>
          <w:sz w:val="20"/>
          <w:szCs w:val="20"/>
        </w:rPr>
        <w:t>(b)</w:t>
      </w:r>
      <w:r w:rsidRPr="000A576C">
        <w:rPr>
          <w:sz w:val="20"/>
          <w:szCs w:val="20"/>
        </w:rPr>
        <w:t xml:space="preserve"> taking place within a cognitive system of the sort characterized in Section IV is a necessary condition on a state’s being cognitive, and </w:t>
      </w:r>
      <w:r w:rsidRPr="000A576C">
        <w:rPr>
          <w:i/>
          <w:sz w:val="20"/>
          <w:szCs w:val="20"/>
        </w:rPr>
        <w:t>(c)</w:t>
      </w:r>
      <w:r w:rsidRPr="000A576C">
        <w:rPr>
          <w:sz w:val="20"/>
          <w:szCs w:val="20"/>
        </w:rPr>
        <w:t xml:space="preserve"> extant groups do not have cognitive systems, an interesting conclusion follows: extant groups do not have mental states.</w:t>
      </w:r>
    </w:p>
  </w:footnote>
  <w:footnote w:id="21">
    <w:p w14:paraId="756A7AC9" w14:textId="47672F70" w:rsidR="006A4E76" w:rsidRDefault="006A4E76" w:rsidP="00481D94">
      <w:pPr>
        <w:pStyle w:val="FootnoteText"/>
        <w:spacing w:line="240" w:lineRule="auto"/>
        <w:rPr>
          <w:sz w:val="20"/>
          <w:szCs w:val="20"/>
        </w:rPr>
      </w:pPr>
      <w:r w:rsidRPr="00481D94">
        <w:rPr>
          <w:rStyle w:val="FootnoteReference"/>
          <w:sz w:val="20"/>
          <w:szCs w:val="20"/>
        </w:rPr>
        <w:footnoteRef/>
      </w:r>
      <w:r w:rsidRPr="00481D94">
        <w:rPr>
          <w:sz w:val="20"/>
          <w:szCs w:val="20"/>
        </w:rPr>
        <w:t xml:space="preserve"> </w:t>
      </w:r>
      <w:r w:rsidR="008B15F4">
        <w:rPr>
          <w:sz w:val="20"/>
          <w:szCs w:val="20"/>
        </w:rPr>
        <w:t>T</w:t>
      </w:r>
      <w:r w:rsidRPr="00481D94">
        <w:rPr>
          <w:sz w:val="20"/>
          <w:szCs w:val="20"/>
        </w:rPr>
        <w:t>hanks to Gab</w:t>
      </w:r>
      <w:r w:rsidR="008B15F4">
        <w:rPr>
          <w:sz w:val="20"/>
          <w:szCs w:val="20"/>
        </w:rPr>
        <w:t>riel</w:t>
      </w:r>
      <w:r w:rsidRPr="00481D94">
        <w:rPr>
          <w:sz w:val="20"/>
          <w:szCs w:val="20"/>
        </w:rPr>
        <w:t xml:space="preserve"> Rabin for pushing </w:t>
      </w:r>
      <w:r>
        <w:rPr>
          <w:sz w:val="20"/>
          <w:szCs w:val="20"/>
        </w:rPr>
        <w:t xml:space="preserve">me to clarify </w:t>
      </w:r>
      <w:r w:rsidRPr="00481D94">
        <w:rPr>
          <w:sz w:val="20"/>
          <w:szCs w:val="20"/>
        </w:rPr>
        <w:t>my view about these matters.</w:t>
      </w:r>
    </w:p>
    <w:p w14:paraId="080DE2EF" w14:textId="32D486F4" w:rsidR="00104011" w:rsidRPr="00481D94" w:rsidRDefault="00104011" w:rsidP="00481D94">
      <w:pPr>
        <w:pStyle w:val="FootnoteText"/>
        <w:spacing w:line="240" w:lineRule="auto"/>
        <w:rPr>
          <w:sz w:val="20"/>
          <w:szCs w:val="20"/>
        </w:rPr>
      </w:pPr>
      <w:r>
        <w:rPr>
          <w:sz w:val="20"/>
          <w:szCs w:val="20"/>
        </w:rPr>
        <w:tab/>
        <w:t>Although this closing section is generally pessimistic in its evaluation of the prospects</w:t>
      </w:r>
      <w:r w:rsidR="008B15F4">
        <w:rPr>
          <w:sz w:val="20"/>
          <w:szCs w:val="20"/>
        </w:rPr>
        <w:t xml:space="preserve"> for </w:t>
      </w:r>
      <w:r>
        <w:rPr>
          <w:sz w:val="20"/>
          <w:szCs w:val="20"/>
        </w:rPr>
        <w:t>realism</w:t>
      </w:r>
      <w:r w:rsidR="008B15F4">
        <w:rPr>
          <w:sz w:val="20"/>
          <w:szCs w:val="20"/>
        </w:rPr>
        <w:t>, it is worth mentioning a positive potential result. It might be that, although Section IV’s construction does not seem to capture a robust or interesting property – beyond something’s being a coherent system – it may well be that the kind of structure characterized is just the kind of structure needed to support flexible behavior. Perhaps, nomologically speaking, there is no other way to construct a system that exhibits flexibility of the right sort except to endow it with a wealth of relatively special-purpose mechanisms that contribute consistently in overlapping subsets to the production of a wide range of forms of behavior.</w:t>
      </w:r>
    </w:p>
  </w:footnote>
  <w:footnote w:id="22">
    <w:p w14:paraId="4214A3AE" w14:textId="7D7EF1FA" w:rsidR="006A4E76" w:rsidRPr="00BC2FA5" w:rsidRDefault="006A4E76" w:rsidP="00BC2FA5">
      <w:pPr>
        <w:pStyle w:val="FootnoteText"/>
        <w:spacing w:line="240" w:lineRule="auto"/>
        <w:rPr>
          <w:sz w:val="20"/>
          <w:szCs w:val="20"/>
        </w:rPr>
      </w:pPr>
      <w:r w:rsidRPr="00BC2FA5">
        <w:rPr>
          <w:rStyle w:val="FootnoteReference"/>
          <w:sz w:val="20"/>
          <w:szCs w:val="20"/>
        </w:rPr>
        <w:footnoteRef/>
      </w:r>
      <w:r w:rsidRPr="00BC2FA5">
        <w:rPr>
          <w:sz w:val="20"/>
          <w:szCs w:val="20"/>
        </w:rPr>
        <w:t xml:space="preserve"> </w:t>
      </w:r>
      <w:r>
        <w:rPr>
          <w:sz w:val="20"/>
          <w:szCs w:val="20"/>
        </w:rPr>
        <w:t>It might be ill-advised to cast this subsection in terms of canons of theory selection, rather than in terms of first-order considerations for or against proffered explanations of specific phenomena, data, or effects. So far as I can tell, however, the concerns expressed here can be translated into first-order arguments on a case-by-case basis</w:t>
      </w:r>
      <w:r w:rsidR="008B15F4">
        <w:rPr>
          <w:sz w:val="20"/>
          <w:szCs w:val="20"/>
        </w:rPr>
        <w:t>: we know why the justices voted the way they did, and thus we know why the decision is what it is, without any reference to a group cognitive state.</w:t>
      </w:r>
      <w:r>
        <w:rPr>
          <w:sz w:val="20"/>
          <w:szCs w:val="20"/>
        </w:rPr>
        <w:t xml:space="preserve"> </w:t>
      </w:r>
      <w:r w:rsidRPr="00BC2FA5">
        <w:rPr>
          <w:sz w:val="20"/>
          <w:szCs w:val="20"/>
        </w:rPr>
        <w:t xml:space="preserve">Thanks to Peter </w:t>
      </w:r>
      <w:proofErr w:type="spellStart"/>
      <w:r w:rsidRPr="00BC2FA5">
        <w:rPr>
          <w:sz w:val="20"/>
          <w:szCs w:val="20"/>
        </w:rPr>
        <w:t>Achinstein</w:t>
      </w:r>
      <w:proofErr w:type="spellEnd"/>
      <w:r w:rsidRPr="00BC2FA5">
        <w:rPr>
          <w:sz w:val="20"/>
          <w:szCs w:val="20"/>
        </w:rPr>
        <w:t xml:space="preserve"> for pressing m</w:t>
      </w:r>
      <w:r>
        <w:rPr>
          <w:sz w:val="20"/>
          <w:szCs w:val="20"/>
        </w:rPr>
        <w:t>e on this point</w:t>
      </w:r>
      <w:r w:rsidRPr="00BC2FA5">
        <w:rPr>
          <w:sz w:val="20"/>
          <w:szCs w:val="20"/>
        </w:rPr>
        <w:t>.</w:t>
      </w:r>
    </w:p>
  </w:footnote>
  <w:footnote w:id="23">
    <w:p w14:paraId="0367CA6E" w14:textId="5F8076AC" w:rsidR="001C4263" w:rsidRPr="001C4263" w:rsidRDefault="001C4263" w:rsidP="001C4263">
      <w:pPr>
        <w:pStyle w:val="FootnoteText"/>
        <w:spacing w:line="240" w:lineRule="auto"/>
        <w:rPr>
          <w:sz w:val="20"/>
          <w:szCs w:val="20"/>
        </w:rPr>
      </w:pPr>
      <w:r w:rsidRPr="001C4263">
        <w:rPr>
          <w:rStyle w:val="FootnoteReference"/>
          <w:sz w:val="20"/>
          <w:szCs w:val="20"/>
        </w:rPr>
        <w:footnoteRef/>
      </w:r>
      <w:r w:rsidRPr="001C4263">
        <w:rPr>
          <w:sz w:val="20"/>
          <w:szCs w:val="20"/>
        </w:rPr>
        <w:t xml:space="preserve"> </w:t>
      </w:r>
      <w:r>
        <w:rPr>
          <w:sz w:val="20"/>
          <w:szCs w:val="20"/>
        </w:rPr>
        <w:t>T</w:t>
      </w:r>
      <w:r w:rsidRPr="001C4263">
        <w:rPr>
          <w:sz w:val="20"/>
          <w:szCs w:val="20"/>
        </w:rPr>
        <w:t>his</w:t>
      </w:r>
      <w:r>
        <w:rPr>
          <w:sz w:val="20"/>
          <w:szCs w:val="20"/>
        </w:rPr>
        <w:t xml:space="preserve"> style of</w:t>
      </w:r>
      <w:r w:rsidRPr="001C4263">
        <w:rPr>
          <w:sz w:val="20"/>
          <w:szCs w:val="20"/>
        </w:rPr>
        <w:t xml:space="preserve"> reasoning sometimes </w:t>
      </w:r>
      <w:r>
        <w:rPr>
          <w:sz w:val="20"/>
          <w:szCs w:val="20"/>
        </w:rPr>
        <w:t>takes a different form</w:t>
      </w:r>
      <w:r w:rsidRPr="001C4263">
        <w:rPr>
          <w:sz w:val="20"/>
          <w:szCs w:val="20"/>
        </w:rPr>
        <w:t xml:space="preserve">, </w:t>
      </w:r>
      <w:r>
        <w:rPr>
          <w:sz w:val="20"/>
          <w:szCs w:val="20"/>
        </w:rPr>
        <w:t>in which</w:t>
      </w:r>
      <w:r w:rsidRPr="001C4263">
        <w:rPr>
          <w:sz w:val="20"/>
          <w:szCs w:val="20"/>
        </w:rPr>
        <w:t xml:space="preserve"> case (b) concerns the relation between the personal and sub-personal levels</w:t>
      </w:r>
      <w:r>
        <w:rPr>
          <w:sz w:val="20"/>
          <w:szCs w:val="20"/>
        </w:rPr>
        <w:t xml:space="preserve"> (rather than the relation between the psychological and the neural levels) (Huebner 2008)</w:t>
      </w:r>
      <w:r w:rsidRPr="001C4263">
        <w:rPr>
          <w:sz w:val="20"/>
          <w:szCs w:val="20"/>
        </w:rPr>
        <w:t>. To my mind</w:t>
      </w:r>
      <w:r>
        <w:rPr>
          <w:sz w:val="20"/>
          <w:szCs w:val="20"/>
        </w:rPr>
        <w:t>, however,</w:t>
      </w:r>
      <w:r w:rsidRPr="001C4263">
        <w:rPr>
          <w:sz w:val="20"/>
          <w:szCs w:val="20"/>
        </w:rPr>
        <w:t xml:space="preserve"> th</w:t>
      </w:r>
      <w:r>
        <w:rPr>
          <w:sz w:val="20"/>
          <w:szCs w:val="20"/>
        </w:rPr>
        <w:t>e personal-subpersonal</w:t>
      </w:r>
      <w:r w:rsidRPr="001C4263">
        <w:rPr>
          <w:sz w:val="20"/>
          <w:szCs w:val="20"/>
        </w:rPr>
        <w:t xml:space="preserve"> relation itself is a mess, and cognitive science should dispense with it (see Rupert 2018 for arguments to this effect)</w:t>
      </w:r>
      <w:r>
        <w:rPr>
          <w:sz w:val="20"/>
          <w:szCs w:val="20"/>
        </w:rPr>
        <w:t>; in which case, the realist can take no consolation in appeals to it.</w:t>
      </w:r>
    </w:p>
  </w:footnote>
  <w:footnote w:id="24">
    <w:p w14:paraId="5D72A33A" w14:textId="26A880CF" w:rsidR="001C4263" w:rsidRPr="00BF3E4A" w:rsidRDefault="006A4E76" w:rsidP="001C4263">
      <w:pPr>
        <w:pStyle w:val="FootnoteText"/>
        <w:spacing w:line="240" w:lineRule="auto"/>
        <w:rPr>
          <w:sz w:val="20"/>
          <w:szCs w:val="20"/>
        </w:rPr>
      </w:pPr>
      <w:r w:rsidRPr="001C4263">
        <w:rPr>
          <w:rStyle w:val="FootnoteReference"/>
          <w:sz w:val="20"/>
          <w:szCs w:val="20"/>
        </w:rPr>
        <w:footnoteRef/>
      </w:r>
      <w:r w:rsidRPr="001C4263">
        <w:rPr>
          <w:sz w:val="20"/>
          <w:szCs w:val="20"/>
        </w:rPr>
        <w:t xml:space="preserve"> List and Pettit sometimes seem to acknowledge this fact (2011, 1, 78) but do not seem to appreciate the </w:t>
      </w:r>
      <w:r>
        <w:rPr>
          <w:sz w:val="20"/>
          <w:szCs w:val="20"/>
        </w:rPr>
        <w:t>extent to which it undermines their defense of group agents</w:t>
      </w:r>
      <w:r w:rsidRPr="00BF3E4A">
        <w:rPr>
          <w:sz w:val="20"/>
          <w:szCs w:val="20"/>
        </w:rPr>
        <w:t>.</w:t>
      </w:r>
      <w:r w:rsidR="001C4263">
        <w:rPr>
          <w:sz w:val="20"/>
          <w:szCs w:val="20"/>
        </w:rPr>
        <w:t xml:space="preserve"> </w:t>
      </w:r>
    </w:p>
  </w:footnote>
  <w:footnote w:id="25">
    <w:p w14:paraId="5C221957" w14:textId="6BE21C5D" w:rsidR="006A4E76" w:rsidRPr="00B271FC" w:rsidRDefault="006A4E76" w:rsidP="008E4B1F">
      <w:pPr>
        <w:widowControl w:val="0"/>
        <w:autoSpaceDE w:val="0"/>
        <w:autoSpaceDN w:val="0"/>
        <w:adjustRightInd w:val="0"/>
        <w:spacing w:after="0"/>
        <w:rPr>
          <w:rFonts w:ascii="Times New Roman" w:hAnsi="Times New Roman" w:cs="Times New Roman"/>
          <w:sz w:val="20"/>
          <w:szCs w:val="20"/>
        </w:rPr>
      </w:pPr>
      <w:r w:rsidRPr="00F67C41">
        <w:rPr>
          <w:rStyle w:val="FootnoteReference"/>
          <w:rFonts w:ascii="Times New Roman" w:hAnsi="Times New Roman" w:cs="Times New Roman"/>
          <w:sz w:val="20"/>
          <w:szCs w:val="20"/>
        </w:rPr>
        <w:footnoteRef/>
      </w:r>
      <w:r w:rsidRPr="00F67C41">
        <w:rPr>
          <w:rFonts w:ascii="Times New Roman" w:hAnsi="Times New Roman" w:cs="Times New Roman"/>
          <w:sz w:val="20"/>
          <w:szCs w:val="20"/>
        </w:rPr>
        <w:t xml:space="preserve"> In </w:t>
      </w:r>
      <w:r>
        <w:rPr>
          <w:rFonts w:ascii="Times New Roman" w:hAnsi="Times New Roman" w:cs="Times New Roman"/>
          <w:sz w:val="20"/>
          <w:szCs w:val="20"/>
        </w:rPr>
        <w:t xml:space="preserve">a discussion </w:t>
      </w:r>
      <w:r w:rsidRPr="00F67C41">
        <w:rPr>
          <w:rFonts w:ascii="Times New Roman" w:hAnsi="Times New Roman" w:cs="Times New Roman"/>
          <w:sz w:val="20"/>
          <w:szCs w:val="20"/>
        </w:rPr>
        <w:t>of some of my previous work</w:t>
      </w:r>
      <w:r>
        <w:rPr>
          <w:rFonts w:ascii="Times New Roman" w:hAnsi="Times New Roman" w:cs="Times New Roman"/>
          <w:sz w:val="20"/>
          <w:szCs w:val="20"/>
        </w:rPr>
        <w:t xml:space="preserve"> on group cognition</w:t>
      </w:r>
      <w:r w:rsidRPr="00F67C41">
        <w:rPr>
          <w:rFonts w:ascii="Times New Roman" w:hAnsi="Times New Roman" w:cs="Times New Roman"/>
          <w:sz w:val="20"/>
          <w:szCs w:val="20"/>
        </w:rPr>
        <w:t xml:space="preserve"> (Rupert 2014), </w:t>
      </w:r>
      <w:proofErr w:type="spellStart"/>
      <w:r w:rsidRPr="00F67C41">
        <w:rPr>
          <w:rFonts w:ascii="Times New Roman" w:hAnsi="Times New Roman" w:cs="Times New Roman"/>
          <w:sz w:val="20"/>
          <w:szCs w:val="20"/>
        </w:rPr>
        <w:t>Himmelreich</w:t>
      </w:r>
      <w:proofErr w:type="spellEnd"/>
      <w:r w:rsidRPr="00F67C41">
        <w:rPr>
          <w:rFonts w:ascii="Times New Roman" w:hAnsi="Times New Roman" w:cs="Times New Roman"/>
          <w:sz w:val="20"/>
          <w:szCs w:val="20"/>
        </w:rPr>
        <w:t xml:space="preserve"> (2015) complains that in making a </w:t>
      </w:r>
      <w:r>
        <w:rPr>
          <w:rFonts w:ascii="Times New Roman" w:hAnsi="Times New Roman" w:cs="Times New Roman"/>
          <w:sz w:val="20"/>
          <w:szCs w:val="20"/>
        </w:rPr>
        <w:t>quantitative-</w:t>
      </w:r>
      <w:r w:rsidRPr="00F67C41">
        <w:rPr>
          <w:rFonts w:ascii="Times New Roman" w:hAnsi="Times New Roman" w:cs="Times New Roman"/>
          <w:sz w:val="20"/>
          <w:szCs w:val="20"/>
        </w:rPr>
        <w:t>parsimony</w:t>
      </w:r>
      <w:r>
        <w:rPr>
          <w:rFonts w:ascii="Times New Roman" w:hAnsi="Times New Roman" w:cs="Times New Roman"/>
          <w:sz w:val="20"/>
          <w:szCs w:val="20"/>
        </w:rPr>
        <w:t>-based</w:t>
      </w:r>
      <w:r w:rsidRPr="00F67C41">
        <w:rPr>
          <w:rFonts w:ascii="Times New Roman" w:hAnsi="Times New Roman" w:cs="Times New Roman"/>
          <w:sz w:val="20"/>
          <w:szCs w:val="20"/>
        </w:rPr>
        <w:t xml:space="preserve"> argument against realism, I </w:t>
      </w:r>
      <w:r>
        <w:rPr>
          <w:rFonts w:ascii="Times New Roman" w:hAnsi="Times New Roman" w:cs="Times New Roman"/>
          <w:sz w:val="20"/>
          <w:szCs w:val="20"/>
        </w:rPr>
        <w:t>do not</w:t>
      </w:r>
      <w:r w:rsidRPr="00F67C41">
        <w:rPr>
          <w:rFonts w:ascii="Times New Roman" w:hAnsi="Times New Roman" w:cs="Times New Roman"/>
          <w:sz w:val="20"/>
          <w:szCs w:val="20"/>
        </w:rPr>
        <w:t xml:space="preserve"> avail myself of various conceptual tools emerging from debates about causal exclusion.</w:t>
      </w:r>
      <w:r>
        <w:rPr>
          <w:rFonts w:ascii="Times New Roman" w:hAnsi="Times New Roman" w:cs="Times New Roman"/>
          <w:sz w:val="20"/>
          <w:szCs w:val="20"/>
        </w:rPr>
        <w:t xml:space="preserve"> But, given comments in the main text, it might seem clear why</w:t>
      </w:r>
      <w:r w:rsidRPr="00F67C41">
        <w:rPr>
          <w:rFonts w:ascii="Times New Roman" w:hAnsi="Times New Roman" w:cs="Times New Roman"/>
          <w:sz w:val="20"/>
          <w:szCs w:val="20"/>
        </w:rPr>
        <w:t xml:space="preserve"> </w:t>
      </w:r>
      <w:r w:rsidR="00644EE3">
        <w:rPr>
          <w:rFonts w:ascii="Times New Roman" w:hAnsi="Times New Roman" w:cs="Times New Roman"/>
          <w:sz w:val="20"/>
          <w:szCs w:val="20"/>
        </w:rPr>
        <w:t>the proposed</w:t>
      </w:r>
      <w:r w:rsidRPr="00F67C41">
        <w:rPr>
          <w:rFonts w:ascii="Times New Roman" w:hAnsi="Times New Roman" w:cs="Times New Roman"/>
          <w:sz w:val="20"/>
          <w:szCs w:val="20"/>
        </w:rPr>
        <w:t xml:space="preserve"> path </w:t>
      </w:r>
      <w:r>
        <w:rPr>
          <w:rFonts w:ascii="Times New Roman" w:hAnsi="Times New Roman" w:cs="Times New Roman"/>
          <w:sz w:val="20"/>
          <w:szCs w:val="20"/>
        </w:rPr>
        <w:t>is</w:t>
      </w:r>
      <w:r w:rsidRPr="00F67C41">
        <w:rPr>
          <w:rFonts w:ascii="Times New Roman" w:hAnsi="Times New Roman" w:cs="Times New Roman"/>
          <w:sz w:val="20"/>
          <w:szCs w:val="20"/>
        </w:rPr>
        <w:t xml:space="preserve"> less promising than </w:t>
      </w:r>
      <w:proofErr w:type="spellStart"/>
      <w:r w:rsidRPr="00F67C41">
        <w:rPr>
          <w:rFonts w:ascii="Times New Roman" w:hAnsi="Times New Roman" w:cs="Times New Roman"/>
          <w:sz w:val="20"/>
          <w:szCs w:val="20"/>
        </w:rPr>
        <w:t>Himmelreich</w:t>
      </w:r>
      <w:proofErr w:type="spellEnd"/>
      <w:r w:rsidRPr="00F67C41">
        <w:rPr>
          <w:rFonts w:ascii="Times New Roman" w:hAnsi="Times New Roman" w:cs="Times New Roman"/>
          <w:sz w:val="20"/>
          <w:szCs w:val="20"/>
        </w:rPr>
        <w:t xml:space="preserve"> </w:t>
      </w:r>
      <w:r w:rsidR="00644EE3">
        <w:rPr>
          <w:rFonts w:ascii="Times New Roman" w:hAnsi="Times New Roman" w:cs="Times New Roman"/>
          <w:sz w:val="20"/>
          <w:szCs w:val="20"/>
        </w:rPr>
        <w:t>takes it to be</w:t>
      </w:r>
      <w:r w:rsidRPr="00F67C41">
        <w:rPr>
          <w:rFonts w:ascii="Times New Roman" w:hAnsi="Times New Roman" w:cs="Times New Roman"/>
          <w:sz w:val="20"/>
          <w:szCs w:val="20"/>
        </w:rPr>
        <w:t>. The conceptual tools developed in debates about causal exclusion are generally aimed at interlevel relations</w:t>
      </w:r>
      <w:r>
        <w:rPr>
          <w:rFonts w:ascii="Times New Roman" w:hAnsi="Times New Roman" w:cs="Times New Roman"/>
          <w:sz w:val="20"/>
          <w:szCs w:val="20"/>
        </w:rPr>
        <w:t xml:space="preserve">; </w:t>
      </w:r>
      <w:r w:rsidRPr="00F67C41">
        <w:rPr>
          <w:rFonts w:ascii="Times New Roman" w:hAnsi="Times New Roman" w:cs="Times New Roman"/>
          <w:sz w:val="20"/>
          <w:szCs w:val="20"/>
        </w:rPr>
        <w:t xml:space="preserve">in Kim’s standard diagram </w:t>
      </w:r>
      <w:r>
        <w:rPr>
          <w:rFonts w:ascii="Times New Roman" w:hAnsi="Times New Roman" w:cs="Times New Roman"/>
          <w:sz w:val="20"/>
          <w:szCs w:val="20"/>
        </w:rPr>
        <w:t>(e.g., in Kim 1998), the vertical relations at issue are</w:t>
      </w:r>
      <w:r w:rsidRPr="00F67C41">
        <w:rPr>
          <w:rFonts w:ascii="Times New Roman" w:hAnsi="Times New Roman" w:cs="Times New Roman"/>
          <w:sz w:val="20"/>
          <w:szCs w:val="20"/>
        </w:rPr>
        <w:t xml:space="preserve"> supervenience relations, which </w:t>
      </w:r>
      <w:r>
        <w:rPr>
          <w:rFonts w:ascii="Times New Roman" w:hAnsi="Times New Roman" w:cs="Times New Roman"/>
          <w:sz w:val="20"/>
          <w:szCs w:val="20"/>
        </w:rPr>
        <w:t xml:space="preserve">are normally taken to </w:t>
      </w:r>
      <w:r w:rsidRPr="00F67C41">
        <w:rPr>
          <w:rFonts w:ascii="Times New Roman" w:hAnsi="Times New Roman" w:cs="Times New Roman"/>
          <w:sz w:val="20"/>
          <w:szCs w:val="20"/>
        </w:rPr>
        <w:t>hold between di</w:t>
      </w:r>
      <w:r>
        <w:rPr>
          <w:rFonts w:ascii="Times New Roman" w:hAnsi="Times New Roman" w:cs="Times New Roman"/>
          <w:sz w:val="20"/>
          <w:szCs w:val="20"/>
        </w:rPr>
        <w:t>stinct</w:t>
      </w:r>
      <w:r w:rsidRPr="00F67C41">
        <w:rPr>
          <w:rFonts w:ascii="Times New Roman" w:hAnsi="Times New Roman" w:cs="Times New Roman"/>
          <w:sz w:val="20"/>
          <w:szCs w:val="20"/>
        </w:rPr>
        <w:t xml:space="preserve"> families of properties</w:t>
      </w:r>
      <w:r>
        <w:rPr>
          <w:rFonts w:ascii="Times New Roman" w:hAnsi="Times New Roman" w:cs="Times New Roman"/>
          <w:sz w:val="20"/>
          <w:szCs w:val="20"/>
        </w:rPr>
        <w:t>. But, t</w:t>
      </w:r>
      <w:r w:rsidRPr="00F67C41">
        <w:rPr>
          <w:rFonts w:ascii="Times New Roman" w:hAnsi="Times New Roman" w:cs="Times New Roman"/>
          <w:sz w:val="20"/>
          <w:szCs w:val="20"/>
        </w:rPr>
        <w:t>he relation between group states and individual states</w:t>
      </w:r>
      <w:r>
        <w:rPr>
          <w:rFonts w:ascii="Times New Roman" w:hAnsi="Times New Roman" w:cs="Times New Roman"/>
          <w:sz w:val="20"/>
          <w:szCs w:val="20"/>
        </w:rPr>
        <w:t xml:space="preserve"> are not meant by realists to</w:t>
      </w:r>
      <w:r>
        <w:rPr>
          <w:rFonts w:ascii="Times New Roman" w:hAnsi="Times New Roman" w:cs="Times New Roman"/>
          <w:i/>
          <w:sz w:val="20"/>
          <w:szCs w:val="20"/>
        </w:rPr>
        <w:t xml:space="preserve"> </w:t>
      </w:r>
      <w:r w:rsidRPr="00F67C41">
        <w:rPr>
          <w:rFonts w:ascii="Times New Roman" w:hAnsi="Times New Roman" w:cs="Times New Roman"/>
          <w:sz w:val="20"/>
          <w:szCs w:val="20"/>
        </w:rPr>
        <w:t>concern relations betwee</w:t>
      </w:r>
      <w:r>
        <w:rPr>
          <w:rFonts w:ascii="Times New Roman" w:hAnsi="Times New Roman" w:cs="Times New Roman"/>
          <w:sz w:val="20"/>
          <w:szCs w:val="20"/>
        </w:rPr>
        <w:t>n</w:t>
      </w:r>
      <w:r w:rsidRPr="00F67C41">
        <w:rPr>
          <w:rFonts w:ascii="Times New Roman" w:hAnsi="Times New Roman" w:cs="Times New Roman"/>
          <w:sz w:val="20"/>
          <w:szCs w:val="20"/>
        </w:rPr>
        <w:t xml:space="preserve"> distinct sets of properties</w:t>
      </w:r>
      <w:r>
        <w:rPr>
          <w:rFonts w:ascii="Times New Roman" w:hAnsi="Times New Roman" w:cs="Times New Roman"/>
          <w:sz w:val="20"/>
          <w:szCs w:val="20"/>
        </w:rPr>
        <w:t>. After all, if the sets of properties are distinct,</w:t>
      </w:r>
      <w:r w:rsidRPr="00F67C41">
        <w:rPr>
          <w:rFonts w:ascii="Times New Roman" w:hAnsi="Times New Roman" w:cs="Times New Roman"/>
          <w:sz w:val="20"/>
          <w:szCs w:val="20"/>
        </w:rPr>
        <w:t xml:space="preserve"> why </w:t>
      </w:r>
      <w:r>
        <w:rPr>
          <w:rFonts w:ascii="Times New Roman" w:hAnsi="Times New Roman" w:cs="Times New Roman"/>
          <w:sz w:val="20"/>
          <w:szCs w:val="20"/>
        </w:rPr>
        <w:t xml:space="preserve">do realists </w:t>
      </w:r>
      <w:r w:rsidRPr="00F67C41">
        <w:rPr>
          <w:rFonts w:ascii="Times New Roman" w:hAnsi="Times New Roman" w:cs="Times New Roman"/>
          <w:sz w:val="20"/>
          <w:szCs w:val="20"/>
        </w:rPr>
        <w:t>us</w:t>
      </w:r>
      <w:r>
        <w:rPr>
          <w:rFonts w:ascii="Times New Roman" w:hAnsi="Times New Roman" w:cs="Times New Roman"/>
          <w:sz w:val="20"/>
          <w:szCs w:val="20"/>
        </w:rPr>
        <w:t>e</w:t>
      </w:r>
      <w:r w:rsidRPr="00F67C41">
        <w:rPr>
          <w:rFonts w:ascii="Times New Roman" w:hAnsi="Times New Roman" w:cs="Times New Roman"/>
          <w:sz w:val="20"/>
          <w:szCs w:val="20"/>
        </w:rPr>
        <w:t xml:space="preserve"> the same terms – e.g., ‘belief’ and ‘desire’ – to talk about </w:t>
      </w:r>
      <w:r>
        <w:rPr>
          <w:rFonts w:ascii="Times New Roman" w:hAnsi="Times New Roman" w:cs="Times New Roman"/>
          <w:sz w:val="20"/>
          <w:szCs w:val="20"/>
        </w:rPr>
        <w:t>group states</w:t>
      </w:r>
      <w:r w:rsidRPr="00F67C41">
        <w:rPr>
          <w:rFonts w:ascii="Times New Roman" w:hAnsi="Times New Roman" w:cs="Times New Roman"/>
          <w:sz w:val="20"/>
          <w:szCs w:val="20"/>
        </w:rPr>
        <w:t xml:space="preserve"> as </w:t>
      </w:r>
      <w:r>
        <w:rPr>
          <w:rFonts w:ascii="Times New Roman" w:hAnsi="Times New Roman" w:cs="Times New Roman"/>
          <w:sz w:val="20"/>
          <w:szCs w:val="20"/>
        </w:rPr>
        <w:t xml:space="preserve">are </w:t>
      </w:r>
      <w:r w:rsidRPr="00F67C41">
        <w:rPr>
          <w:rFonts w:ascii="Times New Roman" w:hAnsi="Times New Roman" w:cs="Times New Roman"/>
          <w:sz w:val="20"/>
          <w:szCs w:val="20"/>
        </w:rPr>
        <w:t>use</w:t>
      </w:r>
      <w:r>
        <w:rPr>
          <w:rFonts w:ascii="Times New Roman" w:hAnsi="Times New Roman" w:cs="Times New Roman"/>
          <w:sz w:val="20"/>
          <w:szCs w:val="20"/>
        </w:rPr>
        <w:t>d</w:t>
      </w:r>
      <w:r w:rsidRPr="00F67C41">
        <w:rPr>
          <w:rFonts w:ascii="Times New Roman" w:hAnsi="Times New Roman" w:cs="Times New Roman"/>
          <w:sz w:val="20"/>
          <w:szCs w:val="20"/>
        </w:rPr>
        <w:t xml:space="preserve"> to talk about individual states</w:t>
      </w:r>
      <w:r>
        <w:rPr>
          <w:rFonts w:ascii="Times New Roman" w:hAnsi="Times New Roman" w:cs="Times New Roman"/>
          <w:sz w:val="20"/>
          <w:szCs w:val="20"/>
        </w:rPr>
        <w:t xml:space="preserve">? Note, too, that when List and Pettit pursue the tack proposed by </w:t>
      </w:r>
      <w:proofErr w:type="spellStart"/>
      <w:r>
        <w:rPr>
          <w:rFonts w:ascii="Times New Roman" w:hAnsi="Times New Roman" w:cs="Times New Roman"/>
          <w:sz w:val="20"/>
          <w:szCs w:val="20"/>
        </w:rPr>
        <w:t>Himmelreich</w:t>
      </w:r>
      <w:proofErr w:type="spellEnd"/>
      <w:r>
        <w:rPr>
          <w:rFonts w:ascii="Times New Roman" w:hAnsi="Times New Roman" w:cs="Times New Roman"/>
          <w:sz w:val="20"/>
          <w:szCs w:val="20"/>
        </w:rPr>
        <w:t>, they approach the problem specifically as a problem about multi-level causation [2011, 161], which doesn’t suit the case of cognitive states competing with cognitive states; that</w:t>
      </w:r>
      <w:r w:rsidR="00C53F50">
        <w:rPr>
          <w:rFonts w:ascii="Times New Roman" w:hAnsi="Times New Roman" w:cs="Times New Roman"/>
          <w:sz w:val="20"/>
          <w:szCs w:val="20"/>
        </w:rPr>
        <w:t xml:space="preserve"> wouldn’t be</w:t>
      </w:r>
      <w:r>
        <w:rPr>
          <w:rFonts w:ascii="Times New Roman" w:hAnsi="Times New Roman" w:cs="Times New Roman"/>
          <w:sz w:val="20"/>
          <w:szCs w:val="20"/>
        </w:rPr>
        <w:t xml:space="preserve"> a matter of multi-level causation, for the reasons given above.</w:t>
      </w:r>
      <w:r w:rsidR="00C53F50">
        <w:rPr>
          <w:rFonts w:ascii="Times New Roman" w:hAnsi="Times New Roman" w:cs="Times New Roman"/>
          <w:sz w:val="20"/>
          <w:szCs w:val="20"/>
        </w:rPr>
        <w:t xml:space="preserve"> Regardless, I should emphasize that the issues of widespread causal overdetermination, on the one hand, and quantitative parsimony, on the other, are distinct. The present criticism of realism appeals to the latter kind of consideration, not the former.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2020158"/>
      <w:docPartObj>
        <w:docPartGallery w:val="Page Numbers (Top of Page)"/>
        <w:docPartUnique/>
      </w:docPartObj>
    </w:sdtPr>
    <w:sdtEndPr>
      <w:rPr>
        <w:rStyle w:val="PageNumber"/>
      </w:rPr>
    </w:sdtEndPr>
    <w:sdtContent>
      <w:p w14:paraId="282C6947" w14:textId="17043C0A" w:rsidR="006A4E76" w:rsidRDefault="006A4E76" w:rsidP="00CD21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BC7049" w14:textId="77777777" w:rsidR="006A4E76" w:rsidRDefault="006A4E76" w:rsidP="00FB1C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4548608"/>
      <w:docPartObj>
        <w:docPartGallery w:val="Page Numbers (Top of Page)"/>
        <w:docPartUnique/>
      </w:docPartObj>
    </w:sdtPr>
    <w:sdtEndPr>
      <w:rPr>
        <w:rStyle w:val="PageNumber"/>
      </w:rPr>
    </w:sdtEndPr>
    <w:sdtContent>
      <w:p w14:paraId="6F62987C" w14:textId="52E2232B" w:rsidR="006A4E76" w:rsidRDefault="006A4E76" w:rsidP="00CD21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E69803" w14:textId="77777777" w:rsidR="006A4E76" w:rsidRDefault="006A4E76" w:rsidP="00FB1C4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DB"/>
    <w:rsid w:val="00000643"/>
    <w:rsid w:val="0000243A"/>
    <w:rsid w:val="00003438"/>
    <w:rsid w:val="0000461A"/>
    <w:rsid w:val="0001066A"/>
    <w:rsid w:val="0001237F"/>
    <w:rsid w:val="0002153E"/>
    <w:rsid w:val="00022A82"/>
    <w:rsid w:val="00023344"/>
    <w:rsid w:val="000246FE"/>
    <w:rsid w:val="0002518F"/>
    <w:rsid w:val="00025457"/>
    <w:rsid w:val="000260F3"/>
    <w:rsid w:val="000310D3"/>
    <w:rsid w:val="00032195"/>
    <w:rsid w:val="00033FA4"/>
    <w:rsid w:val="00034F3F"/>
    <w:rsid w:val="000367D9"/>
    <w:rsid w:val="00043683"/>
    <w:rsid w:val="00046BE5"/>
    <w:rsid w:val="00050939"/>
    <w:rsid w:val="00050C38"/>
    <w:rsid w:val="00050FC5"/>
    <w:rsid w:val="000672DE"/>
    <w:rsid w:val="00073BC0"/>
    <w:rsid w:val="0007634A"/>
    <w:rsid w:val="00076497"/>
    <w:rsid w:val="0007654D"/>
    <w:rsid w:val="0008088D"/>
    <w:rsid w:val="00090D81"/>
    <w:rsid w:val="00093694"/>
    <w:rsid w:val="00096C43"/>
    <w:rsid w:val="000A1804"/>
    <w:rsid w:val="000A1A04"/>
    <w:rsid w:val="000A3283"/>
    <w:rsid w:val="000A5355"/>
    <w:rsid w:val="000A576C"/>
    <w:rsid w:val="000A630D"/>
    <w:rsid w:val="000A6FA6"/>
    <w:rsid w:val="000B0730"/>
    <w:rsid w:val="000B0DF0"/>
    <w:rsid w:val="000B4510"/>
    <w:rsid w:val="000B6647"/>
    <w:rsid w:val="000C2955"/>
    <w:rsid w:val="000C65D1"/>
    <w:rsid w:val="000D0F02"/>
    <w:rsid w:val="000D761D"/>
    <w:rsid w:val="000F2ED7"/>
    <w:rsid w:val="000F3B2E"/>
    <w:rsid w:val="000F4C85"/>
    <w:rsid w:val="000F7250"/>
    <w:rsid w:val="00104011"/>
    <w:rsid w:val="001050A2"/>
    <w:rsid w:val="001139FF"/>
    <w:rsid w:val="00114BE7"/>
    <w:rsid w:val="00125D45"/>
    <w:rsid w:val="001276EE"/>
    <w:rsid w:val="0013036F"/>
    <w:rsid w:val="00135E48"/>
    <w:rsid w:val="00137E13"/>
    <w:rsid w:val="00141039"/>
    <w:rsid w:val="001429B9"/>
    <w:rsid w:val="00142F74"/>
    <w:rsid w:val="00163842"/>
    <w:rsid w:val="001730D5"/>
    <w:rsid w:val="001756F0"/>
    <w:rsid w:val="00190CC5"/>
    <w:rsid w:val="0019217D"/>
    <w:rsid w:val="00192735"/>
    <w:rsid w:val="00193EDC"/>
    <w:rsid w:val="001A0A29"/>
    <w:rsid w:val="001A5576"/>
    <w:rsid w:val="001A5897"/>
    <w:rsid w:val="001B1264"/>
    <w:rsid w:val="001B3DA9"/>
    <w:rsid w:val="001B747D"/>
    <w:rsid w:val="001C4263"/>
    <w:rsid w:val="001D33DA"/>
    <w:rsid w:val="001F70F1"/>
    <w:rsid w:val="001F7846"/>
    <w:rsid w:val="00200D9E"/>
    <w:rsid w:val="002014E0"/>
    <w:rsid w:val="00211C23"/>
    <w:rsid w:val="00212AED"/>
    <w:rsid w:val="00214F98"/>
    <w:rsid w:val="00222E7D"/>
    <w:rsid w:val="0023109D"/>
    <w:rsid w:val="0023215A"/>
    <w:rsid w:val="00236A8C"/>
    <w:rsid w:val="00236D0C"/>
    <w:rsid w:val="00240288"/>
    <w:rsid w:val="00242101"/>
    <w:rsid w:val="0025076C"/>
    <w:rsid w:val="00253982"/>
    <w:rsid w:val="00257583"/>
    <w:rsid w:val="00265E1A"/>
    <w:rsid w:val="00266701"/>
    <w:rsid w:val="00274558"/>
    <w:rsid w:val="00274CB0"/>
    <w:rsid w:val="00275883"/>
    <w:rsid w:val="00275E7A"/>
    <w:rsid w:val="00280AE8"/>
    <w:rsid w:val="00283088"/>
    <w:rsid w:val="00284F5F"/>
    <w:rsid w:val="00286DE4"/>
    <w:rsid w:val="00287C3F"/>
    <w:rsid w:val="00290043"/>
    <w:rsid w:val="002A1D55"/>
    <w:rsid w:val="002A2031"/>
    <w:rsid w:val="002B05F2"/>
    <w:rsid w:val="002B0E2E"/>
    <w:rsid w:val="002C2807"/>
    <w:rsid w:val="002D1E56"/>
    <w:rsid w:val="002D56E1"/>
    <w:rsid w:val="002D5812"/>
    <w:rsid w:val="002D5D05"/>
    <w:rsid w:val="002D6782"/>
    <w:rsid w:val="002E3983"/>
    <w:rsid w:val="002E6439"/>
    <w:rsid w:val="002F195A"/>
    <w:rsid w:val="002F32AA"/>
    <w:rsid w:val="002F4E35"/>
    <w:rsid w:val="00306835"/>
    <w:rsid w:val="00315536"/>
    <w:rsid w:val="00340BBC"/>
    <w:rsid w:val="00344882"/>
    <w:rsid w:val="003500B0"/>
    <w:rsid w:val="0035278F"/>
    <w:rsid w:val="003546B1"/>
    <w:rsid w:val="00361547"/>
    <w:rsid w:val="003620CE"/>
    <w:rsid w:val="00364F1C"/>
    <w:rsid w:val="00367469"/>
    <w:rsid w:val="00374276"/>
    <w:rsid w:val="003748AE"/>
    <w:rsid w:val="0038148E"/>
    <w:rsid w:val="0038213B"/>
    <w:rsid w:val="003908A7"/>
    <w:rsid w:val="00391DC6"/>
    <w:rsid w:val="003B2C5D"/>
    <w:rsid w:val="003B64AD"/>
    <w:rsid w:val="003C244D"/>
    <w:rsid w:val="003C5441"/>
    <w:rsid w:val="003C5CD2"/>
    <w:rsid w:val="003C6879"/>
    <w:rsid w:val="003C74F8"/>
    <w:rsid w:val="003C7571"/>
    <w:rsid w:val="003D2B11"/>
    <w:rsid w:val="003E2260"/>
    <w:rsid w:val="003E3ACC"/>
    <w:rsid w:val="003E78F5"/>
    <w:rsid w:val="003F6852"/>
    <w:rsid w:val="004001EC"/>
    <w:rsid w:val="00402CF1"/>
    <w:rsid w:val="00403A96"/>
    <w:rsid w:val="00403B68"/>
    <w:rsid w:val="004112B0"/>
    <w:rsid w:val="004115F8"/>
    <w:rsid w:val="004120AE"/>
    <w:rsid w:val="00415056"/>
    <w:rsid w:val="00427313"/>
    <w:rsid w:val="0043437C"/>
    <w:rsid w:val="0044451F"/>
    <w:rsid w:val="00454C03"/>
    <w:rsid w:val="00457102"/>
    <w:rsid w:val="00466964"/>
    <w:rsid w:val="00466E55"/>
    <w:rsid w:val="00471B27"/>
    <w:rsid w:val="00471F56"/>
    <w:rsid w:val="00472E23"/>
    <w:rsid w:val="00475270"/>
    <w:rsid w:val="004777F0"/>
    <w:rsid w:val="0048069E"/>
    <w:rsid w:val="00481D94"/>
    <w:rsid w:val="0048306C"/>
    <w:rsid w:val="004848B6"/>
    <w:rsid w:val="004872D6"/>
    <w:rsid w:val="00487C66"/>
    <w:rsid w:val="00490B99"/>
    <w:rsid w:val="00491B1D"/>
    <w:rsid w:val="004947BD"/>
    <w:rsid w:val="00494C64"/>
    <w:rsid w:val="00495317"/>
    <w:rsid w:val="004A755C"/>
    <w:rsid w:val="004B1962"/>
    <w:rsid w:val="004B6487"/>
    <w:rsid w:val="004C27B7"/>
    <w:rsid w:val="004C281D"/>
    <w:rsid w:val="004C32F0"/>
    <w:rsid w:val="004C6D49"/>
    <w:rsid w:val="004D0AA0"/>
    <w:rsid w:val="004D227D"/>
    <w:rsid w:val="004D3119"/>
    <w:rsid w:val="004E3CCC"/>
    <w:rsid w:val="004E426D"/>
    <w:rsid w:val="004E4D6D"/>
    <w:rsid w:val="004F31F4"/>
    <w:rsid w:val="004F5907"/>
    <w:rsid w:val="005004A3"/>
    <w:rsid w:val="00515424"/>
    <w:rsid w:val="005236B5"/>
    <w:rsid w:val="005278AD"/>
    <w:rsid w:val="00530939"/>
    <w:rsid w:val="0053379F"/>
    <w:rsid w:val="00537ECB"/>
    <w:rsid w:val="005455D0"/>
    <w:rsid w:val="00546888"/>
    <w:rsid w:val="00563774"/>
    <w:rsid w:val="0056475D"/>
    <w:rsid w:val="0056748E"/>
    <w:rsid w:val="00575E35"/>
    <w:rsid w:val="00582280"/>
    <w:rsid w:val="00585108"/>
    <w:rsid w:val="0059539D"/>
    <w:rsid w:val="005966DF"/>
    <w:rsid w:val="00596A7A"/>
    <w:rsid w:val="005A2FA0"/>
    <w:rsid w:val="005A5878"/>
    <w:rsid w:val="005A7EA2"/>
    <w:rsid w:val="005B09DC"/>
    <w:rsid w:val="005B231E"/>
    <w:rsid w:val="005B5ADD"/>
    <w:rsid w:val="005B6757"/>
    <w:rsid w:val="005C018E"/>
    <w:rsid w:val="005C0730"/>
    <w:rsid w:val="005C3A24"/>
    <w:rsid w:val="005C5542"/>
    <w:rsid w:val="005E11CF"/>
    <w:rsid w:val="005F206D"/>
    <w:rsid w:val="006017C6"/>
    <w:rsid w:val="006043B2"/>
    <w:rsid w:val="006060D5"/>
    <w:rsid w:val="0060631C"/>
    <w:rsid w:val="00607A76"/>
    <w:rsid w:val="00615677"/>
    <w:rsid w:val="00615D8B"/>
    <w:rsid w:val="00620C38"/>
    <w:rsid w:val="0062102A"/>
    <w:rsid w:val="0063098B"/>
    <w:rsid w:val="00633031"/>
    <w:rsid w:val="00633C8F"/>
    <w:rsid w:val="0063413D"/>
    <w:rsid w:val="006370C0"/>
    <w:rsid w:val="00637ADA"/>
    <w:rsid w:val="006401C5"/>
    <w:rsid w:val="00640A94"/>
    <w:rsid w:val="00644EE3"/>
    <w:rsid w:val="00645D6A"/>
    <w:rsid w:val="00646562"/>
    <w:rsid w:val="0065481A"/>
    <w:rsid w:val="00654D97"/>
    <w:rsid w:val="00656D0F"/>
    <w:rsid w:val="00664CE0"/>
    <w:rsid w:val="00672BEB"/>
    <w:rsid w:val="00673D0C"/>
    <w:rsid w:val="00677D1A"/>
    <w:rsid w:val="006807A4"/>
    <w:rsid w:val="006811D9"/>
    <w:rsid w:val="00684169"/>
    <w:rsid w:val="006936AE"/>
    <w:rsid w:val="00693BFA"/>
    <w:rsid w:val="00694202"/>
    <w:rsid w:val="006A30A2"/>
    <w:rsid w:val="006A4239"/>
    <w:rsid w:val="006A4E76"/>
    <w:rsid w:val="006A6234"/>
    <w:rsid w:val="006B258E"/>
    <w:rsid w:val="006C17AD"/>
    <w:rsid w:val="006C4AB3"/>
    <w:rsid w:val="006C4E43"/>
    <w:rsid w:val="006D0070"/>
    <w:rsid w:val="006D5723"/>
    <w:rsid w:val="006E3843"/>
    <w:rsid w:val="006E5139"/>
    <w:rsid w:val="006E6401"/>
    <w:rsid w:val="006F4BD4"/>
    <w:rsid w:val="007007EC"/>
    <w:rsid w:val="00704827"/>
    <w:rsid w:val="00707FB9"/>
    <w:rsid w:val="00712355"/>
    <w:rsid w:val="00713C76"/>
    <w:rsid w:val="00717D0D"/>
    <w:rsid w:val="00721469"/>
    <w:rsid w:val="00724EB6"/>
    <w:rsid w:val="007258D5"/>
    <w:rsid w:val="00733EB2"/>
    <w:rsid w:val="007344EF"/>
    <w:rsid w:val="00734956"/>
    <w:rsid w:val="007364D4"/>
    <w:rsid w:val="00737C15"/>
    <w:rsid w:val="0074091C"/>
    <w:rsid w:val="00741716"/>
    <w:rsid w:val="00746CA4"/>
    <w:rsid w:val="00757A6C"/>
    <w:rsid w:val="007769D7"/>
    <w:rsid w:val="00776F6C"/>
    <w:rsid w:val="007842EF"/>
    <w:rsid w:val="00790A05"/>
    <w:rsid w:val="00793634"/>
    <w:rsid w:val="007A600E"/>
    <w:rsid w:val="007B0009"/>
    <w:rsid w:val="007B4BD7"/>
    <w:rsid w:val="007B4D34"/>
    <w:rsid w:val="007C0620"/>
    <w:rsid w:val="007C7757"/>
    <w:rsid w:val="007C7C87"/>
    <w:rsid w:val="007D45C2"/>
    <w:rsid w:val="007E09A5"/>
    <w:rsid w:val="007E3080"/>
    <w:rsid w:val="007E4689"/>
    <w:rsid w:val="007E6292"/>
    <w:rsid w:val="007E6994"/>
    <w:rsid w:val="007F26F9"/>
    <w:rsid w:val="0081176A"/>
    <w:rsid w:val="00815ACA"/>
    <w:rsid w:val="00816556"/>
    <w:rsid w:val="00820E51"/>
    <w:rsid w:val="00824DD7"/>
    <w:rsid w:val="00825C62"/>
    <w:rsid w:val="008324B2"/>
    <w:rsid w:val="00851BBB"/>
    <w:rsid w:val="0085225A"/>
    <w:rsid w:val="00870BB0"/>
    <w:rsid w:val="008766CC"/>
    <w:rsid w:val="00880F23"/>
    <w:rsid w:val="00883CFF"/>
    <w:rsid w:val="0089028C"/>
    <w:rsid w:val="008943B9"/>
    <w:rsid w:val="00896A2C"/>
    <w:rsid w:val="008A37FB"/>
    <w:rsid w:val="008B15F4"/>
    <w:rsid w:val="008B58ED"/>
    <w:rsid w:val="008B63CE"/>
    <w:rsid w:val="008C42BF"/>
    <w:rsid w:val="008C49A1"/>
    <w:rsid w:val="008C4A81"/>
    <w:rsid w:val="008C72DE"/>
    <w:rsid w:val="008D3200"/>
    <w:rsid w:val="008D4904"/>
    <w:rsid w:val="008E4B1F"/>
    <w:rsid w:val="008E5AB2"/>
    <w:rsid w:val="008E7B0B"/>
    <w:rsid w:val="008F0B96"/>
    <w:rsid w:val="008F7FD5"/>
    <w:rsid w:val="0092201D"/>
    <w:rsid w:val="00923D4E"/>
    <w:rsid w:val="00925084"/>
    <w:rsid w:val="0092535D"/>
    <w:rsid w:val="00937AC0"/>
    <w:rsid w:val="0094197F"/>
    <w:rsid w:val="009421CA"/>
    <w:rsid w:val="00943E84"/>
    <w:rsid w:val="00946266"/>
    <w:rsid w:val="009464C1"/>
    <w:rsid w:val="009469F6"/>
    <w:rsid w:val="00951DDB"/>
    <w:rsid w:val="0095212E"/>
    <w:rsid w:val="00954A65"/>
    <w:rsid w:val="00956683"/>
    <w:rsid w:val="0096780D"/>
    <w:rsid w:val="00976F2C"/>
    <w:rsid w:val="009815D1"/>
    <w:rsid w:val="0098393D"/>
    <w:rsid w:val="00983DFD"/>
    <w:rsid w:val="00984744"/>
    <w:rsid w:val="00984D26"/>
    <w:rsid w:val="00985141"/>
    <w:rsid w:val="00987146"/>
    <w:rsid w:val="00994AFD"/>
    <w:rsid w:val="00995CF3"/>
    <w:rsid w:val="009A1678"/>
    <w:rsid w:val="009A1A5D"/>
    <w:rsid w:val="009A7FF2"/>
    <w:rsid w:val="009B6E59"/>
    <w:rsid w:val="009C28F3"/>
    <w:rsid w:val="009C2F84"/>
    <w:rsid w:val="009C30EB"/>
    <w:rsid w:val="009C6154"/>
    <w:rsid w:val="009C7385"/>
    <w:rsid w:val="009D008E"/>
    <w:rsid w:val="009D27D3"/>
    <w:rsid w:val="009D2A9C"/>
    <w:rsid w:val="009D4F8D"/>
    <w:rsid w:val="009D59AA"/>
    <w:rsid w:val="009E472B"/>
    <w:rsid w:val="009E63B9"/>
    <w:rsid w:val="009F241F"/>
    <w:rsid w:val="009F665A"/>
    <w:rsid w:val="00A05EFC"/>
    <w:rsid w:val="00A10E9C"/>
    <w:rsid w:val="00A12719"/>
    <w:rsid w:val="00A21130"/>
    <w:rsid w:val="00A221B7"/>
    <w:rsid w:val="00A22FDD"/>
    <w:rsid w:val="00A24149"/>
    <w:rsid w:val="00A242D0"/>
    <w:rsid w:val="00A26772"/>
    <w:rsid w:val="00A41B4C"/>
    <w:rsid w:val="00A42A06"/>
    <w:rsid w:val="00A43266"/>
    <w:rsid w:val="00A46480"/>
    <w:rsid w:val="00A54359"/>
    <w:rsid w:val="00A56103"/>
    <w:rsid w:val="00A76C67"/>
    <w:rsid w:val="00A81C48"/>
    <w:rsid w:val="00A82A0A"/>
    <w:rsid w:val="00A837B1"/>
    <w:rsid w:val="00A86799"/>
    <w:rsid w:val="00A8753E"/>
    <w:rsid w:val="00A91EED"/>
    <w:rsid w:val="00A92D12"/>
    <w:rsid w:val="00A95167"/>
    <w:rsid w:val="00A951BF"/>
    <w:rsid w:val="00AA11F0"/>
    <w:rsid w:val="00AA203B"/>
    <w:rsid w:val="00AA2E66"/>
    <w:rsid w:val="00AA30E0"/>
    <w:rsid w:val="00AB0B05"/>
    <w:rsid w:val="00AB2373"/>
    <w:rsid w:val="00AB38DC"/>
    <w:rsid w:val="00AB62D5"/>
    <w:rsid w:val="00AC0487"/>
    <w:rsid w:val="00AC0EC9"/>
    <w:rsid w:val="00AD3803"/>
    <w:rsid w:val="00AD6485"/>
    <w:rsid w:val="00AE0C84"/>
    <w:rsid w:val="00AF6B55"/>
    <w:rsid w:val="00B00A58"/>
    <w:rsid w:val="00B05253"/>
    <w:rsid w:val="00B17366"/>
    <w:rsid w:val="00B20752"/>
    <w:rsid w:val="00B24581"/>
    <w:rsid w:val="00B271FC"/>
    <w:rsid w:val="00B2785A"/>
    <w:rsid w:val="00B328FF"/>
    <w:rsid w:val="00B35A98"/>
    <w:rsid w:val="00B400AE"/>
    <w:rsid w:val="00B42692"/>
    <w:rsid w:val="00B450D3"/>
    <w:rsid w:val="00B563B5"/>
    <w:rsid w:val="00B65BF7"/>
    <w:rsid w:val="00B67D00"/>
    <w:rsid w:val="00B71778"/>
    <w:rsid w:val="00B730DB"/>
    <w:rsid w:val="00B74C7E"/>
    <w:rsid w:val="00B74EF8"/>
    <w:rsid w:val="00B85D40"/>
    <w:rsid w:val="00B908B9"/>
    <w:rsid w:val="00B93579"/>
    <w:rsid w:val="00B95554"/>
    <w:rsid w:val="00BA4BA8"/>
    <w:rsid w:val="00BA778E"/>
    <w:rsid w:val="00BA7B12"/>
    <w:rsid w:val="00BB19C0"/>
    <w:rsid w:val="00BB565F"/>
    <w:rsid w:val="00BB68C9"/>
    <w:rsid w:val="00BB6DAF"/>
    <w:rsid w:val="00BC2952"/>
    <w:rsid w:val="00BC2FA5"/>
    <w:rsid w:val="00BC4BF2"/>
    <w:rsid w:val="00BC6A10"/>
    <w:rsid w:val="00BD1F9B"/>
    <w:rsid w:val="00BD4658"/>
    <w:rsid w:val="00BE20F1"/>
    <w:rsid w:val="00BE390B"/>
    <w:rsid w:val="00BE5E26"/>
    <w:rsid w:val="00BF3E4A"/>
    <w:rsid w:val="00BF5E51"/>
    <w:rsid w:val="00C00B32"/>
    <w:rsid w:val="00C04CA2"/>
    <w:rsid w:val="00C25758"/>
    <w:rsid w:val="00C352ED"/>
    <w:rsid w:val="00C427D4"/>
    <w:rsid w:val="00C44922"/>
    <w:rsid w:val="00C45412"/>
    <w:rsid w:val="00C53F50"/>
    <w:rsid w:val="00C56B06"/>
    <w:rsid w:val="00C65F1C"/>
    <w:rsid w:val="00C66141"/>
    <w:rsid w:val="00C668FB"/>
    <w:rsid w:val="00C733C5"/>
    <w:rsid w:val="00C7603C"/>
    <w:rsid w:val="00C81917"/>
    <w:rsid w:val="00CA191A"/>
    <w:rsid w:val="00CC0C6A"/>
    <w:rsid w:val="00CC5C62"/>
    <w:rsid w:val="00CC7EB8"/>
    <w:rsid w:val="00CD03A9"/>
    <w:rsid w:val="00CD04CD"/>
    <w:rsid w:val="00CD21E3"/>
    <w:rsid w:val="00CD78BB"/>
    <w:rsid w:val="00CE00BA"/>
    <w:rsid w:val="00CE7B62"/>
    <w:rsid w:val="00CF1ED2"/>
    <w:rsid w:val="00CF41E3"/>
    <w:rsid w:val="00CF5F72"/>
    <w:rsid w:val="00CF637C"/>
    <w:rsid w:val="00D01C86"/>
    <w:rsid w:val="00D05705"/>
    <w:rsid w:val="00D05C55"/>
    <w:rsid w:val="00D13C95"/>
    <w:rsid w:val="00D175FC"/>
    <w:rsid w:val="00D23854"/>
    <w:rsid w:val="00D31FB3"/>
    <w:rsid w:val="00D34F16"/>
    <w:rsid w:val="00D47189"/>
    <w:rsid w:val="00D507F2"/>
    <w:rsid w:val="00D5148A"/>
    <w:rsid w:val="00D55389"/>
    <w:rsid w:val="00D64B64"/>
    <w:rsid w:val="00D66049"/>
    <w:rsid w:val="00D664BE"/>
    <w:rsid w:val="00D75DBF"/>
    <w:rsid w:val="00D83AED"/>
    <w:rsid w:val="00D847DF"/>
    <w:rsid w:val="00D91E91"/>
    <w:rsid w:val="00D94A02"/>
    <w:rsid w:val="00D973BA"/>
    <w:rsid w:val="00DA0B43"/>
    <w:rsid w:val="00DA0F43"/>
    <w:rsid w:val="00DA4F49"/>
    <w:rsid w:val="00DA78A8"/>
    <w:rsid w:val="00DA7B39"/>
    <w:rsid w:val="00DB04B6"/>
    <w:rsid w:val="00DB0C9E"/>
    <w:rsid w:val="00DC230D"/>
    <w:rsid w:val="00DC2394"/>
    <w:rsid w:val="00DC32FF"/>
    <w:rsid w:val="00DC4C33"/>
    <w:rsid w:val="00DC69E1"/>
    <w:rsid w:val="00DE3B1F"/>
    <w:rsid w:val="00DE78C4"/>
    <w:rsid w:val="00DF376C"/>
    <w:rsid w:val="00DF39DF"/>
    <w:rsid w:val="00DF478B"/>
    <w:rsid w:val="00E0024F"/>
    <w:rsid w:val="00E03D11"/>
    <w:rsid w:val="00E0425A"/>
    <w:rsid w:val="00E051B6"/>
    <w:rsid w:val="00E06E3F"/>
    <w:rsid w:val="00E07633"/>
    <w:rsid w:val="00E10163"/>
    <w:rsid w:val="00E21773"/>
    <w:rsid w:val="00E21EC0"/>
    <w:rsid w:val="00E220F0"/>
    <w:rsid w:val="00E240FE"/>
    <w:rsid w:val="00E26DA1"/>
    <w:rsid w:val="00E302C0"/>
    <w:rsid w:val="00E305BF"/>
    <w:rsid w:val="00E34364"/>
    <w:rsid w:val="00E34940"/>
    <w:rsid w:val="00E34A2C"/>
    <w:rsid w:val="00E362C9"/>
    <w:rsid w:val="00E40AD3"/>
    <w:rsid w:val="00E42C91"/>
    <w:rsid w:val="00E43F64"/>
    <w:rsid w:val="00E44B0C"/>
    <w:rsid w:val="00E54403"/>
    <w:rsid w:val="00E624C6"/>
    <w:rsid w:val="00E668DB"/>
    <w:rsid w:val="00E7069E"/>
    <w:rsid w:val="00E709E3"/>
    <w:rsid w:val="00E73723"/>
    <w:rsid w:val="00E82152"/>
    <w:rsid w:val="00E861BC"/>
    <w:rsid w:val="00E91917"/>
    <w:rsid w:val="00EA0962"/>
    <w:rsid w:val="00EA1788"/>
    <w:rsid w:val="00EB2BB1"/>
    <w:rsid w:val="00EB3C42"/>
    <w:rsid w:val="00EB6EE9"/>
    <w:rsid w:val="00EC7E18"/>
    <w:rsid w:val="00ED1774"/>
    <w:rsid w:val="00ED1B47"/>
    <w:rsid w:val="00ED6AB7"/>
    <w:rsid w:val="00EE1C84"/>
    <w:rsid w:val="00F00706"/>
    <w:rsid w:val="00F0706C"/>
    <w:rsid w:val="00F07B9C"/>
    <w:rsid w:val="00F07E4B"/>
    <w:rsid w:val="00F11571"/>
    <w:rsid w:val="00F277DE"/>
    <w:rsid w:val="00F366C5"/>
    <w:rsid w:val="00F401FE"/>
    <w:rsid w:val="00F4513A"/>
    <w:rsid w:val="00F52CE3"/>
    <w:rsid w:val="00F52DA2"/>
    <w:rsid w:val="00F535D5"/>
    <w:rsid w:val="00F54F2D"/>
    <w:rsid w:val="00F60B73"/>
    <w:rsid w:val="00F620D4"/>
    <w:rsid w:val="00F65647"/>
    <w:rsid w:val="00F65701"/>
    <w:rsid w:val="00F65CEC"/>
    <w:rsid w:val="00F67B0B"/>
    <w:rsid w:val="00F67C41"/>
    <w:rsid w:val="00F70E66"/>
    <w:rsid w:val="00F721A4"/>
    <w:rsid w:val="00F743D4"/>
    <w:rsid w:val="00F77E8F"/>
    <w:rsid w:val="00F80497"/>
    <w:rsid w:val="00F860B7"/>
    <w:rsid w:val="00F94165"/>
    <w:rsid w:val="00F96FF9"/>
    <w:rsid w:val="00FA4201"/>
    <w:rsid w:val="00FA5473"/>
    <w:rsid w:val="00FB1C4D"/>
    <w:rsid w:val="00FB3321"/>
    <w:rsid w:val="00FB6106"/>
    <w:rsid w:val="00FC0D79"/>
    <w:rsid w:val="00FD0F26"/>
    <w:rsid w:val="00FD1FA2"/>
    <w:rsid w:val="00FD3CF9"/>
    <w:rsid w:val="00FD46FF"/>
    <w:rsid w:val="00FD4F08"/>
    <w:rsid w:val="00FD5E87"/>
    <w:rsid w:val="00FD5FF2"/>
    <w:rsid w:val="00FD6D86"/>
    <w:rsid w:val="00FD733F"/>
    <w:rsid w:val="00FF46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6E600"/>
  <w15:docId w15:val="{9A626AB4-A496-5744-BD68-BF262E70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87C3F"/>
    <w:pPr>
      <w:spacing w:after="0" w:line="480" w:lineRule="auto"/>
    </w:pPr>
    <w:rPr>
      <w:rFonts w:ascii="Times New Roman" w:hAnsi="Times New Roman"/>
    </w:rPr>
  </w:style>
  <w:style w:type="paragraph" w:customStyle="1" w:styleId="Standard">
    <w:name w:val="Standard"/>
    <w:basedOn w:val="Normal"/>
    <w:qFormat/>
    <w:rsid w:val="00530939"/>
    <w:pPr>
      <w:spacing w:after="0" w:line="480" w:lineRule="auto"/>
    </w:pPr>
    <w:rPr>
      <w:rFonts w:ascii="Times New Roman" w:hAnsi="Times New Roman"/>
    </w:rPr>
  </w:style>
  <w:style w:type="paragraph" w:styleId="FootnoteText">
    <w:name w:val="footnote text"/>
    <w:basedOn w:val="Normal"/>
    <w:link w:val="FootnoteTextChar"/>
    <w:uiPriority w:val="99"/>
    <w:unhideWhenUsed/>
    <w:rsid w:val="008B63CE"/>
    <w:pPr>
      <w:spacing w:after="0" w:line="480" w:lineRule="auto"/>
    </w:pPr>
    <w:rPr>
      <w:rFonts w:ascii="Times New Roman" w:hAnsi="Times New Roman"/>
    </w:rPr>
  </w:style>
  <w:style w:type="character" w:customStyle="1" w:styleId="FootnoteTextChar">
    <w:name w:val="Footnote Text Char"/>
    <w:basedOn w:val="DefaultParagraphFont"/>
    <w:link w:val="FootnoteText"/>
    <w:uiPriority w:val="99"/>
    <w:rsid w:val="008B63CE"/>
    <w:rPr>
      <w:rFonts w:ascii="Times New Roman" w:hAnsi="Times New Roman"/>
    </w:rPr>
  </w:style>
  <w:style w:type="character" w:styleId="FootnoteReference">
    <w:name w:val="footnote reference"/>
    <w:basedOn w:val="DefaultParagraphFont"/>
    <w:uiPriority w:val="99"/>
    <w:unhideWhenUsed/>
    <w:rsid w:val="004947BD"/>
    <w:rPr>
      <w:vertAlign w:val="superscript"/>
    </w:rPr>
  </w:style>
  <w:style w:type="paragraph" w:styleId="Header">
    <w:name w:val="header"/>
    <w:basedOn w:val="Normal"/>
    <w:link w:val="HeaderChar"/>
    <w:rsid w:val="00C427D4"/>
    <w:pPr>
      <w:tabs>
        <w:tab w:val="center" w:pos="4320"/>
        <w:tab w:val="right" w:pos="8640"/>
      </w:tabs>
      <w:spacing w:after="0"/>
    </w:pPr>
    <w:rPr>
      <w:rFonts w:ascii="Times New Roman" w:eastAsia="Times New Roman" w:hAnsi="Times New Roman" w:cs="Times New Roman"/>
      <w:lang w:eastAsia="en-US"/>
    </w:rPr>
  </w:style>
  <w:style w:type="character" w:customStyle="1" w:styleId="HeaderChar">
    <w:name w:val="Header Char"/>
    <w:basedOn w:val="DefaultParagraphFont"/>
    <w:link w:val="Header"/>
    <w:rsid w:val="00C427D4"/>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190CC5"/>
    <w:rPr>
      <w:sz w:val="18"/>
      <w:szCs w:val="18"/>
    </w:rPr>
  </w:style>
  <w:style w:type="paragraph" w:styleId="CommentText">
    <w:name w:val="annotation text"/>
    <w:basedOn w:val="Normal"/>
    <w:link w:val="CommentTextChar"/>
    <w:uiPriority w:val="99"/>
    <w:semiHidden/>
    <w:unhideWhenUsed/>
    <w:rsid w:val="00190CC5"/>
  </w:style>
  <w:style w:type="character" w:customStyle="1" w:styleId="CommentTextChar">
    <w:name w:val="Comment Text Char"/>
    <w:basedOn w:val="DefaultParagraphFont"/>
    <w:link w:val="CommentText"/>
    <w:uiPriority w:val="99"/>
    <w:semiHidden/>
    <w:rsid w:val="00190CC5"/>
  </w:style>
  <w:style w:type="paragraph" w:styleId="CommentSubject">
    <w:name w:val="annotation subject"/>
    <w:basedOn w:val="CommentText"/>
    <w:next w:val="CommentText"/>
    <w:link w:val="CommentSubjectChar"/>
    <w:uiPriority w:val="99"/>
    <w:semiHidden/>
    <w:unhideWhenUsed/>
    <w:rsid w:val="00190CC5"/>
    <w:rPr>
      <w:b/>
      <w:bCs/>
      <w:sz w:val="20"/>
      <w:szCs w:val="20"/>
    </w:rPr>
  </w:style>
  <w:style w:type="character" w:customStyle="1" w:styleId="CommentSubjectChar">
    <w:name w:val="Comment Subject Char"/>
    <w:basedOn w:val="CommentTextChar"/>
    <w:link w:val="CommentSubject"/>
    <w:uiPriority w:val="99"/>
    <w:semiHidden/>
    <w:rsid w:val="00190CC5"/>
    <w:rPr>
      <w:b/>
      <w:bCs/>
      <w:sz w:val="20"/>
      <w:szCs w:val="20"/>
    </w:rPr>
  </w:style>
  <w:style w:type="paragraph" w:styleId="Revision">
    <w:name w:val="Revision"/>
    <w:hidden/>
    <w:uiPriority w:val="99"/>
    <w:semiHidden/>
    <w:rsid w:val="00190CC5"/>
    <w:pPr>
      <w:spacing w:after="0"/>
    </w:pPr>
  </w:style>
  <w:style w:type="paragraph" w:styleId="BalloonText">
    <w:name w:val="Balloon Text"/>
    <w:basedOn w:val="Normal"/>
    <w:link w:val="BalloonTextChar"/>
    <w:uiPriority w:val="99"/>
    <w:semiHidden/>
    <w:unhideWhenUsed/>
    <w:rsid w:val="00190CC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CC5"/>
    <w:rPr>
      <w:rFonts w:ascii="Lucida Grande" w:hAnsi="Lucida Grande" w:cs="Lucida Grande"/>
      <w:sz w:val="18"/>
      <w:szCs w:val="18"/>
    </w:rPr>
  </w:style>
  <w:style w:type="paragraph" w:styleId="Footer">
    <w:name w:val="footer"/>
    <w:basedOn w:val="Normal"/>
    <w:link w:val="FooterChar"/>
    <w:uiPriority w:val="99"/>
    <w:unhideWhenUsed/>
    <w:rsid w:val="00FB1C4D"/>
    <w:pPr>
      <w:tabs>
        <w:tab w:val="center" w:pos="4680"/>
        <w:tab w:val="right" w:pos="9360"/>
      </w:tabs>
      <w:spacing w:after="0"/>
    </w:pPr>
  </w:style>
  <w:style w:type="character" w:customStyle="1" w:styleId="FooterChar">
    <w:name w:val="Footer Char"/>
    <w:basedOn w:val="DefaultParagraphFont"/>
    <w:link w:val="Footer"/>
    <w:uiPriority w:val="99"/>
    <w:rsid w:val="00FB1C4D"/>
  </w:style>
  <w:style w:type="character" w:styleId="PageNumber">
    <w:name w:val="page number"/>
    <w:basedOn w:val="DefaultParagraphFont"/>
    <w:uiPriority w:val="99"/>
    <w:semiHidden/>
    <w:unhideWhenUsed/>
    <w:rsid w:val="00FB1C4D"/>
  </w:style>
  <w:style w:type="paragraph" w:styleId="Bibliography">
    <w:name w:val="Bibliography"/>
    <w:basedOn w:val="Normal"/>
    <w:next w:val="Normal"/>
    <w:uiPriority w:val="37"/>
    <w:semiHidden/>
    <w:unhideWhenUsed/>
    <w:rsid w:val="0095212E"/>
  </w:style>
  <w:style w:type="character" w:styleId="Hyperlink">
    <w:name w:val="Hyperlink"/>
    <w:basedOn w:val="DefaultParagraphFont"/>
    <w:uiPriority w:val="99"/>
    <w:unhideWhenUsed/>
    <w:rsid w:val="001C4263"/>
    <w:rPr>
      <w:color w:val="0000FF" w:themeColor="hyperlink"/>
      <w:u w:val="single"/>
    </w:rPr>
  </w:style>
  <w:style w:type="character" w:styleId="UnresolvedMention">
    <w:name w:val="Unresolved Mention"/>
    <w:basedOn w:val="DefaultParagraphFont"/>
    <w:uiPriority w:val="99"/>
    <w:semiHidden/>
    <w:unhideWhenUsed/>
    <w:rsid w:val="001C4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9425">
      <w:bodyDiv w:val="1"/>
      <w:marLeft w:val="0"/>
      <w:marRight w:val="0"/>
      <w:marTop w:val="0"/>
      <w:marBottom w:val="0"/>
      <w:divBdr>
        <w:top w:val="none" w:sz="0" w:space="0" w:color="auto"/>
        <w:left w:val="none" w:sz="0" w:space="0" w:color="auto"/>
        <w:bottom w:val="none" w:sz="0" w:space="0" w:color="auto"/>
        <w:right w:val="none" w:sz="0" w:space="0" w:color="auto"/>
      </w:divBdr>
      <w:divsChild>
        <w:div w:id="1693148387">
          <w:marLeft w:val="0"/>
          <w:marRight w:val="0"/>
          <w:marTop w:val="0"/>
          <w:marBottom w:val="0"/>
          <w:divBdr>
            <w:top w:val="none" w:sz="0" w:space="0" w:color="auto"/>
            <w:left w:val="none" w:sz="0" w:space="0" w:color="auto"/>
            <w:bottom w:val="none" w:sz="0" w:space="0" w:color="auto"/>
            <w:right w:val="none" w:sz="0" w:space="0" w:color="auto"/>
          </w:divBdr>
          <w:divsChild>
            <w:div w:id="1426415151">
              <w:marLeft w:val="0"/>
              <w:marRight w:val="0"/>
              <w:marTop w:val="0"/>
              <w:marBottom w:val="0"/>
              <w:divBdr>
                <w:top w:val="none" w:sz="0" w:space="0" w:color="auto"/>
                <w:left w:val="none" w:sz="0" w:space="0" w:color="auto"/>
                <w:bottom w:val="none" w:sz="0" w:space="0" w:color="auto"/>
                <w:right w:val="none" w:sz="0" w:space="0" w:color="auto"/>
              </w:divBdr>
              <w:divsChild>
                <w:div w:id="19966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277">
      <w:bodyDiv w:val="1"/>
      <w:marLeft w:val="0"/>
      <w:marRight w:val="0"/>
      <w:marTop w:val="0"/>
      <w:marBottom w:val="0"/>
      <w:divBdr>
        <w:top w:val="none" w:sz="0" w:space="0" w:color="auto"/>
        <w:left w:val="none" w:sz="0" w:space="0" w:color="auto"/>
        <w:bottom w:val="none" w:sz="0" w:space="0" w:color="auto"/>
        <w:right w:val="none" w:sz="0" w:space="0" w:color="auto"/>
      </w:divBdr>
    </w:div>
    <w:div w:id="580216952">
      <w:bodyDiv w:val="1"/>
      <w:marLeft w:val="0"/>
      <w:marRight w:val="0"/>
      <w:marTop w:val="0"/>
      <w:marBottom w:val="0"/>
      <w:divBdr>
        <w:top w:val="none" w:sz="0" w:space="0" w:color="auto"/>
        <w:left w:val="none" w:sz="0" w:space="0" w:color="auto"/>
        <w:bottom w:val="none" w:sz="0" w:space="0" w:color="auto"/>
        <w:right w:val="none" w:sz="0" w:space="0" w:color="auto"/>
      </w:divBdr>
    </w:div>
    <w:div w:id="836846701">
      <w:bodyDiv w:val="1"/>
      <w:marLeft w:val="0"/>
      <w:marRight w:val="0"/>
      <w:marTop w:val="0"/>
      <w:marBottom w:val="0"/>
      <w:divBdr>
        <w:top w:val="none" w:sz="0" w:space="0" w:color="auto"/>
        <w:left w:val="none" w:sz="0" w:space="0" w:color="auto"/>
        <w:bottom w:val="none" w:sz="0" w:space="0" w:color="auto"/>
        <w:right w:val="none" w:sz="0" w:space="0" w:color="auto"/>
      </w:divBdr>
    </w:div>
    <w:div w:id="847214047">
      <w:bodyDiv w:val="1"/>
      <w:marLeft w:val="0"/>
      <w:marRight w:val="0"/>
      <w:marTop w:val="0"/>
      <w:marBottom w:val="0"/>
      <w:divBdr>
        <w:top w:val="none" w:sz="0" w:space="0" w:color="auto"/>
        <w:left w:val="none" w:sz="0" w:space="0" w:color="auto"/>
        <w:bottom w:val="none" w:sz="0" w:space="0" w:color="auto"/>
        <w:right w:val="none" w:sz="0" w:space="0" w:color="auto"/>
      </w:divBdr>
    </w:div>
    <w:div w:id="1075124350">
      <w:bodyDiv w:val="1"/>
      <w:marLeft w:val="0"/>
      <w:marRight w:val="0"/>
      <w:marTop w:val="0"/>
      <w:marBottom w:val="0"/>
      <w:divBdr>
        <w:top w:val="none" w:sz="0" w:space="0" w:color="auto"/>
        <w:left w:val="none" w:sz="0" w:space="0" w:color="auto"/>
        <w:bottom w:val="none" w:sz="0" w:space="0" w:color="auto"/>
        <w:right w:val="none" w:sz="0" w:space="0" w:color="auto"/>
      </w:divBdr>
      <w:divsChild>
        <w:div w:id="921766576">
          <w:marLeft w:val="0"/>
          <w:marRight w:val="0"/>
          <w:marTop w:val="0"/>
          <w:marBottom w:val="0"/>
          <w:divBdr>
            <w:top w:val="none" w:sz="0" w:space="0" w:color="auto"/>
            <w:left w:val="none" w:sz="0" w:space="0" w:color="auto"/>
            <w:bottom w:val="none" w:sz="0" w:space="0" w:color="auto"/>
            <w:right w:val="none" w:sz="0" w:space="0" w:color="auto"/>
          </w:divBdr>
        </w:div>
        <w:div w:id="181088965">
          <w:marLeft w:val="0"/>
          <w:marRight w:val="0"/>
          <w:marTop w:val="0"/>
          <w:marBottom w:val="0"/>
          <w:divBdr>
            <w:top w:val="none" w:sz="0" w:space="0" w:color="auto"/>
            <w:left w:val="none" w:sz="0" w:space="0" w:color="auto"/>
            <w:bottom w:val="none" w:sz="0" w:space="0" w:color="auto"/>
            <w:right w:val="none" w:sz="0" w:space="0" w:color="auto"/>
          </w:divBdr>
        </w:div>
      </w:divsChild>
    </w:div>
    <w:div w:id="1160929414">
      <w:bodyDiv w:val="1"/>
      <w:marLeft w:val="0"/>
      <w:marRight w:val="0"/>
      <w:marTop w:val="0"/>
      <w:marBottom w:val="0"/>
      <w:divBdr>
        <w:top w:val="none" w:sz="0" w:space="0" w:color="auto"/>
        <w:left w:val="none" w:sz="0" w:space="0" w:color="auto"/>
        <w:bottom w:val="none" w:sz="0" w:space="0" w:color="auto"/>
        <w:right w:val="none" w:sz="0" w:space="0" w:color="auto"/>
      </w:divBdr>
      <w:divsChild>
        <w:div w:id="1060985300">
          <w:marLeft w:val="0"/>
          <w:marRight w:val="0"/>
          <w:marTop w:val="0"/>
          <w:marBottom w:val="0"/>
          <w:divBdr>
            <w:top w:val="none" w:sz="0" w:space="0" w:color="auto"/>
            <w:left w:val="none" w:sz="0" w:space="0" w:color="auto"/>
            <w:bottom w:val="none" w:sz="0" w:space="0" w:color="auto"/>
            <w:right w:val="none" w:sz="0" w:space="0" w:color="auto"/>
          </w:divBdr>
          <w:divsChild>
            <w:div w:id="1452943828">
              <w:marLeft w:val="0"/>
              <w:marRight w:val="0"/>
              <w:marTop w:val="0"/>
              <w:marBottom w:val="0"/>
              <w:divBdr>
                <w:top w:val="none" w:sz="0" w:space="0" w:color="auto"/>
                <w:left w:val="none" w:sz="0" w:space="0" w:color="auto"/>
                <w:bottom w:val="none" w:sz="0" w:space="0" w:color="auto"/>
                <w:right w:val="none" w:sz="0" w:space="0" w:color="auto"/>
              </w:divBdr>
              <w:divsChild>
                <w:div w:id="14968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012">
      <w:bodyDiv w:val="1"/>
      <w:marLeft w:val="0"/>
      <w:marRight w:val="0"/>
      <w:marTop w:val="0"/>
      <w:marBottom w:val="0"/>
      <w:divBdr>
        <w:top w:val="none" w:sz="0" w:space="0" w:color="auto"/>
        <w:left w:val="none" w:sz="0" w:space="0" w:color="auto"/>
        <w:bottom w:val="none" w:sz="0" w:space="0" w:color="auto"/>
        <w:right w:val="none" w:sz="0" w:space="0" w:color="auto"/>
      </w:divBdr>
      <w:divsChild>
        <w:div w:id="289240511">
          <w:marLeft w:val="0"/>
          <w:marRight w:val="0"/>
          <w:marTop w:val="0"/>
          <w:marBottom w:val="0"/>
          <w:divBdr>
            <w:top w:val="none" w:sz="0" w:space="0" w:color="auto"/>
            <w:left w:val="none" w:sz="0" w:space="0" w:color="auto"/>
            <w:bottom w:val="none" w:sz="0" w:space="0" w:color="auto"/>
            <w:right w:val="none" w:sz="0" w:space="0" w:color="auto"/>
          </w:divBdr>
          <w:divsChild>
            <w:div w:id="1233193975">
              <w:marLeft w:val="0"/>
              <w:marRight w:val="0"/>
              <w:marTop w:val="0"/>
              <w:marBottom w:val="0"/>
              <w:divBdr>
                <w:top w:val="none" w:sz="0" w:space="0" w:color="auto"/>
                <w:left w:val="none" w:sz="0" w:space="0" w:color="auto"/>
                <w:bottom w:val="none" w:sz="0" w:space="0" w:color="auto"/>
                <w:right w:val="none" w:sz="0" w:space="0" w:color="auto"/>
              </w:divBdr>
              <w:divsChild>
                <w:div w:id="20660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2354">
      <w:bodyDiv w:val="1"/>
      <w:marLeft w:val="0"/>
      <w:marRight w:val="0"/>
      <w:marTop w:val="0"/>
      <w:marBottom w:val="0"/>
      <w:divBdr>
        <w:top w:val="none" w:sz="0" w:space="0" w:color="auto"/>
        <w:left w:val="none" w:sz="0" w:space="0" w:color="auto"/>
        <w:bottom w:val="none" w:sz="0" w:space="0" w:color="auto"/>
        <w:right w:val="none" w:sz="0" w:space="0" w:color="auto"/>
      </w:divBdr>
    </w:div>
    <w:div w:id="1448306242">
      <w:bodyDiv w:val="1"/>
      <w:marLeft w:val="0"/>
      <w:marRight w:val="0"/>
      <w:marTop w:val="0"/>
      <w:marBottom w:val="0"/>
      <w:divBdr>
        <w:top w:val="none" w:sz="0" w:space="0" w:color="auto"/>
        <w:left w:val="none" w:sz="0" w:space="0" w:color="auto"/>
        <w:bottom w:val="none" w:sz="0" w:space="0" w:color="auto"/>
        <w:right w:val="none" w:sz="0" w:space="0" w:color="auto"/>
      </w:divBdr>
    </w:div>
    <w:div w:id="1828671629">
      <w:bodyDiv w:val="1"/>
      <w:marLeft w:val="0"/>
      <w:marRight w:val="0"/>
      <w:marTop w:val="0"/>
      <w:marBottom w:val="0"/>
      <w:divBdr>
        <w:top w:val="none" w:sz="0" w:space="0" w:color="auto"/>
        <w:left w:val="none" w:sz="0" w:space="0" w:color="auto"/>
        <w:bottom w:val="none" w:sz="0" w:space="0" w:color="auto"/>
        <w:right w:val="none" w:sz="0" w:space="0" w:color="auto"/>
      </w:divBdr>
    </w:div>
    <w:div w:id="1975209448">
      <w:bodyDiv w:val="1"/>
      <w:marLeft w:val="0"/>
      <w:marRight w:val="0"/>
      <w:marTop w:val="0"/>
      <w:marBottom w:val="0"/>
      <w:divBdr>
        <w:top w:val="none" w:sz="0" w:space="0" w:color="auto"/>
        <w:left w:val="none" w:sz="0" w:space="0" w:color="auto"/>
        <w:bottom w:val="none" w:sz="0" w:space="0" w:color="auto"/>
        <w:right w:val="none" w:sz="0" w:space="0" w:color="auto"/>
      </w:divBdr>
      <w:divsChild>
        <w:div w:id="1633055124">
          <w:marLeft w:val="0"/>
          <w:marRight w:val="0"/>
          <w:marTop w:val="0"/>
          <w:marBottom w:val="0"/>
          <w:divBdr>
            <w:top w:val="none" w:sz="0" w:space="0" w:color="auto"/>
            <w:left w:val="none" w:sz="0" w:space="0" w:color="auto"/>
            <w:bottom w:val="none" w:sz="0" w:space="0" w:color="auto"/>
            <w:right w:val="none" w:sz="0" w:space="0" w:color="auto"/>
          </w:divBdr>
          <w:divsChild>
            <w:div w:id="829175584">
              <w:marLeft w:val="0"/>
              <w:marRight w:val="0"/>
              <w:marTop w:val="0"/>
              <w:marBottom w:val="0"/>
              <w:divBdr>
                <w:top w:val="none" w:sz="0" w:space="0" w:color="auto"/>
                <w:left w:val="none" w:sz="0" w:space="0" w:color="auto"/>
                <w:bottom w:val="none" w:sz="0" w:space="0" w:color="auto"/>
                <w:right w:val="none" w:sz="0" w:space="0" w:color="auto"/>
              </w:divBdr>
              <w:divsChild>
                <w:div w:id="18811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1370">
      <w:bodyDiv w:val="1"/>
      <w:marLeft w:val="0"/>
      <w:marRight w:val="0"/>
      <w:marTop w:val="0"/>
      <w:marBottom w:val="0"/>
      <w:divBdr>
        <w:top w:val="none" w:sz="0" w:space="0" w:color="auto"/>
        <w:left w:val="none" w:sz="0" w:space="0" w:color="auto"/>
        <w:bottom w:val="none" w:sz="0" w:space="0" w:color="auto"/>
        <w:right w:val="none" w:sz="0" w:space="0" w:color="auto"/>
      </w:divBdr>
      <w:divsChild>
        <w:div w:id="2047170346">
          <w:marLeft w:val="0"/>
          <w:marRight w:val="0"/>
          <w:marTop w:val="0"/>
          <w:marBottom w:val="0"/>
          <w:divBdr>
            <w:top w:val="none" w:sz="0" w:space="0" w:color="auto"/>
            <w:left w:val="none" w:sz="0" w:space="0" w:color="auto"/>
            <w:bottom w:val="none" w:sz="0" w:space="0" w:color="auto"/>
            <w:right w:val="none" w:sz="0" w:space="0" w:color="auto"/>
          </w:divBdr>
          <w:divsChild>
            <w:div w:id="1834224444">
              <w:marLeft w:val="0"/>
              <w:marRight w:val="0"/>
              <w:marTop w:val="0"/>
              <w:marBottom w:val="0"/>
              <w:divBdr>
                <w:top w:val="none" w:sz="0" w:space="0" w:color="auto"/>
                <w:left w:val="none" w:sz="0" w:space="0" w:color="auto"/>
                <w:bottom w:val="none" w:sz="0" w:space="0" w:color="auto"/>
                <w:right w:val="none" w:sz="0" w:space="0" w:color="auto"/>
              </w:divBdr>
              <w:divsChild>
                <w:div w:id="11186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commons.brockport.edu/phil_ex/vol47/iss1/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9474</Words>
  <Characters>54003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63351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Rupert</dc:creator>
  <cp:keywords/>
  <dc:description/>
  <cp:lastModifiedBy>Robert D Rupert</cp:lastModifiedBy>
  <cp:revision>2</cp:revision>
  <cp:lastPrinted>2018-10-22T18:31:00Z</cp:lastPrinted>
  <dcterms:created xsi:type="dcterms:W3CDTF">2018-12-27T17:03:00Z</dcterms:created>
  <dcterms:modified xsi:type="dcterms:W3CDTF">2018-12-27T17:03:00Z</dcterms:modified>
</cp:coreProperties>
</file>