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43306" w14:textId="77777777" w:rsidR="00A82A0A" w:rsidRPr="006F1EFB" w:rsidRDefault="006F1EFB" w:rsidP="006F1EFB">
      <w:pPr>
        <w:pStyle w:val="Standard"/>
        <w:spacing w:line="240" w:lineRule="auto"/>
        <w:jc w:val="center"/>
        <w:rPr>
          <w:sz w:val="28"/>
          <w:szCs w:val="28"/>
        </w:rPr>
      </w:pPr>
      <w:r w:rsidRPr="006F1EFB">
        <w:rPr>
          <w:sz w:val="28"/>
          <w:szCs w:val="28"/>
        </w:rPr>
        <w:t>The Sufficiency of Objective Representation</w:t>
      </w:r>
    </w:p>
    <w:p w14:paraId="1126412D" w14:textId="77777777" w:rsidR="006F1EFB" w:rsidRDefault="006F1EFB" w:rsidP="006F1EFB">
      <w:pPr>
        <w:pStyle w:val="Standard"/>
        <w:spacing w:line="240" w:lineRule="auto"/>
        <w:jc w:val="center"/>
      </w:pPr>
      <w:r>
        <w:t>Robert D. Rupert</w:t>
      </w:r>
    </w:p>
    <w:p w14:paraId="039F2694" w14:textId="77777777" w:rsidR="006F1EFB" w:rsidRDefault="006F1EFB" w:rsidP="006F1EFB">
      <w:pPr>
        <w:pStyle w:val="Standard"/>
        <w:spacing w:line="240" w:lineRule="auto"/>
        <w:jc w:val="center"/>
      </w:pPr>
      <w:bookmarkStart w:id="0" w:name="_GoBack"/>
      <w:bookmarkEnd w:id="0"/>
    </w:p>
    <w:p w14:paraId="76D09F09" w14:textId="73384984" w:rsidR="007362D0" w:rsidRDefault="00017009" w:rsidP="007362D0">
      <w:pPr>
        <w:pStyle w:val="Standard"/>
        <w:jc w:val="center"/>
      </w:pPr>
      <w:r>
        <w:t xml:space="preserve">I. </w:t>
      </w:r>
      <w:r w:rsidR="007362D0">
        <w:t>Introduction</w:t>
      </w:r>
      <w:r>
        <w:t xml:space="preserve"> and methodology</w:t>
      </w:r>
    </w:p>
    <w:p w14:paraId="0B97BD55" w14:textId="06D6E40B" w:rsidR="006F1EFB" w:rsidRDefault="00774A15" w:rsidP="006F1EFB">
      <w:pPr>
        <w:pStyle w:val="Standard"/>
      </w:pPr>
      <w:r>
        <w:t>Over the past half century,</w:t>
      </w:r>
      <w:r w:rsidR="00A52D11">
        <w:t xml:space="preserve"> prevailing views about</w:t>
      </w:r>
      <w:r w:rsidR="006F1EFB">
        <w:t xml:space="preserve"> mental repr</w:t>
      </w:r>
      <w:r w:rsidR="00A52D11">
        <w:t>esentation have</w:t>
      </w:r>
      <w:r>
        <w:t xml:space="preserve"> undergone a series of drastic changes. </w:t>
      </w:r>
      <w:r w:rsidR="006F1EFB">
        <w:t>Wittgensteinians and behaviorist psychologists made denial respecta</w:t>
      </w:r>
      <w:r w:rsidR="00A52D11">
        <w:t>ble, deriding the idea of mental representations as confusion borne of a category mistake or as unverifiable nonsense.</w:t>
      </w:r>
      <w:r w:rsidR="006F1EFB">
        <w:t xml:space="preserve"> </w:t>
      </w:r>
      <w:r w:rsidR="00A52D11">
        <w:t>T</w:t>
      </w:r>
      <w:r w:rsidR="006F1EFB">
        <w:t>he cognitivist revolution</w:t>
      </w:r>
      <w:r>
        <w:t xml:space="preserve"> ushered</w:t>
      </w:r>
      <w:r w:rsidR="00811A89">
        <w:t xml:space="preserve"> in</w:t>
      </w:r>
      <w:r w:rsidR="008D7098">
        <w:t xml:space="preserve"> a</w:t>
      </w:r>
      <w:r w:rsidR="006F1EFB">
        <w:t xml:space="preserve"> realism about men</w:t>
      </w:r>
      <w:r w:rsidR="0019436E">
        <w:t>tal representations, eventually giving rise to</w:t>
      </w:r>
      <w:r w:rsidR="006F1EFB">
        <w:t xml:space="preserve"> dogged and ballyhooed attempts to “naturalize” the semantics of mental representations</w:t>
      </w:r>
      <w:r w:rsidR="0019436E">
        <w:t xml:space="preserve"> (</w:t>
      </w:r>
      <w:r w:rsidR="006F1EFB">
        <w:t>by explicating the representation-determining relation between psychologically</w:t>
      </w:r>
      <w:r w:rsidR="008D7098">
        <w:t xml:space="preserve"> – and physically –</w:t>
      </w:r>
      <w:r w:rsidR="006F1EFB">
        <w:t xml:space="preserve"> real i</w:t>
      </w:r>
      <w:r w:rsidR="002C4337">
        <w:t xml:space="preserve">nternal entities and the </w:t>
      </w:r>
      <w:r w:rsidR="006F1EFB">
        <w:t>properties, kinds, or individuals in the env</w:t>
      </w:r>
      <w:r w:rsidR="00811A89">
        <w:t>ironment</w:t>
      </w:r>
      <w:r w:rsidR="002C4337">
        <w:t xml:space="preserve"> represented by those entities</w:t>
      </w:r>
      <w:r w:rsidR="0019436E">
        <w:t>)</w:t>
      </w:r>
      <w:r w:rsidR="00B10870">
        <w:t xml:space="preserve"> (see Dretske 1981, 1988, Fodor 1987, 1990, Millikan 1984, among many others)</w:t>
      </w:r>
      <w:r w:rsidR="002C4337">
        <w:t>. Over</w:t>
      </w:r>
      <w:r w:rsidR="00811A89">
        <w:t xml:space="preserve"> the past two decades, discussion of</w:t>
      </w:r>
      <w:r w:rsidR="006F1EFB">
        <w:t xml:space="preserve"> </w:t>
      </w:r>
      <w:r w:rsidR="0019436E">
        <w:t xml:space="preserve">a subjective, </w:t>
      </w:r>
      <w:r w:rsidR="006F1EFB">
        <w:t>fully internal</w:t>
      </w:r>
      <w:r w:rsidR="0019436E">
        <w:t xml:space="preserve"> form of</w:t>
      </w:r>
      <w:r w:rsidR="00811A89">
        <w:t xml:space="preserve"> representation has blossomed, driven by the assumption that we should take at face value</w:t>
      </w:r>
      <w:r w:rsidR="00E551FF">
        <w:t xml:space="preserve"> direct introspective awareness </w:t>
      </w:r>
      <w:r w:rsidR="00811A89">
        <w:t>of something that seems like meaning, content, or representation</w:t>
      </w:r>
      <w:r w:rsidR="00E551FF">
        <w:t>.</w:t>
      </w:r>
    </w:p>
    <w:p w14:paraId="3647EDAE" w14:textId="3D5D4493" w:rsidR="002D44A2" w:rsidRDefault="006F1EFB" w:rsidP="006F1EFB">
      <w:pPr>
        <w:pStyle w:val="Standard"/>
      </w:pPr>
      <w:r>
        <w:t xml:space="preserve">     This whirlwind history runs r</w:t>
      </w:r>
      <w:r w:rsidR="00861309">
        <w:t>oughshod over many distinctions, one of which is parti</w:t>
      </w:r>
      <w:r w:rsidR="0019436E">
        <w:t>cularly relevant to position laid out below</w:t>
      </w:r>
      <w:r w:rsidR="00861309">
        <w:t xml:space="preserve">. </w:t>
      </w:r>
      <w:r w:rsidR="00D7560D">
        <w:t>M</w:t>
      </w:r>
      <w:r w:rsidR="00811A89">
        <w:t xml:space="preserve">id-century </w:t>
      </w:r>
      <w:r w:rsidR="00811A89" w:rsidRPr="002C4337">
        <w:t>philosophers</w:t>
      </w:r>
      <w:r w:rsidR="00811A89">
        <w:t xml:space="preserve"> </w:t>
      </w:r>
      <w:r w:rsidR="00D7560D">
        <w:t>tended to dismiss</w:t>
      </w:r>
      <w:r w:rsidR="00811A89">
        <w:t xml:space="preserve"> talk of psychologically real me</w:t>
      </w:r>
      <w:r w:rsidR="0019436E">
        <w:t>ntal representations</w:t>
      </w:r>
      <w:r w:rsidR="00D7560D">
        <w:t xml:space="preserve"> on conceptual grounds</w:t>
      </w:r>
      <w:r w:rsidR="0019436E">
        <w:t>: mental represen</w:t>
      </w:r>
      <w:r w:rsidR="008D7098">
        <w:t>tations have meaning, meaning is partly constituted by</w:t>
      </w:r>
      <w:r w:rsidR="0019436E">
        <w:t xml:space="preserve"> normative</w:t>
      </w:r>
      <w:r w:rsidR="008D7098">
        <w:t xml:space="preserve"> constraints</w:t>
      </w:r>
      <w:r w:rsidR="0019436E">
        <w:t xml:space="preserve">, </w:t>
      </w:r>
      <w:r w:rsidR="008D7098">
        <w:t xml:space="preserve">and </w:t>
      </w:r>
      <w:r w:rsidR="0019436E">
        <w:t>normative constraint</w:t>
      </w:r>
      <w:r w:rsidR="00D7560D">
        <w:t>s are public;</w:t>
      </w:r>
      <w:r w:rsidR="0019436E">
        <w:t xml:space="preserve"> </w:t>
      </w:r>
      <w:r w:rsidR="00D7560D">
        <w:t xml:space="preserve">so, </w:t>
      </w:r>
      <w:r w:rsidR="0019436E">
        <w:t xml:space="preserve">assuming that mental representations are internal by definition, there are no mental </w:t>
      </w:r>
      <w:r w:rsidR="00D7560D">
        <w:t>re</w:t>
      </w:r>
      <w:r w:rsidR="008D7098">
        <w:t>presentations (Wittgenstein 195</w:t>
      </w:r>
      <w:r w:rsidR="003112F5">
        <w:t>3</w:t>
      </w:r>
      <w:r w:rsidR="0019436E">
        <w:t>)</w:t>
      </w:r>
      <w:r w:rsidR="00861309">
        <w:t>.</w:t>
      </w:r>
      <w:r w:rsidR="00E551FF">
        <w:t xml:space="preserve"> In contrast, behavi</w:t>
      </w:r>
      <w:r w:rsidR="008D7098">
        <w:t>orist</w:t>
      </w:r>
      <w:r w:rsidR="00E551FF">
        <w:t xml:space="preserve"> psychologists</w:t>
      </w:r>
      <w:r w:rsidR="00811A89">
        <w:t xml:space="preserve"> avoided talk of mental representation on </w:t>
      </w:r>
      <w:r w:rsidR="00861309">
        <w:t>methodological grounds; by their</w:t>
      </w:r>
      <w:r w:rsidR="0019436E">
        <w:t xml:space="preserve"> lights, there</w:t>
      </w:r>
      <w:r w:rsidR="00E551FF">
        <w:t xml:space="preserve"> was</w:t>
      </w:r>
      <w:r w:rsidR="00811A89">
        <w:t xml:space="preserve"> no em</w:t>
      </w:r>
      <w:r w:rsidR="00E551FF">
        <w:t>pirically legitimate way to study</w:t>
      </w:r>
      <w:r w:rsidR="00811A89">
        <w:t xml:space="preserve"> internal mental entities and, </w:t>
      </w:r>
      <w:r w:rsidR="00E551FF">
        <w:t>much</w:t>
      </w:r>
      <w:r w:rsidR="00811A89">
        <w:t xml:space="preserve"> more importantly,</w:t>
      </w:r>
      <w:r w:rsidR="00D7560D">
        <w:t xml:space="preserve"> they</w:t>
      </w:r>
      <w:r w:rsidR="00811A89">
        <w:t xml:space="preserve"> thought they had a way of accounting for the </w:t>
      </w:r>
      <w:r w:rsidR="00811A89">
        <w:lastRenderedPageBreak/>
        <w:t>data without invoking mental representations</w:t>
      </w:r>
      <w:r w:rsidR="002271EC">
        <w:t xml:space="preserve"> (Skinner 1957</w:t>
      </w:r>
      <w:r w:rsidR="0019436E">
        <w:t>)</w:t>
      </w:r>
      <w:r w:rsidR="00811A89">
        <w:t>.</w:t>
      </w:r>
      <w:r w:rsidR="002C4337">
        <w:t xml:space="preserve"> A simple applic</w:t>
      </w:r>
      <w:r w:rsidR="008D7098">
        <w:t>ation of Ockham’s razor cut mental representations</w:t>
      </w:r>
      <w:r w:rsidR="002C4337">
        <w:t xml:space="preserve"> out of the behaviorist tool-kit. </w:t>
      </w:r>
      <w:r w:rsidR="008D7098">
        <w:t>The cognitivist revolution rose on s</w:t>
      </w:r>
      <w:r w:rsidR="002C4337">
        <w:t xml:space="preserve">imilarly </w:t>
      </w:r>
      <w:r w:rsidR="00D7560D">
        <w:t>contrast</w:t>
      </w:r>
      <w:r w:rsidR="008D7098">
        <w:t>ing motivations</w:t>
      </w:r>
      <w:r w:rsidR="00D7560D">
        <w:t>. S</w:t>
      </w:r>
      <w:r w:rsidR="00861309">
        <w:t>ome p</w:t>
      </w:r>
      <w:r w:rsidR="00E551FF">
        <w:t>hilosophers</w:t>
      </w:r>
      <w:r w:rsidR="0019436E">
        <w:t xml:space="preserve"> abandoned behaviorism because it did not</w:t>
      </w:r>
      <w:r w:rsidR="00E551FF">
        <w:t xml:space="preserve"> countenance the first-person perspectiv</w:t>
      </w:r>
      <w:r w:rsidR="00D7560D">
        <w:t>e (</w:t>
      </w:r>
      <w:r w:rsidR="002D6B9C">
        <w:t>Putnam’s super-</w:t>
      </w:r>
      <w:r w:rsidR="00A431E9">
        <w:t>Spartans</w:t>
      </w:r>
      <w:r w:rsidR="002D6B9C">
        <w:t>)</w:t>
      </w:r>
      <w:r w:rsidR="00D7560D">
        <w:t>.</w:t>
      </w:r>
      <w:r w:rsidR="00E551FF">
        <w:t xml:space="preserve"> Others, howev</w:t>
      </w:r>
      <w:r w:rsidR="00D7560D">
        <w:t>er, put no special emphasis on the</w:t>
      </w:r>
      <w:r w:rsidR="00E551FF">
        <w:t xml:space="preserve"> firs</w:t>
      </w:r>
      <w:r w:rsidR="002D6B9C">
        <w:t>t-person perspective; they</w:t>
      </w:r>
      <w:r w:rsidR="002C4337">
        <w:t xml:space="preserve"> argued that </w:t>
      </w:r>
      <w:r w:rsidR="00E551FF">
        <w:t>one c</w:t>
      </w:r>
      <w:r w:rsidR="002D6B9C">
        <w:t>ould</w:t>
      </w:r>
      <w:r w:rsidR="002C4337">
        <w:t xml:space="preserve"> not</w:t>
      </w:r>
      <w:r w:rsidR="002D6B9C">
        <w:t xml:space="preserve"> do justice to the empirical data</w:t>
      </w:r>
      <w:r w:rsidR="00E551FF">
        <w:t xml:space="preserve"> – </w:t>
      </w:r>
      <w:r w:rsidR="002D6B9C">
        <w:t xml:space="preserve">about </w:t>
      </w:r>
      <w:r w:rsidR="00E551FF">
        <w:t>language acquisition, for example – without positing internal representational units (Chomsky</w:t>
      </w:r>
      <w:r w:rsidR="00416CA5">
        <w:t xml:space="preserve"> 1959</w:t>
      </w:r>
      <w:r w:rsidR="00D7560D">
        <w:t>, Fodor 1975</w:t>
      </w:r>
      <w:r w:rsidR="00E551FF">
        <w:t>).</w:t>
      </w:r>
      <w:r w:rsidR="00D7560D">
        <w:t xml:space="preserve"> </w:t>
      </w:r>
    </w:p>
    <w:p w14:paraId="287EB883" w14:textId="77777777" w:rsidR="008D7098" w:rsidRDefault="002D44A2" w:rsidP="006F1EFB">
      <w:pPr>
        <w:pStyle w:val="Standard"/>
      </w:pPr>
      <w:r>
        <w:t xml:space="preserve">     </w:t>
      </w:r>
      <w:r w:rsidR="00D7560D">
        <w:t>Recent developments have a different flavor, however.</w:t>
      </w:r>
      <w:r w:rsidR="00E551FF">
        <w:t xml:space="preserve"> The proliferation of</w:t>
      </w:r>
      <w:r w:rsidR="002C4337">
        <w:t xml:space="preserve"> books and</w:t>
      </w:r>
      <w:r w:rsidR="00E551FF">
        <w:t xml:space="preserve"> articles about consciousness – </w:t>
      </w:r>
      <w:r w:rsidR="002C4337">
        <w:t xml:space="preserve">about </w:t>
      </w:r>
      <w:r w:rsidR="00E551FF">
        <w:t>Mary the superscientist (Jackson</w:t>
      </w:r>
      <w:r w:rsidR="008D7098">
        <w:t xml:space="preserve"> 1982</w:t>
      </w:r>
      <w:r w:rsidR="00E551FF">
        <w:t>), the explanatory gap (Levine</w:t>
      </w:r>
      <w:r w:rsidR="008D7098">
        <w:t xml:space="preserve"> 1983</w:t>
      </w:r>
      <w:r w:rsidR="00E551FF">
        <w:t>), phenomenal consciousness</w:t>
      </w:r>
      <w:r w:rsidR="002C4337">
        <w:t xml:space="preserve"> (Block</w:t>
      </w:r>
      <w:r w:rsidR="008D7098">
        <w:t xml:space="preserve"> 1995</w:t>
      </w:r>
      <w:r w:rsidR="002B2AFE">
        <w:t>)</w:t>
      </w:r>
      <w:r w:rsidR="00E551FF">
        <w:t>, and the Zombi</w:t>
      </w:r>
      <w:r w:rsidR="00D7560D">
        <w:t>e-motivated</w:t>
      </w:r>
      <w:r w:rsidR="00E551FF">
        <w:t xml:space="preserve"> hard problem</w:t>
      </w:r>
      <w:r w:rsidR="002C4337">
        <w:t xml:space="preserve"> (Chalmers 1996)</w:t>
      </w:r>
      <w:r w:rsidR="00E551FF">
        <w:t xml:space="preserve"> –</w:t>
      </w:r>
      <w:r w:rsidR="008D7098">
        <w:t xml:space="preserve"> aroused </w:t>
      </w:r>
      <w:r w:rsidR="00E551FF">
        <w:t xml:space="preserve">dissatisfaction </w:t>
      </w:r>
      <w:r w:rsidR="002B2AFE">
        <w:t>with the cognitivist compromise; functionally defined mental representations</w:t>
      </w:r>
      <w:r w:rsidR="008D7098">
        <w:t>,</w:t>
      </w:r>
      <w:r w:rsidR="002B2AFE">
        <w:t xml:space="preserve"> and their relations to external entities they tracked, left cold those</w:t>
      </w:r>
      <w:r w:rsidR="008D7098">
        <w:t xml:space="preserve"> who impressed by</w:t>
      </w:r>
      <w:r w:rsidR="002B2AFE">
        <w:t xml:space="preserve"> the apparently rich experiential contents of their own inner</w:t>
      </w:r>
      <w:r>
        <w:t>,</w:t>
      </w:r>
      <w:r w:rsidR="002B2AFE">
        <w:t xml:space="preserve"> </w:t>
      </w:r>
      <w:r>
        <w:t xml:space="preserve">mental </w:t>
      </w:r>
      <w:r w:rsidR="002B2AFE">
        <w:t>lives.</w:t>
      </w:r>
      <w:r w:rsidR="00D7560D">
        <w:t xml:space="preserve"> </w:t>
      </w:r>
      <w:r w:rsidR="002D6B9C">
        <w:t>T</w:t>
      </w:r>
      <w:r w:rsidR="00E551FF">
        <w:t>h</w:t>
      </w:r>
      <w:r w:rsidR="002C4337">
        <w:t xml:space="preserve">is most recent transition – </w:t>
      </w:r>
      <w:r w:rsidR="008D7098">
        <w:t xml:space="preserve">to </w:t>
      </w:r>
      <w:r w:rsidR="00E551FF">
        <w:t>consciousness-based disc</w:t>
      </w:r>
      <w:r w:rsidR="00D7560D">
        <w:t>u</w:t>
      </w:r>
      <w:r w:rsidR="002D6B9C">
        <w:t>ssions of mental representation</w:t>
      </w:r>
      <w:r w:rsidR="002C4337">
        <w:t xml:space="preserve"> –</w:t>
      </w:r>
      <w:r w:rsidR="002D6B9C">
        <w:t xml:space="preserve"> lacks naturalistic motivation,</w:t>
      </w:r>
      <w:r w:rsidR="002D6B9C">
        <w:rPr>
          <w:rStyle w:val="FootnoteReference"/>
        </w:rPr>
        <w:footnoteReference w:id="1"/>
      </w:r>
      <w:r w:rsidR="002D6B9C">
        <w:t xml:space="preserve"> though</w:t>
      </w:r>
      <w:r w:rsidR="00D7560D">
        <w:t>, and</w:t>
      </w:r>
      <w:r w:rsidR="002C4337">
        <w:t>,</w:t>
      </w:r>
      <w:r w:rsidR="00D7560D">
        <w:t xml:space="preserve"> in my opinion, this is telling</w:t>
      </w:r>
      <w:r>
        <w:t xml:space="preserve">. </w:t>
      </w:r>
    </w:p>
    <w:p w14:paraId="5530FDEE" w14:textId="3C1AD786" w:rsidR="00861309" w:rsidRDefault="008D7098" w:rsidP="006F1EFB">
      <w:pPr>
        <w:pStyle w:val="Standard"/>
      </w:pPr>
      <w:r>
        <w:t xml:space="preserve">     </w:t>
      </w:r>
      <w:r w:rsidR="002B2AFE">
        <w:t>The behaviorist rejection of introspectionism in psychology was mea</w:t>
      </w:r>
      <w:r w:rsidR="00D7560D">
        <w:t>nt to express a scientific urge</w:t>
      </w:r>
      <w:r w:rsidR="002B2AFE">
        <w:t>, as was the introduction of intern</w:t>
      </w:r>
      <w:r w:rsidR="00D7560D">
        <w:t xml:space="preserve">al mental </w:t>
      </w:r>
      <w:r w:rsidR="00A431E9">
        <w:t>representations</w:t>
      </w:r>
      <w:r w:rsidR="00D7560D">
        <w:t xml:space="preserve"> by </w:t>
      </w:r>
      <w:r w:rsidR="002B2AFE">
        <w:t>nativist linguist</w:t>
      </w:r>
      <w:r w:rsidR="00D7560D">
        <w:t>s</w:t>
      </w:r>
      <w:r w:rsidR="002B2AFE">
        <w:t xml:space="preserve"> and memory scientist</w:t>
      </w:r>
      <w:r w:rsidR="00416CA5">
        <w:t>s (e.g., Miller 1956</w:t>
      </w:r>
      <w:r w:rsidR="00D7560D">
        <w:t>). The cognitivists</w:t>
      </w:r>
      <w:r w:rsidR="002B2AFE">
        <w:t xml:space="preserve"> embraced Ock</w:t>
      </w:r>
      <w:r w:rsidR="00D7560D">
        <w:t>h</w:t>
      </w:r>
      <w:r w:rsidR="002B2AFE">
        <w:t>am</w:t>
      </w:r>
      <w:r w:rsidR="00D7560D">
        <w:t>’s razor no less than the behaviorists</w:t>
      </w:r>
      <w:r w:rsidR="002D6B9C">
        <w:t>; rather, they disagreed with behaviorists regarding what theoretical posits were necessary to account for</w:t>
      </w:r>
      <w:r w:rsidR="002B2AFE">
        <w:t xml:space="preserve"> the empirical da</w:t>
      </w:r>
      <w:r w:rsidR="002D44A2">
        <w:t>ta.</w:t>
      </w:r>
      <w:r>
        <w:t xml:space="preserve"> </w:t>
      </w:r>
      <w:r w:rsidR="008D3112">
        <w:t>This seems to me to be the ri</w:t>
      </w:r>
      <w:r w:rsidR="00105079">
        <w:t>ght strategy, one that I pursu</w:t>
      </w:r>
      <w:r w:rsidR="002827CB">
        <w:t>e in the remainder</w:t>
      </w:r>
      <w:r w:rsidR="008D3112">
        <w:t>. Ockham’s razor</w:t>
      </w:r>
      <w:r w:rsidR="002D6B9C">
        <w:t xml:space="preserve"> – together with the long history of successful naturalistic theorizing –</w:t>
      </w:r>
      <w:r w:rsidR="008D3112">
        <w:t xml:space="preserve"> recommends that we</w:t>
      </w:r>
      <w:r w:rsidR="002D44A2">
        <w:t xml:space="preserve"> make</w:t>
      </w:r>
      <w:r w:rsidR="005E68AE">
        <w:t xml:space="preserve"> a serious attempt to account for</w:t>
      </w:r>
      <w:r w:rsidR="008D3112">
        <w:t xml:space="preserve"> the </w:t>
      </w:r>
      <w:r w:rsidR="005E68AE">
        <w:t>data that drive the subjective turn without</w:t>
      </w:r>
      <w:r w:rsidR="008D3112">
        <w:t xml:space="preserve"> </w:t>
      </w:r>
      <w:r w:rsidR="005E68AE">
        <w:t xml:space="preserve">positing any new form of </w:t>
      </w:r>
      <w:r w:rsidR="00105079">
        <w:t>mental representation. This data</w:t>
      </w:r>
      <w:r w:rsidR="005E68AE">
        <w:t xml:space="preserve"> (which I refer to as the ‘relevant data’ or the ‘data in question’ in what follows) consists primarily of</w:t>
      </w:r>
      <w:r w:rsidR="00105079">
        <w:t xml:space="preserve"> the ways that philosophers express their convi</w:t>
      </w:r>
      <w:r>
        <w:t>ction that there is a distinctive</w:t>
      </w:r>
      <w:r w:rsidR="00105079">
        <w:t xml:space="preserve"> category of representation or meaning</w:t>
      </w:r>
      <w:r w:rsidR="005E68AE">
        <w:t>:</w:t>
      </w:r>
      <w:r w:rsidR="00105079">
        <w:t xml:space="preserve"> subjective or internalist content. </w:t>
      </w:r>
      <w:r w:rsidR="002D44A2">
        <w:t>I shall insist, however, that a</w:t>
      </w:r>
      <w:r w:rsidR="00105079">
        <w:t>ccounting for these rep</w:t>
      </w:r>
      <w:r w:rsidR="005E68AE">
        <w:t xml:space="preserve">orts is </w:t>
      </w:r>
      <w:r w:rsidR="00A431E9">
        <w:t>decidedly</w:t>
      </w:r>
      <w:r w:rsidR="005E68AE">
        <w:t xml:space="preserve"> not</w:t>
      </w:r>
      <w:r w:rsidR="00105079">
        <w:t xml:space="preserve"> the burden of an objective notion of mental content</w:t>
      </w:r>
      <w:r w:rsidR="00FC3278">
        <w:t xml:space="preserve"> alone. I</w:t>
      </w:r>
      <w:r w:rsidR="002D44A2">
        <w:t xml:space="preserve">n order to account, for example, for the judgments </w:t>
      </w:r>
      <w:r w:rsidR="00FC3278">
        <w:t>about possibility philosophers issue in the face of thought experiments,</w:t>
      </w:r>
      <w:r w:rsidR="002D44A2">
        <w:t xml:space="preserve"> one</w:t>
      </w:r>
      <w:r w:rsidR="005E68AE">
        <w:t xml:space="preserve"> must advert to theories of cognitive p</w:t>
      </w:r>
      <w:r>
        <w:t xml:space="preserve">rocessing, broadly speaking; but </w:t>
      </w:r>
      <w:r w:rsidR="005E68AE">
        <w:t>this is no strike against the sufficiency of objective content, for</w:t>
      </w:r>
      <w:r w:rsidR="00FC3278">
        <w:t xml:space="preserve">, </w:t>
      </w:r>
      <w:r w:rsidR="00105079">
        <w:t>historically</w:t>
      </w:r>
      <w:r w:rsidR="00FC3278">
        <w:t>,</w:t>
      </w:r>
      <w:r w:rsidR="005E68AE">
        <w:t xml:space="preserve"> theories of processing have been part of the </w:t>
      </w:r>
      <w:r w:rsidR="00105079">
        <w:t xml:space="preserve">theoretical package that includes </w:t>
      </w:r>
      <w:r w:rsidR="005E68AE">
        <w:t xml:space="preserve">mental representations with </w:t>
      </w:r>
      <w:r w:rsidR="00105079">
        <w:t>objective m</w:t>
      </w:r>
      <w:r>
        <w:t>ental content. A</w:t>
      </w:r>
      <w:r w:rsidR="00105079">
        <w:t>ppeals to objective content alone do not account fo</w:t>
      </w:r>
      <w:r w:rsidR="005E68AE">
        <w:t>r the relevant data</w:t>
      </w:r>
      <w:r w:rsidR="00FC3278">
        <w:t>, but</w:t>
      </w:r>
      <w:r w:rsidR="00105079">
        <w:t xml:space="preserve"> they were never meant t</w:t>
      </w:r>
      <w:r w:rsidR="00FD1869">
        <w:t>o. Objective theories of</w:t>
      </w:r>
      <w:r w:rsidR="007362D0">
        <w:t xml:space="preserve"> </w:t>
      </w:r>
      <w:r w:rsidR="00FD1869">
        <w:t xml:space="preserve">representational </w:t>
      </w:r>
      <w:r w:rsidR="007362D0">
        <w:t xml:space="preserve">content attribute content to </w:t>
      </w:r>
      <w:r w:rsidR="00105079">
        <w:t>units that play a role in cognitive or mental processes; and the char</w:t>
      </w:r>
      <w:r w:rsidR="005E68AE">
        <w:t>acteristics of these processes explain much of</w:t>
      </w:r>
      <w:r w:rsidR="00105079">
        <w:t xml:space="preserve"> the </w:t>
      </w:r>
      <w:r w:rsidR="005E68AE">
        <w:t xml:space="preserve">relevant </w:t>
      </w:r>
      <w:r w:rsidR="00105079">
        <w:t>data</w:t>
      </w:r>
      <w:r w:rsidR="005E68AE">
        <w:t xml:space="preserve">: </w:t>
      </w:r>
      <w:r w:rsidR="00105079">
        <w:t>the reports of introspective access to states with a special sort of subjective content or reports of intuitions (or jud</w:t>
      </w:r>
      <w:r w:rsidR="00FD1869">
        <w:t xml:space="preserve">gments) – about thought experiments, for instance – </w:t>
      </w:r>
      <w:r w:rsidR="00105079">
        <w:t xml:space="preserve">that would seem to support a </w:t>
      </w:r>
      <w:r w:rsidR="007362D0">
        <w:t>notion of internalist, su</w:t>
      </w:r>
      <w:r w:rsidR="005E68AE">
        <w:t xml:space="preserve">bjective content. So, </w:t>
      </w:r>
      <w:r w:rsidR="007362D0">
        <w:t xml:space="preserve">theories of </w:t>
      </w:r>
      <w:r w:rsidR="005E68AE">
        <w:t xml:space="preserve">objective content, as theories of </w:t>
      </w:r>
      <w:r w:rsidR="007362D0" w:rsidRPr="005E68AE">
        <w:t>content</w:t>
      </w:r>
      <w:r w:rsidR="005E68AE">
        <w:t xml:space="preserve"> for mental representations,</w:t>
      </w:r>
      <w:r w:rsidR="007362D0">
        <w:t xml:space="preserve"> needn’t be supplemented at</w:t>
      </w:r>
      <w:r w:rsidR="005E68AE">
        <w:t xml:space="preserve"> all</w:t>
      </w:r>
      <w:r w:rsidR="007362D0">
        <w:t>; they need only be placed in a package with the kinds of</w:t>
      </w:r>
      <w:r w:rsidR="00FD1869">
        <w:t xml:space="preserve"> theoretical elements that </w:t>
      </w:r>
      <w:r w:rsidR="007362D0">
        <w:t>normally accom</w:t>
      </w:r>
      <w:r w:rsidR="00FC3278">
        <w:t>p</w:t>
      </w:r>
      <w:r w:rsidR="007362D0">
        <w:t>any</w:t>
      </w:r>
      <w:r w:rsidR="00FD1869">
        <w:t xml:space="preserve"> them</w:t>
      </w:r>
      <w:r w:rsidR="007362D0">
        <w:t xml:space="preserve"> in psychological modeling; that package </w:t>
      </w:r>
      <w:r w:rsidR="005E68AE">
        <w:t>contains</w:t>
      </w:r>
      <w:r w:rsidR="00FD1869">
        <w:t xml:space="preserve"> only objective content, and thereby</w:t>
      </w:r>
      <w:r w:rsidR="00FC3278">
        <w:t xml:space="preserve"> contains</w:t>
      </w:r>
      <w:r w:rsidR="005E68AE">
        <w:t xml:space="preserve"> all the content</w:t>
      </w:r>
      <w:r w:rsidR="00FC3278">
        <w:t xml:space="preserve"> needed</w:t>
      </w:r>
      <w:r w:rsidR="007362D0">
        <w:t>.</w:t>
      </w:r>
    </w:p>
    <w:p w14:paraId="51693D6B" w14:textId="6A9BD6FE" w:rsidR="00017009" w:rsidRDefault="007362D0" w:rsidP="00017009">
      <w:pPr>
        <w:pStyle w:val="Standard"/>
        <w:jc w:val="center"/>
      </w:pPr>
      <w:r>
        <w:t xml:space="preserve">II. </w:t>
      </w:r>
      <w:r w:rsidR="00017009">
        <w:t>Mental representation and objective content</w:t>
      </w:r>
    </w:p>
    <w:p w14:paraId="295091FD" w14:textId="76758C30" w:rsidR="00017009" w:rsidRDefault="00FD1869" w:rsidP="00017009">
      <w:pPr>
        <w:pStyle w:val="Standard"/>
      </w:pPr>
      <w:r>
        <w:t>As noted, t</w:t>
      </w:r>
      <w:r w:rsidR="00017009">
        <w:t>he cognitivist revolution ushered in a new era of realis</w:t>
      </w:r>
      <w:r w:rsidR="00FC3278">
        <w:t>m about ment</w:t>
      </w:r>
      <w:r>
        <w:t>al representations, and it did so</w:t>
      </w:r>
      <w:r w:rsidR="00FC3278">
        <w:t xml:space="preserve"> in conjun</w:t>
      </w:r>
      <w:r>
        <w:t>ction with an emerging computer</w:t>
      </w:r>
      <w:r w:rsidR="00FC3278">
        <w:t xml:space="preserve"> science</w:t>
      </w:r>
      <w:r w:rsidR="00257E7D">
        <w:t>. As a result, mental representations</w:t>
      </w:r>
      <w:r w:rsidR="00017009">
        <w:t xml:space="preserve"> were frequently referr</w:t>
      </w:r>
      <w:r>
        <w:t xml:space="preserve">ed to using the </w:t>
      </w:r>
      <w:r w:rsidR="00A431E9">
        <w:t>language</w:t>
      </w:r>
      <w:r>
        <w:t xml:space="preserve"> of</w:t>
      </w:r>
      <w:r w:rsidR="00017009">
        <w:t xml:space="preserve"> </w:t>
      </w:r>
      <w:r>
        <w:t>‘</w:t>
      </w:r>
      <w:r w:rsidR="00017009">
        <w:t>data</w:t>
      </w:r>
      <w:r w:rsidR="00257E7D">
        <w:t xml:space="preserve"> structures</w:t>
      </w:r>
      <w:r>
        <w:t>’</w:t>
      </w:r>
      <w:r w:rsidR="00257E7D">
        <w:t xml:space="preserve">, </w:t>
      </w:r>
      <w:r>
        <w:t>‘</w:t>
      </w:r>
      <w:r w:rsidR="00257E7D">
        <w:t>symbol strings</w:t>
      </w:r>
      <w:r>
        <w:t>’</w:t>
      </w:r>
      <w:r w:rsidR="00257E7D">
        <w:t>,</w:t>
      </w:r>
      <w:r w:rsidR="00017009">
        <w:t xml:space="preserve"> </w:t>
      </w:r>
      <w:r>
        <w:t>‘</w:t>
      </w:r>
      <w:r w:rsidR="00017009">
        <w:t>information-bearing states</w:t>
      </w:r>
      <w:r>
        <w:t>’</w:t>
      </w:r>
      <w:r w:rsidR="00257E7D">
        <w:t xml:space="preserve">, and </w:t>
      </w:r>
      <w:r>
        <w:t>‘</w:t>
      </w:r>
      <w:r w:rsidR="00257E7D">
        <w:t>machine tables</w:t>
      </w:r>
      <w:r>
        <w:t>’</w:t>
      </w:r>
      <w:r w:rsidR="00017009">
        <w:t>. Many of those who had functionalist leanings in philosophy of mind were inspired by computatio</w:t>
      </w:r>
      <w:r w:rsidR="00257E7D">
        <w:t>nal cognitive science (Fodor</w:t>
      </w:r>
      <w:r w:rsidR="00B10870">
        <w:t xml:space="preserve"> 1975</w:t>
      </w:r>
      <w:r w:rsidR="00257E7D">
        <w:t>)</w:t>
      </w:r>
      <w:r>
        <w:t>, and,</w:t>
      </w:r>
      <w:r w:rsidR="00017009">
        <w:t xml:space="preserve"> </w:t>
      </w:r>
      <w:r>
        <w:t xml:space="preserve">as a result, </w:t>
      </w:r>
      <w:r w:rsidR="00017009">
        <w:t>this langu</w:t>
      </w:r>
      <w:r w:rsidR="00257E7D">
        <w:t>age appeared in philosophical as well as scientific discourse. What would render</w:t>
      </w:r>
      <w:r w:rsidR="00E91149">
        <w:t xml:space="preserve"> such a structure a</w:t>
      </w:r>
      <w:r w:rsidR="00017009">
        <w:t xml:space="preserve"> representation, though? </w:t>
      </w:r>
      <w:r w:rsidR="00257E7D">
        <w:t xml:space="preserve">What makes it specifically representational? </w:t>
      </w:r>
      <w:r w:rsidR="00017009">
        <w:t xml:space="preserve">How, for example, should </w:t>
      </w:r>
      <w:r w:rsidR="00E91149">
        <w:t>we understand the idea that it has content?</w:t>
      </w:r>
    </w:p>
    <w:p w14:paraId="10E455F3" w14:textId="5873FA34" w:rsidR="00533A59" w:rsidRDefault="00E91149" w:rsidP="00017009">
      <w:pPr>
        <w:pStyle w:val="Standard"/>
      </w:pPr>
      <w:r>
        <w:t xml:space="preserve">     Think of this partly as a methodological puzzle (</w:t>
      </w:r>
      <w:r w:rsidR="00533A59">
        <w:t xml:space="preserve">Stich 1983, </w:t>
      </w:r>
      <w:r>
        <w:t xml:space="preserve">Fodor 1987). Scientific </w:t>
      </w:r>
      <w:r w:rsidR="00260B21">
        <w:t>procedure seems</w:t>
      </w:r>
      <w:r w:rsidR="00017009">
        <w:t xml:space="preserve"> to speak in favor of a so-called narrow methodology</w:t>
      </w:r>
      <w:r>
        <w:t>, one that focuses solely on the causal processes that eventuate in intelligent behavior. Giv</w:t>
      </w:r>
      <w:r w:rsidR="00FD1869">
        <w:t xml:space="preserve">en a generally localist assumption about causation, </w:t>
      </w:r>
      <w:r>
        <w:t>o</w:t>
      </w:r>
      <w:r w:rsidR="00260B21">
        <w:t>ne should expect the content of mental representations</w:t>
      </w:r>
      <w:r>
        <w:t xml:space="preserve"> to be determined fully by internal processes, at least if such content</w:t>
      </w:r>
      <w:r w:rsidR="00260B21">
        <w:t xml:space="preserve"> is to play a causal</w:t>
      </w:r>
      <w:r>
        <w:t xml:space="preserve"> role.</w:t>
      </w:r>
      <w:r w:rsidR="00FD1869">
        <w:t xml:space="preserve"> The proximal cause of behavior had better be inside the organism doing the behaving!</w:t>
      </w:r>
    </w:p>
    <w:p w14:paraId="6DE3CBBB" w14:textId="368D5701" w:rsidR="008B1B47" w:rsidRDefault="00260B21" w:rsidP="00017009">
      <w:pPr>
        <w:pStyle w:val="Standard"/>
      </w:pPr>
      <w:r>
        <w:t xml:space="preserve">     An inferential- or conceptual-role semantics</w:t>
      </w:r>
      <w:r w:rsidR="005F5186">
        <w:t xml:space="preserve"> offers one objective notion of representational content for internal states, objective in the sense that the content of a given mental representation is determined entirely by causal and struct</w:t>
      </w:r>
      <w:r w:rsidR="00FD1869">
        <w:t>ural relations that can be</w:t>
      </w:r>
      <w:r w:rsidR="005F5186">
        <w:t xml:space="preserve"> specified</w:t>
      </w:r>
      <w:r w:rsidR="00FD1869">
        <w:t xml:space="preserve"> fully</w:t>
      </w:r>
      <w:r w:rsidR="005F5186">
        <w:t>, and can</w:t>
      </w:r>
      <w:r w:rsidR="00FD1869">
        <w:t>,</w:t>
      </w:r>
      <w:r w:rsidR="005F5186">
        <w:t xml:space="preserve"> in principle</w:t>
      </w:r>
      <w:r w:rsidR="00FD1869">
        <w:t>,</w:t>
      </w:r>
      <w:r w:rsidR="005F5186">
        <w:t xml:space="preserve"> be measured determinately, from the third-person</w:t>
      </w:r>
      <w:r w:rsidR="00FD1869">
        <w:t>,</w:t>
      </w:r>
      <w:r w:rsidR="005F5186">
        <w:t xml:space="preserve"> sc</w:t>
      </w:r>
      <w:r>
        <w:t>ientific perspective.</w:t>
      </w:r>
      <w:r w:rsidR="008B1B47">
        <w:t xml:space="preserve"> On this view, the content of a mental representation is constituted entirely by some subset of the causal interactions it enters into (Block 1986). </w:t>
      </w:r>
      <w:r>
        <w:t>So far as I can tell</w:t>
      </w:r>
      <w:r w:rsidR="005F5186">
        <w:t>, the many shortcomings of such a view</w:t>
      </w:r>
      <w:r w:rsidR="00B91AA6">
        <w:t xml:space="preserve"> (Fodor 1998</w:t>
      </w:r>
      <w:r w:rsidR="004F4460">
        <w:t>) outweigh whatever benefits might accrue to the placement of content in a location that makes it a candidate causal contributor to the production of behavior.</w:t>
      </w:r>
      <w:r>
        <w:t xml:space="preserve"> </w:t>
      </w:r>
    </w:p>
    <w:p w14:paraId="56B7AD6A" w14:textId="5533DE61" w:rsidR="008B1B47" w:rsidRDefault="008B1B47" w:rsidP="00017009">
      <w:pPr>
        <w:pStyle w:val="Standard"/>
      </w:pPr>
      <w:r>
        <w:t xml:space="preserve">     Two </w:t>
      </w:r>
      <w:r w:rsidR="00185CEE">
        <w:t xml:space="preserve">such shortcomings </w:t>
      </w:r>
      <w:r>
        <w:t>stri</w:t>
      </w:r>
      <w:r w:rsidR="00185CEE">
        <w:t>ke me as particularly problematical</w:t>
      </w:r>
      <w:r>
        <w:t>. First, i</w:t>
      </w:r>
      <w:r w:rsidR="005F5186">
        <w:t>f part</w:t>
      </w:r>
      <w:r w:rsidR="004F4460">
        <w:t xml:space="preserve"> of what constitutes</w:t>
      </w:r>
      <w:r w:rsidR="005F5186">
        <w:t xml:space="preserve"> a given</w:t>
      </w:r>
      <w:r w:rsidR="00185CEE">
        <w:t xml:space="preserve"> conceptual- or inferential-role</w:t>
      </w:r>
      <w:r w:rsidR="005F5186">
        <w:t xml:space="preserve"> content is </w:t>
      </w:r>
      <w:r w:rsidR="00C618F7">
        <w:t>that the</w:t>
      </w:r>
      <w:r w:rsidR="004F4460">
        <w:t xml:space="preserve"> vehicle</w:t>
      </w:r>
      <w:r w:rsidR="00C618F7">
        <w:t xml:space="preserve"> bearing such content</w:t>
      </w:r>
      <w:r w:rsidR="005F5186">
        <w:t xml:space="preserve"> participate</w:t>
      </w:r>
      <w:r w:rsidR="004F4460">
        <w:t>s in certain</w:t>
      </w:r>
      <w:r w:rsidR="00C618F7">
        <w:t>, privileged</w:t>
      </w:r>
      <w:r w:rsidR="005F5186">
        <w:t xml:space="preserve"> inference</w:t>
      </w:r>
      <w:r w:rsidR="004F4460">
        <w:t>s, then that vehicle’s</w:t>
      </w:r>
      <w:r w:rsidR="005F5186">
        <w:t xml:space="preserve"> having that content</w:t>
      </w:r>
      <w:r w:rsidR="00260B21">
        <w:t xml:space="preserve"> canno</w:t>
      </w:r>
      <w:r w:rsidR="00C618F7">
        <w:t xml:space="preserve">t explain, causally, why </w:t>
      </w:r>
      <w:r w:rsidR="00260B21">
        <w:t>those</w:t>
      </w:r>
      <w:r w:rsidR="005F5186">
        <w:t xml:space="preserve"> inference</w:t>
      </w:r>
      <w:r w:rsidR="00C618F7">
        <w:t>s</w:t>
      </w:r>
      <w:r w:rsidR="005F5186">
        <w:t xml:space="preserve"> occurs</w:t>
      </w:r>
      <w:r w:rsidR="00260B21">
        <w:t>, on pain of circularity;</w:t>
      </w:r>
      <w:r w:rsidR="00C618F7">
        <w:t xml:space="preserve"> one should not hold that the unit has its given content because the unit causes certain transitions </w:t>
      </w:r>
      <w:r w:rsidR="00C618F7">
        <w:rPr>
          <w:i/>
        </w:rPr>
        <w:t xml:space="preserve">and </w:t>
      </w:r>
      <w:r w:rsidR="00C618F7">
        <w:t xml:space="preserve">that </w:t>
      </w:r>
      <w:r w:rsidR="00260B21">
        <w:t>it causes those transitions because it has the content</w:t>
      </w:r>
      <w:r w:rsidR="00C618F7">
        <w:t xml:space="preserve"> in question (Fodor 1998, chapter 1).</w:t>
      </w:r>
      <w:r w:rsidR="005F5186">
        <w:t xml:space="preserve"> </w:t>
      </w:r>
      <w:r w:rsidR="00185CEE">
        <w:t>Second</w:t>
      </w:r>
      <w:r w:rsidR="004F4460">
        <w:t>, the inferential-role view</w:t>
      </w:r>
      <w:r>
        <w:t xml:space="preserve"> seems to</w:t>
      </w:r>
      <w:r w:rsidR="004F4460">
        <w:t xml:space="preserve"> </w:t>
      </w:r>
      <w:r>
        <w:t>rob</w:t>
      </w:r>
      <w:r w:rsidR="00533A59">
        <w:t xml:space="preserve"> mental representations of the sort of intentionality we take them to have. If their content supervenes only on the internal structure, then content isn’t a matter of being related to the objects represented, the </w:t>
      </w:r>
      <w:r w:rsidR="00533A59">
        <w:rPr>
          <w:i/>
        </w:rPr>
        <w:t>actual things</w:t>
      </w:r>
      <w:r w:rsidR="00533A59">
        <w:t xml:space="preserve"> that we think about – Sandy Koufax, zebras, charge, and so on – at least on the assumption that the internal states do not determine what’s in the environment.</w:t>
      </w:r>
    </w:p>
    <w:p w14:paraId="726AA914" w14:textId="7AE7DC5A" w:rsidR="00185CEE" w:rsidRDefault="008B1B47" w:rsidP="00017009">
      <w:pPr>
        <w:pStyle w:val="Standard"/>
      </w:pPr>
      <w:r>
        <w:t xml:space="preserve">     </w:t>
      </w:r>
      <w:r w:rsidR="004F4460">
        <w:t>Moreover, many of the arguments taken to speak in fav</w:t>
      </w:r>
      <w:r>
        <w:t>or of a competing</w:t>
      </w:r>
      <w:r w:rsidR="004F4460">
        <w:t xml:space="preserve"> ex</w:t>
      </w:r>
      <w:r w:rsidR="00C618F7">
        <w:t>ternalist semantics for natural-</w:t>
      </w:r>
      <w:r w:rsidR="004F4460">
        <w:t>language terms –</w:t>
      </w:r>
      <w:r w:rsidR="00C618F7">
        <w:t xml:space="preserve"> Kripke’s arguments (</w:t>
      </w:r>
      <w:r w:rsidR="004F4460">
        <w:t>1980) from error and ignorance, for example – seem naturally</w:t>
      </w:r>
      <w:r w:rsidR="004F1438">
        <w:t xml:space="preserve"> to apply to</w:t>
      </w:r>
      <w:r w:rsidR="004F4460">
        <w:t xml:space="preserve"> mental representations, particularly if one adopts the view t</w:t>
      </w:r>
      <w:r w:rsidR="004F1438">
        <w:t xml:space="preserve">hat linguistic units have the content they </w:t>
      </w:r>
      <w:r w:rsidR="00C618F7">
        <w:t>do partly because they express</w:t>
      </w:r>
      <w:r w:rsidR="004F1438">
        <w:t xml:space="preserve"> the content of the mental representations that produce them.</w:t>
      </w:r>
      <w:r>
        <w:t xml:space="preserve"> </w:t>
      </w:r>
      <w:r w:rsidR="00185CEE">
        <w:t>Consider, too, certain realist intuitions in</w:t>
      </w:r>
      <w:r w:rsidR="00C618F7">
        <w:t xml:space="preserve"> philosophy of science that seem</w:t>
      </w:r>
      <w:r w:rsidR="00185CEE">
        <w:t xml:space="preserve"> best </w:t>
      </w:r>
      <w:r w:rsidR="00C618F7">
        <w:t>accommodated by a framework that includes</w:t>
      </w:r>
      <w:r w:rsidR="00185CEE">
        <w:t xml:space="preserve"> external content: we tend to think that different scientists holding very different theories of, for instance, electricity are thinking about the same phenomenon – the one the nature of which they disagree about – and</w:t>
      </w:r>
      <w:r w:rsidR="00C618F7">
        <w:t xml:space="preserve"> this thought might seem even more compelling as regards</w:t>
      </w:r>
      <w:r w:rsidR="00185CEE">
        <w:t xml:space="preserve"> one scientist</w:t>
      </w:r>
      <w:r w:rsidR="00C618F7">
        <w:t xml:space="preserve"> whose </w:t>
      </w:r>
      <w:r w:rsidR="00A431E9">
        <w:t>thinking</w:t>
      </w:r>
      <w:r w:rsidR="00C618F7">
        <w:t xml:space="preserve"> evolves from one stage in her career to the next</w:t>
      </w:r>
      <w:r w:rsidR="00185CEE">
        <w:t>.</w:t>
      </w:r>
    </w:p>
    <w:p w14:paraId="41750D7A" w14:textId="6C498D63" w:rsidR="00185CEE" w:rsidRPr="00185CEE" w:rsidRDefault="00185CEE" w:rsidP="00017009">
      <w:pPr>
        <w:pStyle w:val="Standard"/>
      </w:pPr>
      <w:r>
        <w:t xml:space="preserve">     </w:t>
      </w:r>
      <w:r w:rsidR="004F1438">
        <w:t>More scientifically oriented considerations seem to rein</w:t>
      </w:r>
      <w:r w:rsidR="005E14F1">
        <w:t xml:space="preserve">force the need for </w:t>
      </w:r>
      <w:r w:rsidR="004F1438">
        <w:t>externally oriented re</w:t>
      </w:r>
      <w:r w:rsidR="005E14F1">
        <w:t xml:space="preserve">presentational content. Psychology discovers laws stated in </w:t>
      </w:r>
      <w:r w:rsidR="004E71CD">
        <w:t>terms of content (Pylyshyn 1984</w:t>
      </w:r>
      <w:r w:rsidR="005E14F1">
        <w:t xml:space="preserve">, Fodor 1998, Burge </w:t>
      </w:r>
      <w:r w:rsidR="00B545B9">
        <w:t>1986</w:t>
      </w:r>
      <w:r w:rsidR="005E14F1">
        <w:t>), but</w:t>
      </w:r>
      <w:r w:rsidR="004F1438">
        <w:t xml:space="preserve"> inferential</w:t>
      </w:r>
      <w:r w:rsidR="005E14F1">
        <w:t>-</w:t>
      </w:r>
      <w:r w:rsidR="00C618F7">
        <w:t xml:space="preserve"> or conceptual-</w:t>
      </w:r>
      <w:r w:rsidR="005E14F1">
        <w:t>role content varies radically from subject to subject</w:t>
      </w:r>
      <w:r w:rsidR="004F1438">
        <w:t>.</w:t>
      </w:r>
      <w:r w:rsidR="00C618F7">
        <w:t xml:space="preserve"> It would seem that only external content can consistently provide</w:t>
      </w:r>
      <w:r w:rsidR="005E14F1">
        <w:t xml:space="preserve"> a common aspect to various subjects’ water-thoughts, for example; regardless of what idiosyncratic beliefs various subjects might have about water, they can all be about the same stuff in the environment: H2O.</w:t>
      </w:r>
      <w:r w:rsidR="00D12B34">
        <w:t xml:space="preserve"> Moreover, r</w:t>
      </w:r>
      <w:r>
        <w:t>egardless of what one thinks about</w:t>
      </w:r>
      <w:r w:rsidR="00D12B34">
        <w:t xml:space="preserve"> intentional</w:t>
      </w:r>
      <w:r>
        <w:t xml:space="preserve"> laws, cognitive science seems rife with some with explanations that presuppose externalist content; it is </w:t>
      </w:r>
      <w:r w:rsidR="00A431E9">
        <w:t>presupposed</w:t>
      </w:r>
      <w:r>
        <w:t xml:space="preserve"> that stimuli activa</w:t>
      </w:r>
      <w:r w:rsidR="00D12B34">
        <w:t>te internal units that control behavior distinctively oriented toward the kind of stimuli that those internal units track</w:t>
      </w:r>
      <w:r>
        <w:t xml:space="preserve"> (cf. Ramsey</w:t>
      </w:r>
      <w:r w:rsidR="004E71CD">
        <w:t xml:space="preserve"> 2007</w:t>
      </w:r>
      <w:r>
        <w:t>, who worries tha</w:t>
      </w:r>
      <w:r w:rsidR="00D12B34">
        <w:t>t tracking is garden-variety</w:t>
      </w:r>
      <w:r>
        <w:t xml:space="preserve"> causal mediation). And, returning to a meta-scientific perspective, we might wonder how we could possibly make sense of the scientific endeavor itself if scientists weren’t thinking </w:t>
      </w:r>
      <w:r>
        <w:rPr>
          <w:i/>
        </w:rPr>
        <w:t>about</w:t>
      </w:r>
      <w:r>
        <w:t xml:space="preserve"> the subjects in the lab, the lab e</w:t>
      </w:r>
      <w:r w:rsidR="00D12B34">
        <w:t xml:space="preserve">quipment, their co-authors, </w:t>
      </w:r>
      <w:r>
        <w:t>editor</w:t>
      </w:r>
      <w:r w:rsidR="00D12B34">
        <w:t>s</w:t>
      </w:r>
      <w:r>
        <w:t xml:space="preserve"> at the journal</w:t>
      </w:r>
      <w:r w:rsidR="00D12B34">
        <w:t>s</w:t>
      </w:r>
      <w:r>
        <w:t xml:space="preserve"> to which the</w:t>
      </w:r>
      <w:r w:rsidR="00D12B34">
        <w:t>ir</w:t>
      </w:r>
      <w:r>
        <w:t xml:space="preserve"> results are to be sent, the NSF director who </w:t>
      </w:r>
      <w:r w:rsidR="00A5428E">
        <w:t>facilitates review of their grant applications, etc.</w:t>
      </w:r>
    </w:p>
    <w:p w14:paraId="5385A5F5" w14:textId="145D235B" w:rsidR="006C4023" w:rsidRDefault="00185CEE" w:rsidP="00017009">
      <w:pPr>
        <w:pStyle w:val="Standard"/>
      </w:pPr>
      <w:r>
        <w:t xml:space="preserve">     </w:t>
      </w:r>
      <w:r w:rsidR="00A5428E">
        <w:t>Here, then, are this section’s takeaway messages. First, a</w:t>
      </w:r>
      <w:r w:rsidR="006C4023">
        <w:t xml:space="preserve">n objective notion of the content of mental representations is adequate to the phenomenon; no </w:t>
      </w:r>
      <w:r w:rsidR="00D12B34">
        <w:t xml:space="preserve">additional </w:t>
      </w:r>
      <w:r w:rsidR="006C4023">
        <w:t>kind of specially subjective or consciousness-related kind of content</w:t>
      </w:r>
      <w:r w:rsidR="00A5428E">
        <w:t xml:space="preserve"> is needed</w:t>
      </w:r>
      <w:r w:rsidR="006C4023">
        <w:t>. Second, the most promising version of such an objective, or third-person, view takes the form of a semantic externalism, not an inferential- or conceptual-role theory.</w:t>
      </w:r>
      <w:r w:rsidR="00A5428E">
        <w:t xml:space="preserve"> But, in the event of over-reaching, let me fall back to a watered-down line: since there seem to be good reasons to posit an objective, externalist (</w:t>
      </w:r>
      <w:r w:rsidR="00D12B34">
        <w:t>or tracking) notion of</w:t>
      </w:r>
      <w:r w:rsidR="00A5428E">
        <w:t xml:space="preserve"> cognitive content, we should ask whether that </w:t>
      </w:r>
      <w:r w:rsidR="00D12B34">
        <w:t xml:space="preserve">content </w:t>
      </w:r>
      <w:r w:rsidR="00A5428E">
        <w:t>suffices to account for data that might suggest the need for additional forms of content, either conceptual- or inferential-role or some form of subjective content.</w:t>
      </w:r>
    </w:p>
    <w:p w14:paraId="52849ECE" w14:textId="6290AC1C" w:rsidR="00017009" w:rsidRDefault="00017009" w:rsidP="00017009">
      <w:pPr>
        <w:pStyle w:val="Standard"/>
        <w:jc w:val="center"/>
      </w:pPr>
      <w:r>
        <w:t xml:space="preserve">III. </w:t>
      </w:r>
      <w:r w:rsidR="007362D0">
        <w:t xml:space="preserve">Concepts, conceptions, </w:t>
      </w:r>
      <w:r w:rsidR="001E4F75">
        <w:t>and architecture</w:t>
      </w:r>
    </w:p>
    <w:p w14:paraId="026857E3" w14:textId="7923C14D" w:rsidR="003E649C" w:rsidRDefault="00BA2CD7" w:rsidP="007362D0">
      <w:pPr>
        <w:pStyle w:val="Standard"/>
      </w:pPr>
      <w:r>
        <w:t xml:space="preserve">In this section, I </w:t>
      </w:r>
      <w:r w:rsidR="00EF104E">
        <w:t>sketch t</w:t>
      </w:r>
      <w:r w:rsidR="006C4023">
        <w:t>he ele</w:t>
      </w:r>
      <w:r w:rsidR="00FB3C12">
        <w:t xml:space="preserve">ments of a </w:t>
      </w:r>
      <w:r w:rsidR="001C059F">
        <w:t>model</w:t>
      </w:r>
      <w:r w:rsidR="006C4023">
        <w:t xml:space="preserve"> of human cognition</w:t>
      </w:r>
      <w:r w:rsidR="001C059F">
        <w:t xml:space="preserve">. </w:t>
      </w:r>
      <w:r w:rsidR="00B379FE">
        <w:t xml:space="preserve">The picture presented draws primarily on traditional computational modeling practices, although it can be adapted more or less easily to accommodate other approaches in cognitive science (e.g., dynamicist [Port and van Gelder 1995] or connectionist [Rumelhart, McClelland, and the PDP Research Group 1986] approaches ). </w:t>
      </w:r>
      <w:r w:rsidR="001C059F">
        <w:t>Although it is only a sketch, I hope it provides</w:t>
      </w:r>
      <w:r w:rsidR="00FB3C12">
        <w:t xml:space="preserve"> the reader with sufficient background to see how, in the section to follow, I </w:t>
      </w:r>
      <w:r w:rsidR="00D12B34">
        <w:t xml:space="preserve">mean to </w:t>
      </w:r>
      <w:r w:rsidR="00FB3C12">
        <w:t>deploy this</w:t>
      </w:r>
      <w:r w:rsidR="003E649C">
        <w:t xml:space="preserve"> package</w:t>
      </w:r>
      <w:r w:rsidR="00FB3C12">
        <w:t xml:space="preserve"> of resources </w:t>
      </w:r>
      <w:r w:rsidR="003E649C">
        <w:t>in order to account for the relevant data.</w:t>
      </w:r>
    </w:p>
    <w:p w14:paraId="3A47F80C" w14:textId="77777777" w:rsidR="003E649C" w:rsidRPr="003E649C" w:rsidRDefault="003E649C" w:rsidP="007362D0">
      <w:pPr>
        <w:pStyle w:val="Standard"/>
      </w:pPr>
    </w:p>
    <w:p w14:paraId="7603AE03" w14:textId="6CAE372D" w:rsidR="003E649C" w:rsidRDefault="006A20BC" w:rsidP="007362D0">
      <w:pPr>
        <w:pStyle w:val="Standard"/>
        <w:rPr>
          <w:i/>
        </w:rPr>
      </w:pPr>
      <w:r>
        <w:t xml:space="preserve">A. </w:t>
      </w:r>
      <w:r w:rsidR="003E649C">
        <w:rPr>
          <w:i/>
        </w:rPr>
        <w:t>Concepts (or mental representations), atomic and otherwise.</w:t>
      </w:r>
    </w:p>
    <w:p w14:paraId="2FC7112B" w14:textId="44406177" w:rsidR="009C66FA" w:rsidRDefault="003E649C" w:rsidP="007362D0">
      <w:pPr>
        <w:pStyle w:val="Standard"/>
      </w:pPr>
      <w:r>
        <w:rPr>
          <w:i/>
        </w:rPr>
        <w:t xml:space="preserve">     </w:t>
      </w:r>
      <w:r>
        <w:t>The bearers of mental content –</w:t>
      </w:r>
      <w:r w:rsidR="001C059F">
        <w:t xml:space="preserve"> the things filling at least one slot in the</w:t>
      </w:r>
      <w:r>
        <w:t xml:space="preserve"> representation-relation – are often referred to as ‘concepts’. In what follows, I use the more neutral term ‘mental representation’ so as to avoid theoret</w:t>
      </w:r>
      <w:r w:rsidR="009C66FA">
        <w:t>ical disputes over the requirements that a mental representation must meet in order to qualify as a concept</w:t>
      </w:r>
      <w:r>
        <w:t>. A</w:t>
      </w:r>
      <w:r w:rsidR="00FA04F1">
        <w:t xml:space="preserve">s </w:t>
      </w:r>
      <w:r w:rsidR="001C059F">
        <w:t>bearers of content</w:t>
      </w:r>
      <w:r>
        <w:t>, mental representatio</w:t>
      </w:r>
      <w:r w:rsidR="00FA04F1">
        <w:t xml:space="preserve">ns can fruitfully be thought of as </w:t>
      </w:r>
      <w:r w:rsidR="0064787E">
        <w:t>ve</w:t>
      </w:r>
      <w:r w:rsidR="00FA04F1">
        <w:t>hicles</w:t>
      </w:r>
      <w:r>
        <w:t>.</w:t>
      </w:r>
      <w:r w:rsidR="00FA04F1">
        <w:t xml:space="preserve"> Such vehicles should be</w:t>
      </w:r>
      <w:r w:rsidR="001C059F">
        <w:t xml:space="preserve"> individuated independently of their content – that is, nonsemantically</w:t>
      </w:r>
      <w:r w:rsidR="00C92B4F">
        <w:t xml:space="preserve"> (Rupert 1998</w:t>
      </w:r>
      <w:r w:rsidR="00FA04F1">
        <w:t>)</w:t>
      </w:r>
      <w:r w:rsidR="001C059F">
        <w:t xml:space="preserve"> –</w:t>
      </w:r>
      <w:r w:rsidR="00A37689">
        <w:t xml:space="preserve"> w</w:t>
      </w:r>
      <w:r w:rsidR="009C66FA">
        <w:t xml:space="preserve">hich jibes nicely with </w:t>
      </w:r>
      <w:r w:rsidR="00A37689">
        <w:t>computational theories of processing (Fodor 1994, chapter 1)</w:t>
      </w:r>
      <w:r w:rsidR="009C66FA">
        <w:t>, as well as with other forms of mechanistic models in the cognitive sciences</w:t>
      </w:r>
      <w:r w:rsidR="00A37689">
        <w:t>.</w:t>
      </w:r>
      <w:r w:rsidR="001C059F">
        <w:t xml:space="preserve"> </w:t>
      </w:r>
    </w:p>
    <w:p w14:paraId="50D79426" w14:textId="41C0B564" w:rsidR="006A20BC" w:rsidRDefault="009C66FA" w:rsidP="007362D0">
      <w:pPr>
        <w:pStyle w:val="Standard"/>
      </w:pPr>
      <w:r>
        <w:t xml:space="preserve">     </w:t>
      </w:r>
      <w:r w:rsidR="00857FE5">
        <w:t>Mental representations</w:t>
      </w:r>
      <w:r w:rsidR="003E649C">
        <w:t xml:space="preserve"> can be either </w:t>
      </w:r>
      <w:r w:rsidR="0064787E">
        <w:t>atomic or compound. Atomic mental representa</w:t>
      </w:r>
      <w:r w:rsidR="00FA04F1">
        <w:t>tions, conceived of nonsemantically</w:t>
      </w:r>
      <w:r w:rsidR="0064787E">
        <w:t>, are the smallest units that affect c</w:t>
      </w:r>
      <w:r w:rsidR="00FA04F1">
        <w:t>ognitive processing. Given a stock of atomic mental representations, cognitive o</w:t>
      </w:r>
      <w:r w:rsidR="0064787E">
        <w:t>perations can compound such units into strings or organized collections of other s</w:t>
      </w:r>
      <w:r w:rsidR="00FA04F1">
        <w:t>orts. (I presuppose that, in our mechanistic models of cognition, c</w:t>
      </w:r>
      <w:r w:rsidR="0064787E">
        <w:t>ogniti</w:t>
      </w:r>
      <w:r w:rsidR="00FA04F1">
        <w:t>ve operations</w:t>
      </w:r>
      <w:r w:rsidR="0064787E">
        <w:t xml:space="preserve"> are sensitive</w:t>
      </w:r>
      <w:r w:rsidR="00FA04F1">
        <w:t xml:space="preserve"> only</w:t>
      </w:r>
      <w:r w:rsidR="0064787E">
        <w:t xml:space="preserve"> to nonsemantic properties; this does not preclude a story according to which semantics also plays a role, but it will not be in the nuts a</w:t>
      </w:r>
      <w:r w:rsidR="00A37689">
        <w:t>nd</w:t>
      </w:r>
      <w:r w:rsidR="0064787E">
        <w:t xml:space="preserve"> bo</w:t>
      </w:r>
      <w:r w:rsidR="00A37689">
        <w:t>l</w:t>
      </w:r>
      <w:r w:rsidR="0064787E">
        <w:t>ts of processing.)</w:t>
      </w:r>
      <w:r w:rsidR="004C6FFF">
        <w:t xml:space="preserve"> </w:t>
      </w:r>
      <w:r w:rsidR="00A37689">
        <w:t>Atomic representations are thus</w:t>
      </w:r>
      <w:r w:rsidR="0064787E">
        <w:t xml:space="preserve"> the minimal content-bearing units – m</w:t>
      </w:r>
      <w:r w:rsidR="00FA04F1">
        <w:t>inimal relative to processing</w:t>
      </w:r>
      <w:r w:rsidR="00FA04F1">
        <w:rPr>
          <w:rStyle w:val="FootnoteReference"/>
        </w:rPr>
        <w:footnoteReference w:id="2"/>
      </w:r>
      <w:r w:rsidR="004C6FFF">
        <w:t xml:space="preserve"> </w:t>
      </w:r>
      <w:r w:rsidR="00857FE5">
        <w:t>–</w:t>
      </w:r>
      <w:r w:rsidR="004C6FFF">
        <w:t xml:space="preserve"> but</w:t>
      </w:r>
      <w:r w:rsidR="00857FE5">
        <w:t xml:space="preserve"> (typically)</w:t>
      </w:r>
      <w:r w:rsidR="004C6FFF">
        <w:t xml:space="preserve"> </w:t>
      </w:r>
      <w:r w:rsidR="00857FE5">
        <w:t>they possess content, and</w:t>
      </w:r>
      <w:r w:rsidR="004C6FFF">
        <w:t xml:space="preserve"> t</w:t>
      </w:r>
      <w:r w:rsidR="006A20BC">
        <w:t>he content of a c</w:t>
      </w:r>
      <w:r w:rsidR="00A37689">
        <w:t>ompound representation is</w:t>
      </w:r>
      <w:r w:rsidR="006A20BC">
        <w:t xml:space="preserve"> a function of the content </w:t>
      </w:r>
      <w:r w:rsidR="004C6FFF">
        <w:t xml:space="preserve">of </w:t>
      </w:r>
      <w:r w:rsidR="00A37689">
        <w:t>its atomic components</w:t>
      </w:r>
      <w:r w:rsidR="00857FE5">
        <w:t>, w</w:t>
      </w:r>
      <w:r>
        <w:t>here that function</w:t>
      </w:r>
      <w:r w:rsidR="00857FE5">
        <w:t xml:space="preserve"> may take the form, for example, of a typed grammar</w:t>
      </w:r>
      <w:r w:rsidR="006A20BC">
        <w:t>.</w:t>
      </w:r>
    </w:p>
    <w:p w14:paraId="2D4ED6E8" w14:textId="61051E39" w:rsidR="006A20BC" w:rsidRDefault="00857FE5" w:rsidP="007362D0">
      <w:pPr>
        <w:pStyle w:val="Standard"/>
      </w:pPr>
      <w:r>
        <w:t xml:space="preserve">     This view of mental representation</w:t>
      </w:r>
      <w:r w:rsidR="00A37689">
        <w:t xml:space="preserve"> provide</w:t>
      </w:r>
      <w:r>
        <w:t>s at least three kinds of</w:t>
      </w:r>
      <w:r w:rsidR="00A37689">
        <w:t xml:space="preserve"> nonsemantic material to the</w:t>
      </w:r>
      <w:r w:rsidR="00597991">
        <w:t xml:space="preserve"> causal-</w:t>
      </w:r>
      <w:r w:rsidR="00C34984">
        <w:t>explanatory enterprise: nonsemantically individuated atomic units, processing operat</w:t>
      </w:r>
      <w:r w:rsidR="00A37689">
        <w:t>ions that compound and otherwise</w:t>
      </w:r>
      <w:r w:rsidR="00C34984">
        <w:t xml:space="preserve"> operate on</w:t>
      </w:r>
      <w:r w:rsidR="00A37689">
        <w:t xml:space="preserve"> (by</w:t>
      </w:r>
      <w:r w:rsidR="009C66FA">
        <w:t>, for example,</w:t>
      </w:r>
      <w:r w:rsidR="00A37689">
        <w:t xml:space="preserve"> writing, rewriting, decomposing,</w:t>
      </w:r>
      <w:r w:rsidR="009C66FA">
        <w:t xml:space="preserve"> or</w:t>
      </w:r>
      <w:r w:rsidR="00A37689">
        <w:t xml:space="preserve"> transforming) strings of</w:t>
      </w:r>
      <w:r w:rsidR="00C34984">
        <w:t xml:space="preserve"> those </w:t>
      </w:r>
      <w:r>
        <w:t>atomic units, and rules that determine</w:t>
      </w:r>
      <w:r w:rsidR="00C34984">
        <w:t xml:space="preserve"> the content of a compound string as </w:t>
      </w:r>
      <w:r w:rsidR="00A37689">
        <w:t>a function of the content of component atoms</w:t>
      </w:r>
      <w:r w:rsidR="00C34984">
        <w:t xml:space="preserve">. Bear in mind that </w:t>
      </w:r>
      <w:r w:rsidR="00597991">
        <w:t>these mat</w:t>
      </w:r>
      <w:r w:rsidR="00A37689">
        <w:t>erials ap</w:t>
      </w:r>
      <w:r>
        <w:t>pear in standard theories concerning the role of</w:t>
      </w:r>
      <w:r w:rsidR="00A37689">
        <w:t xml:space="preserve"> </w:t>
      </w:r>
      <w:r>
        <w:t xml:space="preserve">content-laden units </w:t>
      </w:r>
      <w:r w:rsidR="00597991">
        <w:t>in psychological explanation (Pylyshyn 1984</w:t>
      </w:r>
      <w:r w:rsidR="00C92B4F">
        <w:t xml:space="preserve">, </w:t>
      </w:r>
      <w:r w:rsidR="009C66FA">
        <w:t>Fodor</w:t>
      </w:r>
      <w:r w:rsidR="00C34984">
        <w:t xml:space="preserve"> 1994). As such, to invoke these when accounting for the</w:t>
      </w:r>
      <w:r>
        <w:t xml:space="preserve"> relevant data is neither to supplement theories</w:t>
      </w:r>
      <w:r w:rsidR="009C66FA">
        <w:t xml:space="preserve"> of</w:t>
      </w:r>
      <w:r>
        <w:t xml:space="preserve"> </w:t>
      </w:r>
      <w:r w:rsidR="00C34984">
        <w:t>objective content</w:t>
      </w:r>
      <w:r>
        <w:t>, qua theories of content, nor is it to supplement t</w:t>
      </w:r>
      <w:r w:rsidR="009C66FA">
        <w:t>he theoretical framework that serves as</w:t>
      </w:r>
      <w:r>
        <w:t xml:space="preserve"> the standard home for theories of objective content.</w:t>
      </w:r>
    </w:p>
    <w:p w14:paraId="617D3EAB" w14:textId="5ADAD412" w:rsidR="006A20BC" w:rsidRDefault="006A20BC" w:rsidP="007362D0">
      <w:pPr>
        <w:pStyle w:val="Standard"/>
        <w:rPr>
          <w:i/>
        </w:rPr>
      </w:pPr>
      <w:r>
        <w:t xml:space="preserve">B. </w:t>
      </w:r>
      <w:r>
        <w:rPr>
          <w:i/>
        </w:rPr>
        <w:t>Conceptions.</w:t>
      </w:r>
    </w:p>
    <w:p w14:paraId="7749E0B0" w14:textId="334ED0DA" w:rsidR="000C4DFD" w:rsidRDefault="008140E9" w:rsidP="007362D0">
      <w:pPr>
        <w:pStyle w:val="Standard"/>
      </w:pPr>
      <w:r>
        <w:t xml:space="preserve">     </w:t>
      </w:r>
      <w:r w:rsidR="00895109">
        <w:t>The notion of a conce</w:t>
      </w:r>
      <w:r>
        <w:t>ption builds on the idea of a compound mental representation</w:t>
      </w:r>
      <w:r w:rsidR="00857FE5">
        <w:t>. Atomic mental representations</w:t>
      </w:r>
      <w:r w:rsidR="000C4DFD">
        <w:t xml:space="preserve"> are the building blocks for individual compound strings, which</w:t>
      </w:r>
      <w:r>
        <w:t xml:space="preserve"> might be thought of, </w:t>
      </w:r>
      <w:r w:rsidR="009C66FA">
        <w:t>in the first instances, as</w:t>
      </w:r>
      <w:r>
        <w:t xml:space="preserve"> </w:t>
      </w:r>
      <w:r w:rsidR="00A431E9">
        <w:t>analogous</w:t>
      </w:r>
      <w:r>
        <w:t xml:space="preserve"> to simple sentences (</w:t>
      </w:r>
      <w:r w:rsidR="009C66FA">
        <w:t>e.g.,</w:t>
      </w:r>
      <w:r w:rsidR="00857FE5">
        <w:t xml:space="preserve"> “Cows are mammals”</w:t>
      </w:r>
      <w:r>
        <w:t>). Individually, such strings</w:t>
      </w:r>
      <w:r w:rsidR="00A37689">
        <w:t xml:space="preserve"> represent</w:t>
      </w:r>
      <w:r w:rsidR="000C4DFD">
        <w:t xml:space="preserve"> the world a certain way</w:t>
      </w:r>
      <w:r w:rsidR="00A37689">
        <w:t xml:space="preserve"> (by, e.g., having satisfaction conditions)</w:t>
      </w:r>
      <w:r>
        <w:t>. Often it is thought that certain groups of such compound representatio</w:t>
      </w:r>
      <w:r w:rsidR="009C66FA">
        <w:t>ns play</w:t>
      </w:r>
      <w:r w:rsidR="00857FE5">
        <w:t xml:space="preserve"> privileged cognitive role</w:t>
      </w:r>
      <w:r w:rsidR="009C66FA">
        <w:t>s</w:t>
      </w:r>
      <w:r>
        <w:t>. T</w:t>
      </w:r>
      <w:r w:rsidR="00857FE5">
        <w:t xml:space="preserve">ake a specific </w:t>
      </w:r>
      <w:r w:rsidR="000C4DFD">
        <w:t>atomic mental r</w:t>
      </w:r>
      <w:r w:rsidR="00857FE5">
        <w:t>epresentation in a given subject. Typically, this</w:t>
      </w:r>
      <w:r w:rsidR="000C4DFD">
        <w:t xml:space="preserve"> appears</w:t>
      </w:r>
      <w:r w:rsidR="00857FE5">
        <w:t xml:space="preserve"> as a component of numerous stored or standing</w:t>
      </w:r>
      <w:r w:rsidR="000C4DFD">
        <w:t xml:space="preserve"> strings. </w:t>
      </w:r>
      <w:r>
        <w:t xml:space="preserve">So, we might characterize a subject’s conception of </w:t>
      </w:r>
      <w:r>
        <w:rPr>
          <w:i/>
        </w:rPr>
        <w:t>x</w:t>
      </w:r>
      <w:r>
        <w:t xml:space="preserve"> (or </w:t>
      </w:r>
      <w:r>
        <w:rPr>
          <w:i/>
        </w:rPr>
        <w:t>x</w:t>
      </w:r>
      <w:r>
        <w:t xml:space="preserve">’s) as the entire collection of stored strings </w:t>
      </w:r>
      <w:r w:rsidR="00857FE5">
        <w:t xml:space="preserve">such </w:t>
      </w:r>
      <w:r>
        <w:t>that each string</w:t>
      </w:r>
      <w:r w:rsidR="00857FE5">
        <w:t xml:space="preserve"> in the collection</w:t>
      </w:r>
      <w:r>
        <w:t xml:space="preserve"> contains at least one instance of X. </w:t>
      </w:r>
      <w:r w:rsidR="000C4DFD">
        <w:t xml:space="preserve">Typically there are </w:t>
      </w:r>
      <w:r w:rsidR="000C4DFD">
        <w:rPr>
          <w:i/>
        </w:rPr>
        <w:t xml:space="preserve">very </w:t>
      </w:r>
      <w:r w:rsidR="000C4DFD">
        <w:t>many of these, and</w:t>
      </w:r>
      <w:r w:rsidR="00857FE5">
        <w:t>, thus, to stand a chance of being theoretica</w:t>
      </w:r>
      <w:r w:rsidR="009C66FA">
        <w:t>lly useful, conceptions are typ</w:t>
      </w:r>
      <w:r w:rsidR="00857FE5">
        <w:t>i</w:t>
      </w:r>
      <w:r w:rsidR="009C66FA">
        <w:t>c</w:t>
      </w:r>
      <w:r w:rsidR="00857FE5">
        <w:t>ally limited to some proper</w:t>
      </w:r>
      <w:r w:rsidR="000C4DFD">
        <w:t xml:space="preserve"> su</w:t>
      </w:r>
      <w:r>
        <w:t>bset</w:t>
      </w:r>
      <w:r w:rsidR="00857FE5">
        <w:t xml:space="preserve"> of the collection</w:t>
      </w:r>
      <w:r>
        <w:t xml:space="preserve"> – </w:t>
      </w:r>
      <w:r w:rsidR="00857FE5">
        <w:t xml:space="preserve">what is thought to be </w:t>
      </w:r>
      <w:r>
        <w:t>the subject’s core knowledge concerning the</w:t>
      </w:r>
      <w:r w:rsidR="000C4DFD">
        <w:t xml:space="preserve"> individual, kind, or property represented by the atomic</w:t>
      </w:r>
      <w:r w:rsidR="009C66FA">
        <w:t xml:space="preserve"> representation in question. A</w:t>
      </w:r>
      <w:r w:rsidR="000C4DFD">
        <w:t xml:space="preserve">n atomic mental representation might be COW, and the conception of cows might be a set of mental </w:t>
      </w:r>
      <w:r w:rsidR="00A431E9">
        <w:t>structures</w:t>
      </w:r>
      <w:r w:rsidR="000C4DFD">
        <w:t xml:space="preserve"> such as {COWS ARE MAMMALS, COWS ARE ALIVE, HUMANS KEEP COWS ON DAIRY FARMS, COWS ARE BIG, COWS ARE ANIMALS}</w:t>
      </w:r>
      <w:r w:rsidR="009C66FA">
        <w:t xml:space="preserve">; this </w:t>
      </w:r>
      <w:r w:rsidR="00A431E9">
        <w:t>set</w:t>
      </w:r>
      <w:r w:rsidR="009C66FA">
        <w:t xml:space="preserve"> might be larger, and contain much of what the subject represents about cows, but it does not consist in everything the subject</w:t>
      </w:r>
      <w:r w:rsidR="00857FE5">
        <w:t xml:space="preserve"> believes about cows</w:t>
      </w:r>
      <w:r w:rsidR="000C4DFD">
        <w:t>. Various forms of conceptions</w:t>
      </w:r>
      <w:r w:rsidR="00895109">
        <w:t xml:space="preserve"> of have </w:t>
      </w:r>
      <w:r>
        <w:t xml:space="preserve">been </w:t>
      </w:r>
      <w:r w:rsidR="00F223FF">
        <w:t xml:space="preserve">proposed, </w:t>
      </w:r>
      <w:r w:rsidR="00895109">
        <w:t>amo</w:t>
      </w:r>
      <w:r w:rsidR="009C66FA">
        <w:t>ng them</w:t>
      </w:r>
      <w:r w:rsidR="00857FE5">
        <w:t xml:space="preserve"> </w:t>
      </w:r>
      <w:r w:rsidR="00895109">
        <w:t xml:space="preserve">file folders </w:t>
      </w:r>
      <w:r w:rsidR="00F223FF">
        <w:t>(</w:t>
      </w:r>
      <w:r w:rsidR="000C4DFD">
        <w:t>Forb</w:t>
      </w:r>
      <w:r w:rsidR="009A4CCB">
        <w:t>es 1989</w:t>
      </w:r>
      <w:r w:rsidR="00F223FF">
        <w:t>),</w:t>
      </w:r>
      <w:r w:rsidR="000C4DFD">
        <w:t xml:space="preserve"> knowledge structures</w:t>
      </w:r>
      <w:r w:rsidR="00F223FF">
        <w:t xml:space="preserve"> (Cummins 1996),</w:t>
      </w:r>
      <w:r w:rsidR="009C66FA">
        <w:t xml:space="preserve"> and</w:t>
      </w:r>
      <w:r w:rsidR="000C4DFD">
        <w:t xml:space="preserve"> frames</w:t>
      </w:r>
      <w:r w:rsidR="00F223FF">
        <w:t xml:space="preserve"> (Minsky</w:t>
      </w:r>
      <w:r w:rsidR="009A4CCB">
        <w:t xml:space="preserve"> 1974</w:t>
      </w:r>
      <w:r w:rsidR="00F223FF">
        <w:t xml:space="preserve">). It is a matter of some dispute what should go into </w:t>
      </w:r>
      <w:r w:rsidR="006A2994">
        <w:t>this set. P</w:t>
      </w:r>
      <w:r w:rsidR="00F223FF">
        <w:t>utting too little into it creates</w:t>
      </w:r>
      <w:r w:rsidR="000C4DFD">
        <w:t xml:space="preserve"> v</w:t>
      </w:r>
      <w:r w:rsidR="00F223FF">
        <w:t>ersions of the frame problem,</w:t>
      </w:r>
      <w:r w:rsidR="009C66FA">
        <w:t xml:space="preserve"> </w:t>
      </w:r>
      <w:r w:rsidR="006A2994">
        <w:t xml:space="preserve">but </w:t>
      </w:r>
      <w:r w:rsidR="009C66FA">
        <w:t>putting too much into it creates the problem that no two people share the same conception of a given</w:t>
      </w:r>
      <w:r w:rsidR="006A2994">
        <w:t xml:space="preserve"> kind, property, or individual;</w:t>
      </w:r>
      <w:r w:rsidR="00F223FF">
        <w:t xml:space="preserve"> more generally, the issue gives rise to</w:t>
      </w:r>
      <w:r w:rsidR="000C4DFD">
        <w:t xml:space="preserve"> much hand-wringing about the ana</w:t>
      </w:r>
      <w:r>
        <w:t>lytic-synthetic distinction</w:t>
      </w:r>
      <w:r w:rsidR="00F223FF">
        <w:t xml:space="preserve"> (Fodor and LePore 1992)</w:t>
      </w:r>
      <w:r>
        <w:t xml:space="preserve"> (among</w:t>
      </w:r>
      <w:r w:rsidR="000C4DFD">
        <w:t xml:space="preserve"> those who are inclined to think of conceptions as </w:t>
      </w:r>
      <w:r>
        <w:t>word meanings, which I am not).</w:t>
      </w:r>
    </w:p>
    <w:p w14:paraId="5157B6A9" w14:textId="4FD17F38" w:rsidR="00427E23" w:rsidRPr="002C5B1B" w:rsidRDefault="000C4DFD" w:rsidP="007362D0">
      <w:pPr>
        <w:pStyle w:val="Standard"/>
      </w:pPr>
      <w:r>
        <w:t xml:space="preserve">     For present purposes, I need not give a full account of conceptions. In fact, I’</w:t>
      </w:r>
      <w:r w:rsidR="00427E23">
        <w:t>m</w:t>
      </w:r>
      <w:r>
        <w:t xml:space="preserve"> inclined to t</w:t>
      </w:r>
      <w:r w:rsidR="00427E23">
        <w:t>hink they</w:t>
      </w:r>
      <w:r>
        <w:t xml:space="preserve"> play</w:t>
      </w:r>
      <w:r w:rsidR="00427E23">
        <w:t xml:space="preserve"> no role</w:t>
      </w:r>
      <w:r w:rsidR="0013357F">
        <w:t xml:space="preserve">, </w:t>
      </w:r>
      <w:r w:rsidR="00427E23">
        <w:t>as</w:t>
      </w:r>
      <w:r>
        <w:t xml:space="preserve"> distinctive</w:t>
      </w:r>
      <w:r w:rsidR="008140E9">
        <w:t xml:space="preserve"> theoretical</w:t>
      </w:r>
      <w:r>
        <w:t xml:space="preserve"> construct</w:t>
      </w:r>
      <w:r w:rsidR="00427E23">
        <w:t>s</w:t>
      </w:r>
      <w:r w:rsidR="0013357F">
        <w:t xml:space="preserve">, </w:t>
      </w:r>
      <w:r>
        <w:t>i</w:t>
      </w:r>
      <w:r w:rsidR="0013357F">
        <w:t>n the causal-explanatory enterprise</w:t>
      </w:r>
      <w:r>
        <w:t xml:space="preserve">. I </w:t>
      </w:r>
      <w:r w:rsidR="0013357F">
        <w:t>discuss</w:t>
      </w:r>
      <w:r w:rsidR="00427E23">
        <w:t xml:space="preserve"> them </w:t>
      </w:r>
      <w:r w:rsidR="006A2994">
        <w:t>here partly</w:t>
      </w:r>
      <w:r w:rsidR="0013357F">
        <w:t xml:space="preserve"> to warn against the conflating of</w:t>
      </w:r>
      <w:r w:rsidR="00427E23">
        <w:t xml:space="preserve"> intuitions about conceptio</w:t>
      </w:r>
      <w:r w:rsidR="0013357F">
        <w:t xml:space="preserve">ns </w:t>
      </w:r>
      <w:r w:rsidR="006A2994">
        <w:t>(</w:t>
      </w:r>
      <w:r w:rsidR="0013357F">
        <w:t>of some grain or another</w:t>
      </w:r>
      <w:r w:rsidR="006A2994">
        <w:t>)</w:t>
      </w:r>
      <w:r w:rsidR="0013357F">
        <w:t xml:space="preserve"> with </w:t>
      </w:r>
      <w:r w:rsidR="00427E23">
        <w:t xml:space="preserve">intuitions about the </w:t>
      </w:r>
      <w:r w:rsidR="006A2994">
        <w:t>content of atomic mental representations</w:t>
      </w:r>
      <w:r w:rsidR="00427E23">
        <w:t>. To be sure, there could be some sort of content that attaches distinctively</w:t>
      </w:r>
      <w:r w:rsidR="006A2994">
        <w:t xml:space="preserve"> to conceptions (an inferential-role semantics seems to offer</w:t>
      </w:r>
      <w:r w:rsidR="00427E23">
        <w:t xml:space="preserve"> an obvious possibility). </w:t>
      </w:r>
      <w:r w:rsidR="006A2994">
        <w:t>We should bear clearly in mind, however,</w:t>
      </w:r>
      <w:r w:rsidR="00427E23">
        <w:t xml:space="preserve"> the possibility that content attac</w:t>
      </w:r>
      <w:r w:rsidR="008140E9">
        <w:t>hes, in the first instance,</w:t>
      </w:r>
      <w:r w:rsidR="00427E23">
        <w:t xml:space="preserve"> to atomic mental representations</w:t>
      </w:r>
      <w:r w:rsidR="008140E9">
        <w:t xml:space="preserve"> only</w:t>
      </w:r>
      <w:r w:rsidR="00427E23">
        <w:t>, and that contributions of other factors</w:t>
      </w:r>
      <w:r w:rsidR="0013357F">
        <w:t xml:space="preserve"> – such as intuitions about conceptions –</w:t>
      </w:r>
      <w:r w:rsidR="00427E23">
        <w:t xml:space="preserve"> a</w:t>
      </w:r>
      <w:r w:rsidR="0013357F">
        <w:t>ccount for erroneous</w:t>
      </w:r>
      <w:r w:rsidR="00427E23">
        <w:t xml:space="preserve"> intuitions about mental representations</w:t>
      </w:r>
      <w:r w:rsidR="006A2994">
        <w:t>. Perhaps m</w:t>
      </w:r>
      <w:r w:rsidR="0013357F">
        <w:t>ore to the point, i</w:t>
      </w:r>
      <w:r w:rsidR="008140E9">
        <w:t>nteractions among strings of mental r</w:t>
      </w:r>
      <w:r w:rsidR="0013357F">
        <w:t>epresentations may</w:t>
      </w:r>
      <w:r w:rsidR="008140E9">
        <w:t xml:space="preserve"> account for the relevant data, regardless of whether there is, for any </w:t>
      </w:r>
      <w:r w:rsidR="008140E9">
        <w:rPr>
          <w:i/>
        </w:rPr>
        <w:t>x</w:t>
      </w:r>
      <w:r w:rsidR="008140E9">
        <w:t xml:space="preserve">, a privileged theoretical construct – the subject’s conception of </w:t>
      </w:r>
      <w:r w:rsidR="008140E9">
        <w:rPr>
          <w:i/>
        </w:rPr>
        <w:t>x</w:t>
      </w:r>
      <w:r w:rsidR="0013357F">
        <w:t>; thus, we should keep in mind this particular aspect of the standard package, as a tool to be exploited without the introduction of any kind of content beyond externalist or tracking content.</w:t>
      </w:r>
    </w:p>
    <w:p w14:paraId="7287B294" w14:textId="70125500" w:rsidR="006A20BC" w:rsidRDefault="00427E23" w:rsidP="007362D0">
      <w:pPr>
        <w:pStyle w:val="Standard"/>
      </w:pPr>
      <w:r>
        <w:rPr>
          <w:i/>
        </w:rPr>
        <w:t>C.</w:t>
      </w:r>
      <w:r>
        <w:t xml:space="preserve"> </w:t>
      </w:r>
      <w:r>
        <w:rPr>
          <w:i/>
        </w:rPr>
        <w:t>Architecture</w:t>
      </w:r>
      <w:r>
        <w:t>.</w:t>
      </w:r>
    </w:p>
    <w:p w14:paraId="7D031E2B" w14:textId="54D743BD" w:rsidR="003E649C" w:rsidRDefault="00813653" w:rsidP="007362D0">
      <w:pPr>
        <w:pStyle w:val="Standard"/>
      </w:pPr>
      <w:r>
        <w:t>M</w:t>
      </w:r>
      <w:r w:rsidR="00427E23">
        <w:t>odel</w:t>
      </w:r>
      <w:r>
        <w:t>s</w:t>
      </w:r>
      <w:r w:rsidR="00427E23">
        <w:t xml:space="preserve"> of cognit</w:t>
      </w:r>
      <w:r w:rsidR="002C5B1B">
        <w:t>ion</w:t>
      </w:r>
      <w:r>
        <w:t xml:space="preserve"> typically include an architecture</w:t>
      </w:r>
      <w:r w:rsidR="002C5B1B">
        <w:t>. Cognitive architectures take many forms –</w:t>
      </w:r>
      <w:r>
        <w:t xml:space="preserve"> classical, conn</w:t>
      </w:r>
      <w:r w:rsidR="002C5B1B">
        <w:t>ectionist, dynamicist, subsumption, associationist –</w:t>
      </w:r>
      <w:r>
        <w:t xml:space="preserve"> but</w:t>
      </w:r>
      <w:r w:rsidR="0013357F">
        <w:t xml:space="preserve">, essentially, the architecture is the collection of basic elements and operations that constitute the </w:t>
      </w:r>
      <w:r>
        <w:t>cognitive system</w:t>
      </w:r>
      <w:r w:rsidR="009F42A9">
        <w:t>,</w:t>
      </w:r>
      <w:r w:rsidR="0013357F">
        <w:t xml:space="preserve"> together with any fixed structure or structure-related constraints on th</w:t>
      </w:r>
      <w:r w:rsidR="009F42A9">
        <w:t>e execution of those operations; it is the collection of tools available to play a causal-explanatory role at the level of cognition.</w:t>
      </w:r>
      <w:r>
        <w:t xml:space="preserve"> In </w:t>
      </w:r>
      <w:r w:rsidR="0013357F">
        <w:t>the case of computational models,</w:t>
      </w:r>
      <w:r>
        <w:t xml:space="preserve"> </w:t>
      </w:r>
      <w:r w:rsidR="0013357F">
        <w:t>the cognitive architecture includes the stock of atomic mental representations</w:t>
      </w:r>
      <w:r>
        <w:t xml:space="preserve"> and </w:t>
      </w:r>
      <w:r w:rsidR="009F42A9">
        <w:t xml:space="preserve">a description of </w:t>
      </w:r>
      <w:r>
        <w:t>their processing-relate</w:t>
      </w:r>
      <w:r w:rsidR="0013357F">
        <w:t>d properties, the</w:t>
      </w:r>
      <w:r>
        <w:t xml:space="preserve"> o</w:t>
      </w:r>
      <w:r w:rsidR="0013357F">
        <w:t xml:space="preserve">perations available (including such things as parameter settings relevant to the performing of those operations – say, decay rates in a short-term memory buffer – and </w:t>
      </w:r>
      <w:r>
        <w:t>rules for compounding those operations in</w:t>
      </w:r>
      <w:r w:rsidR="009F42A9">
        <w:t>to more complex operations), and</w:t>
      </w:r>
      <w:r>
        <w:t xml:space="preserve"> also the components that play a different role in the overall functioning of the cognitive system</w:t>
      </w:r>
      <w:r w:rsidR="002F6018">
        <w:t xml:space="preserve"> – </w:t>
      </w:r>
      <w:r w:rsidR="0013357F">
        <w:t>what is distinctive of them</w:t>
      </w:r>
      <w:r>
        <w:t xml:space="preserve"> and how they’re connecte</w:t>
      </w:r>
      <w:r w:rsidR="009F42A9">
        <w:t>d to each other. For example</w:t>
      </w:r>
      <w:r w:rsidR="002F6018">
        <w:t>,</w:t>
      </w:r>
      <w:r>
        <w:t xml:space="preserve"> face recognition</w:t>
      </w:r>
      <w:r w:rsidR="002F6018">
        <w:t xml:space="preserve"> in humans</w:t>
      </w:r>
      <w:r>
        <w:t xml:space="preserve"> might proceed by a series of operations that is relatively independent of the processing of the incoming speech stream, and</w:t>
      </w:r>
      <w:r w:rsidR="002F6018">
        <w:t xml:space="preserve"> it may be left to</w:t>
      </w:r>
      <w:r>
        <w:t xml:space="preserve"> a third</w:t>
      </w:r>
      <w:r w:rsidR="002F6018">
        <w:t>, downstream component to</w:t>
      </w:r>
      <w:r>
        <w:t xml:space="preserve"> localize the source of the speech (thereby binding it to a face, if one is available). If so</w:t>
      </w:r>
      <w:r w:rsidR="002F6018">
        <w:t>, these are architectural facts –</w:t>
      </w:r>
      <w:r>
        <w:t xml:space="preserve"> about which components of the c</w:t>
      </w:r>
      <w:r w:rsidR="001E4F75">
        <w:t>ognitive system transfer information to</w:t>
      </w:r>
      <w:r>
        <w:t xml:space="preserve"> which others, to what extent they do,</w:t>
      </w:r>
      <w:r w:rsidR="002F6018">
        <w:t xml:space="preserve"> </w:t>
      </w:r>
      <w:r w:rsidR="009F42A9">
        <w:t xml:space="preserve">what limitations there are on such communication, and </w:t>
      </w:r>
      <w:r w:rsidR="002F6018">
        <w:t>what</w:t>
      </w:r>
      <w:r w:rsidR="009F42A9">
        <w:t xml:space="preserve"> forms of behavior they control as a result</w:t>
      </w:r>
      <w:r w:rsidR="001E4F75">
        <w:t>.</w:t>
      </w:r>
    </w:p>
    <w:p w14:paraId="614E8DEA" w14:textId="77777777" w:rsidR="009F42A9" w:rsidRDefault="009F42A9" w:rsidP="007362D0">
      <w:pPr>
        <w:pStyle w:val="Standard"/>
      </w:pPr>
    </w:p>
    <w:p w14:paraId="0C3623F7" w14:textId="68531B45" w:rsidR="001E4F75" w:rsidRDefault="0043433F" w:rsidP="007362D0">
      <w:pPr>
        <w:pStyle w:val="Standard"/>
      </w:pPr>
      <w:r>
        <w:t xml:space="preserve">     </w:t>
      </w:r>
      <w:r w:rsidR="00AF460E">
        <w:t>The precedi</w:t>
      </w:r>
      <w:r w:rsidR="009F42A9">
        <w:t>ng provides a sketch of the tools available</w:t>
      </w:r>
      <w:r w:rsidR="001E4F75">
        <w:t xml:space="preserve"> for</w:t>
      </w:r>
      <w:r w:rsidR="009F42A9">
        <w:t xml:space="preserve"> the construction of</w:t>
      </w:r>
      <w:r w:rsidR="001E4F75">
        <w:t xml:space="preserve"> specific models of</w:t>
      </w:r>
      <w:r w:rsidR="00AF460E">
        <w:t xml:space="preserve"> human cognition</w:t>
      </w:r>
      <w:r w:rsidR="001E4F75">
        <w:t xml:space="preserve"> processing</w:t>
      </w:r>
      <w:r w:rsidR="00AF460E">
        <w:t>. Modeling that employs such tools has been productive (see, for example, various incarnations and applications of the ACT-R and SOAR architectures), although there is widespread debate among cognitive scientists as to whether this kind of modeling is on the right track or whether alternatives should be pursued</w:t>
      </w:r>
      <w:r w:rsidR="009F42A9">
        <w:t xml:space="preserve"> more intensely</w:t>
      </w:r>
      <w:r w:rsidR="00AF460E">
        <w:t xml:space="preserve"> (cf. Ch</w:t>
      </w:r>
      <w:r w:rsidR="001F4CA1">
        <w:t>emero 2009</w:t>
      </w:r>
      <w:r w:rsidR="001E4F75">
        <w:t xml:space="preserve">). </w:t>
      </w:r>
    </w:p>
    <w:p w14:paraId="1D1A354B" w14:textId="77777777" w:rsidR="009F42A9" w:rsidRDefault="009F42A9" w:rsidP="007362D0">
      <w:pPr>
        <w:pStyle w:val="Standard"/>
      </w:pPr>
    </w:p>
    <w:p w14:paraId="01DA779F" w14:textId="65C63242" w:rsidR="001E4F75" w:rsidRDefault="002F6018" w:rsidP="007362D0">
      <w:pPr>
        <w:pStyle w:val="Standard"/>
      </w:pPr>
      <w:r>
        <w:t xml:space="preserve">     C</w:t>
      </w:r>
      <w:r w:rsidR="001E4F75">
        <w:t>onsider</w:t>
      </w:r>
      <w:r>
        <w:t>, now,</w:t>
      </w:r>
      <w:r w:rsidR="001E4F75">
        <w:t xml:space="preserve"> the dual</w:t>
      </w:r>
      <w:r w:rsidR="00AF460E">
        <w:t xml:space="preserve"> </w:t>
      </w:r>
      <w:r w:rsidR="001E4F75">
        <w:t xml:space="preserve">role that </w:t>
      </w:r>
      <w:r w:rsidR="00AF460E">
        <w:t>modeling</w:t>
      </w:r>
      <w:r>
        <w:t xml:space="preserve"> might play</w:t>
      </w:r>
      <w:r w:rsidR="001E4F75">
        <w:t xml:space="preserve"> in the current context. On the one hand, modeling permeates the sciences. So, in describing the tools for modeling human cognition, I am providing no more or less than one would provide in connection with any other science. But</w:t>
      </w:r>
      <w:r>
        <w:t>,</w:t>
      </w:r>
      <w:r w:rsidR="001E4F75">
        <w:t xml:space="preserve"> this is a model of</w:t>
      </w:r>
      <w:r>
        <w:t xml:space="preserve"> human thought, and thus should, in principle, model the very cognitive processes involved in the formulation and use of models, including the formulation and use of cognitive models</w:t>
      </w:r>
      <w:r w:rsidR="001E4F75">
        <w:t>.</w:t>
      </w:r>
      <w:r w:rsidR="00643FFB">
        <w:t xml:space="preserve"> This </w:t>
      </w:r>
      <w:r w:rsidR="009F42A9">
        <w:t xml:space="preserve">requirement might seem most pressing </w:t>
      </w:r>
      <w:r w:rsidR="00643FFB">
        <w:t>i</w:t>
      </w:r>
      <w:r w:rsidR="009F42A9">
        <w:t>f one has a certain general view</w:t>
      </w:r>
      <w:r w:rsidR="00643FFB">
        <w:t xml:space="preserve"> about human cognition.</w:t>
      </w:r>
      <w:r w:rsidR="001E4F75">
        <w:t xml:space="preserve"> </w:t>
      </w:r>
      <w:r w:rsidR="00AF460E">
        <w:t>I cont</w:t>
      </w:r>
      <w:r w:rsidR="001E4F75">
        <w:t>end that modeling manifests our fundamental cognitive urge: we model everything from the motions of objects in the heavenly bodies to the minds and behaviors of our conspecifics.</w:t>
      </w:r>
      <w:r w:rsidR="00AF460E">
        <w:t xml:space="preserve"> We are</w:t>
      </w:r>
      <w:r w:rsidR="001E4F75">
        <w:t>, cognitively speaking,</w:t>
      </w:r>
      <w:r w:rsidR="00AF460E">
        <w:t xml:space="preserve"> modelers in the first instance</w:t>
      </w:r>
      <w:r w:rsidR="00107008">
        <w:t xml:space="preserve"> (and I am inclined to think that language-use is itself an act of model-application, which accounts for much of the context-specificity of language use)</w:t>
      </w:r>
      <w:r w:rsidR="00AF460E">
        <w:t xml:space="preserve">. Everyday </w:t>
      </w:r>
      <w:r w:rsidR="00643FFB">
        <w:t>thought models</w:t>
      </w:r>
      <w:r w:rsidR="001E4F75">
        <w:t xml:space="preserve"> everyday data and the systems giving rise to it</w:t>
      </w:r>
      <w:r w:rsidR="00AF460E">
        <w:t>; scientific thought models</w:t>
      </w:r>
      <w:r w:rsidR="009F42A9">
        <w:t xml:space="preserve"> more carefully</w:t>
      </w:r>
      <w:r w:rsidR="00AF460E">
        <w:t xml:space="preserve"> </w:t>
      </w:r>
      <w:r w:rsidR="009F42A9">
        <w:t xml:space="preserve">data that is </w:t>
      </w:r>
      <w:r w:rsidR="00AF460E">
        <w:t>systematically collec</w:t>
      </w:r>
      <w:r w:rsidR="009F42A9">
        <w:t>ted or experimentally produced</w:t>
      </w:r>
      <w:r w:rsidR="001E4F75">
        <w:t>. B</w:t>
      </w:r>
      <w:r w:rsidR="00AF460E">
        <w:t>ut</w:t>
      </w:r>
      <w:r w:rsidR="001E4F75">
        <w:t>, all</w:t>
      </w:r>
      <w:r w:rsidR="00AF460E">
        <w:t xml:space="preserve"> human understanding is esse</w:t>
      </w:r>
      <w:r w:rsidR="007A7297">
        <w:t xml:space="preserve">ntially an exercise in modeling, and </w:t>
      </w:r>
      <w:r w:rsidR="00643FFB">
        <w:t>this includes the understanding of how we formulate and use models in cognitive science or philosophy.</w:t>
      </w:r>
    </w:p>
    <w:p w14:paraId="5CFB8250" w14:textId="792B1458" w:rsidR="00180426" w:rsidRDefault="007A7297" w:rsidP="003E649C">
      <w:pPr>
        <w:pStyle w:val="Standard"/>
      </w:pPr>
      <w:r>
        <w:t xml:space="preserve">     T</w:t>
      </w:r>
      <w:r w:rsidR="009F42A9">
        <w:t>he preceding sketch of the tools available for the</w:t>
      </w:r>
      <w:r w:rsidR="00643FFB">
        <w:t xml:space="preserve"> modeling of cognition</w:t>
      </w:r>
      <w:r w:rsidR="009F42A9">
        <w:t xml:space="preserve"> also</w:t>
      </w:r>
      <w:r w:rsidR="00643FFB">
        <w:t xml:space="preserve"> provides the materials</w:t>
      </w:r>
      <w:r w:rsidR="009F42A9">
        <w:t xml:space="preserve"> for</w:t>
      </w:r>
      <w:r w:rsidR="0043433F">
        <w:t xml:space="preserve"> self-reflective modeling</w:t>
      </w:r>
      <w:r w:rsidR="009F42A9">
        <w:t>, for modeling the cognitive act of modeling</w:t>
      </w:r>
      <w:r w:rsidR="0043433F">
        <w:t>. We are modelers, and thus, when we turn to understanding ourselves</w:t>
      </w:r>
      <w:r w:rsidR="00643FFB">
        <w:t>,</w:t>
      </w:r>
      <w:r w:rsidR="0043433F">
        <w:t xml:space="preserve"> we construct models of human cognition itself</w:t>
      </w:r>
      <w:r w:rsidR="001E4F75">
        <w:t>, models of how we model the world</w:t>
      </w:r>
      <w:r w:rsidR="0043433F">
        <w:t>. Such modeling is vindicated by the results. (Presumably, the world is the sort of thing subjec</w:t>
      </w:r>
      <w:r w:rsidR="00643FFB">
        <w:t>t to modeling; the success of our various</w:t>
      </w:r>
      <w:r w:rsidR="0043433F">
        <w:t xml:space="preserve"> modeling enterprises itself is best explained by the assumption that the world is the sort of things with recurring elements and </w:t>
      </w:r>
      <w:r w:rsidR="00643FFB">
        <w:t xml:space="preserve">standing </w:t>
      </w:r>
      <w:r w:rsidR="0043433F">
        <w:t>relations</w:t>
      </w:r>
      <w:r w:rsidR="00643FFB">
        <w:t xml:space="preserve"> among them</w:t>
      </w:r>
      <w:r w:rsidR="0043433F">
        <w:t xml:space="preserve"> and is thus amenable to modeling.) In what follows, I will try explain away the relevant data concerning mental representations by applying the roughly computational model sketched above to show how we </w:t>
      </w:r>
      <w:r w:rsidR="00643FFB">
        <w:t xml:space="preserve">naturally </w:t>
      </w:r>
      <w:r w:rsidR="0043433F">
        <w:t>model our own experiences</w:t>
      </w:r>
      <w:r w:rsidR="00643FFB">
        <w:t xml:space="preserve"> and, to some extent our own thinking, erroneously;</w:t>
      </w:r>
      <w:r w:rsidR="001E4F75">
        <w:t xml:space="preserve"> I will attempt to model</w:t>
      </w:r>
      <w:r w:rsidR="0043433F">
        <w:t xml:space="preserve"> how we</w:t>
      </w:r>
      <w:r w:rsidR="00643FFB">
        <w:t xml:space="preserve"> naturally</w:t>
      </w:r>
      <w:r w:rsidR="0043433F">
        <w:t xml:space="preserve"> construct a model that includ</w:t>
      </w:r>
      <w:r w:rsidR="00643FFB">
        <w:t>es a property of intrinsic, subjective internalist representation</w:t>
      </w:r>
      <w:r w:rsidR="0043433F">
        <w:t>, in the absence of anything having</w:t>
      </w:r>
      <w:r w:rsidR="001E4F75">
        <w:t xml:space="preserve"> that</w:t>
      </w:r>
      <w:r w:rsidR="00643FFB">
        <w:t xml:space="preserve"> property. Furthermore</w:t>
      </w:r>
      <w:r w:rsidR="001E4F75">
        <w:t>, the model I suggest of</w:t>
      </w:r>
      <w:r w:rsidR="0043433F">
        <w:t xml:space="preserve"> the process of </w:t>
      </w:r>
      <w:r w:rsidR="001E4F75">
        <w:t xml:space="preserve">constructing an erroneous model </w:t>
      </w:r>
      <w:r w:rsidR="0043433F">
        <w:t>includes only objective</w:t>
      </w:r>
      <w:r w:rsidR="00643FFB">
        <w:t>, tracking</w:t>
      </w:r>
      <w:r w:rsidR="0043433F">
        <w:t xml:space="preserve"> representation</w:t>
      </w:r>
      <w:r w:rsidR="00643FFB">
        <w:t>, at least so far as representation or content goes.</w:t>
      </w:r>
      <w:r w:rsidR="0043433F">
        <w:t xml:space="preserve"> </w:t>
      </w:r>
      <w:r w:rsidR="00643FFB">
        <w:t>In effect, then, I argue that</w:t>
      </w:r>
      <w:r w:rsidR="0043433F">
        <w:t xml:space="preserve"> there is only objective</w:t>
      </w:r>
      <w:r w:rsidR="00643FFB">
        <w:t>, tracking</w:t>
      </w:r>
      <w:r w:rsidR="0043433F">
        <w:t xml:space="preserve"> mental representation by invoking a model that includes only</w:t>
      </w:r>
      <w:r w:rsidR="00643FFB">
        <w:t xml:space="preserve"> this one form of</w:t>
      </w:r>
      <w:r w:rsidR="0043433F">
        <w:t xml:space="preserve"> representation</w:t>
      </w:r>
      <w:r w:rsidR="00643FFB">
        <w:t xml:space="preserve"> (together with other elements of the standard package)</w:t>
      </w:r>
      <w:r w:rsidR="0043433F">
        <w:t xml:space="preserve"> to explain why we produce the data that would seem to support the existence of subjec</w:t>
      </w:r>
      <w:r w:rsidR="00643FFB">
        <w:t>tive representation, by</w:t>
      </w:r>
      <w:r w:rsidR="0043433F">
        <w:t xml:space="preserve"> explaining how humans construct models of their own psychological processing that contain repres</w:t>
      </w:r>
      <w:r w:rsidR="00643FFB">
        <w:t xml:space="preserve">entations with empty reference, </w:t>
      </w:r>
      <w:r w:rsidR="0043433F">
        <w:t>representations that</w:t>
      </w:r>
      <w:r w:rsidR="001E4F75">
        <w:t xml:space="preserve"> nevertheless</w:t>
      </w:r>
      <w:r w:rsidR="0043433F">
        <w:t xml:space="preserve"> help to produce reports </w:t>
      </w:r>
      <w:r>
        <w:t>that include such terms as</w:t>
      </w:r>
      <w:r w:rsidR="00643FFB">
        <w:t xml:space="preserve"> </w:t>
      </w:r>
      <w:r>
        <w:t>‘</w:t>
      </w:r>
      <w:r w:rsidR="00643FFB">
        <w:t>subjective representation</w:t>
      </w:r>
      <w:r>
        <w:t>’</w:t>
      </w:r>
      <w:r w:rsidR="0043433F">
        <w:t>.</w:t>
      </w:r>
    </w:p>
    <w:p w14:paraId="7539B881" w14:textId="5E21C553" w:rsidR="007362D0" w:rsidRDefault="00874A7A" w:rsidP="00EE6346">
      <w:pPr>
        <w:pStyle w:val="Standard"/>
        <w:jc w:val="center"/>
      </w:pPr>
      <w:r>
        <w:t>IV</w:t>
      </w:r>
      <w:r w:rsidR="00EE6346">
        <w:t xml:space="preserve">. </w:t>
      </w:r>
      <w:r w:rsidR="00180426">
        <w:t>Explaining the</w:t>
      </w:r>
      <w:r w:rsidR="007362D0">
        <w:t xml:space="preserve"> cases</w:t>
      </w:r>
    </w:p>
    <w:p w14:paraId="386A8B7D" w14:textId="2750E66A" w:rsidR="002620D6" w:rsidRDefault="00017009" w:rsidP="009C6C13">
      <w:pPr>
        <w:pStyle w:val="Standard"/>
      </w:pPr>
      <w:r>
        <w:t>In Uriah Kriegel’s complement</w:t>
      </w:r>
      <w:r w:rsidR="00CF7E80">
        <w:t>ary p</w:t>
      </w:r>
      <w:r w:rsidR="00643FFB">
        <w:t xml:space="preserve">iece (this volume), he lays out a range of </w:t>
      </w:r>
      <w:r w:rsidR="00CF7E80">
        <w:t>kinds of intuition (or conceptual judgment</w:t>
      </w:r>
      <w:r>
        <w:t>) that seem to e</w:t>
      </w:r>
      <w:r w:rsidR="00643FFB">
        <w:t>ntail the existence of a distinctive form of</w:t>
      </w:r>
      <w:r w:rsidR="006C4023">
        <w:t xml:space="preserve"> sub</w:t>
      </w:r>
      <w:r w:rsidR="00874A7A">
        <w:t>jective content. He expresses the first of these as follows:</w:t>
      </w:r>
      <w:r w:rsidR="004126CE">
        <w:t xml:space="preserve"> </w:t>
      </w:r>
      <w:r w:rsidR="009C6C13">
        <w:t>“There are conceptually possible scenarios where representation varies in the objective sense but remains invariant in the subjective sense”</w:t>
      </w:r>
      <w:r w:rsidR="00874A7A">
        <w:t xml:space="preserve"> (ms, p. 3). As an example of such a scenario, Kriegel describes a co</w:t>
      </w:r>
      <w:r w:rsidR="007D6959">
        <w:t>lor-inverted world, that is, a world</w:t>
      </w:r>
      <w:r w:rsidR="00874A7A">
        <w:t xml:space="preserve"> in which human subjects have the same </w:t>
      </w:r>
      <w:r w:rsidR="00643FFB">
        <w:t xml:space="preserve">color experiences, but in which </w:t>
      </w:r>
      <w:r w:rsidR="00874A7A">
        <w:t>the colors in the world have been</w:t>
      </w:r>
      <w:r w:rsidR="00643FFB">
        <w:t xml:space="preserve"> systematically</w:t>
      </w:r>
      <w:r w:rsidR="00874A7A">
        <w:t xml:space="preserve"> swapped</w:t>
      </w:r>
      <w:r w:rsidR="00643FFB">
        <w:t xml:space="preserve"> (for instan</w:t>
      </w:r>
      <w:r w:rsidR="00653E72">
        <w:t>ce, subjects employ the actual-E</w:t>
      </w:r>
      <w:r w:rsidR="00643FFB">
        <w:t>arth internal color experience of red to track what are now blue things – e.g., red delicious apples – in the environment)</w:t>
      </w:r>
      <w:r w:rsidR="00874A7A">
        <w:t>.</w:t>
      </w:r>
    </w:p>
    <w:p w14:paraId="09613F5B" w14:textId="1A00DFFA" w:rsidR="00CF7E80" w:rsidRDefault="004726D4" w:rsidP="009C6C13">
      <w:pPr>
        <w:pStyle w:val="Standard"/>
      </w:pPr>
      <w:r>
        <w:t xml:space="preserve">     </w:t>
      </w:r>
      <w:r w:rsidR="00653E72">
        <w:t>In my view, we can, and should, account for the judgment in quest</w:t>
      </w:r>
      <w:r w:rsidR="00B8339D">
        <w:t>ion without invoking a kind of</w:t>
      </w:r>
      <w:r w:rsidR="00653E72">
        <w:t xml:space="preserve"> subject</w:t>
      </w:r>
      <w:r w:rsidR="003E7778">
        <w:t>ive representa</w:t>
      </w:r>
      <w:r w:rsidR="00B8339D">
        <w:t>tion</w:t>
      </w:r>
      <w:r w:rsidR="003E7778">
        <w:t xml:space="preserve"> that</w:t>
      </w:r>
      <w:r w:rsidR="00653E72">
        <w:t xml:space="preserve"> remains constant across</w:t>
      </w:r>
      <w:r w:rsidR="00B8339D">
        <w:t xml:space="preserve"> subjects in</w:t>
      </w:r>
      <w:r w:rsidR="00653E72">
        <w:t xml:space="preserve"> the color-inverted and actual worlds. Insofar as the judgment itself involves a concept of such constant representation, the</w:t>
      </w:r>
      <w:r w:rsidR="00CF7E80">
        <w:t xml:space="preserve"> task in what follows is to model this erroneous appli</w:t>
      </w:r>
      <w:r w:rsidR="00653E72">
        <w:t>cation of the concept of representation</w:t>
      </w:r>
      <w:r w:rsidR="00CF7E80">
        <w:t>. But, first, two preliminaries: Notice an element missing from the package described in section III: a self</w:t>
      </w:r>
      <w:r w:rsidR="000848F0">
        <w:t>, beyond the architecture (see Rupert 2009, for further discussion)</w:t>
      </w:r>
      <w:r w:rsidR="00F35608">
        <w:t>. Among</w:t>
      </w:r>
      <w:r w:rsidR="00CF7E80">
        <w:t xml:space="preserve"> the endur</w:t>
      </w:r>
      <w:r w:rsidR="000848F0">
        <w:t>ing commitments</w:t>
      </w:r>
      <w:r w:rsidR="00B8339D">
        <w:t xml:space="preserve"> of</w:t>
      </w:r>
      <w:r w:rsidR="00CF7E80">
        <w:t xml:space="preserve"> philosophy of mind </w:t>
      </w:r>
      <w:r w:rsidR="000848F0">
        <w:t>is that there exists</w:t>
      </w:r>
      <w:r w:rsidR="00F35608">
        <w:t xml:space="preserve"> an entity, a person, </w:t>
      </w:r>
      <w:r w:rsidR="00CF7E80">
        <w:t>to whom subjecti</w:t>
      </w:r>
      <w:r w:rsidR="00F35608">
        <w:t xml:space="preserve">ve, personal-level </w:t>
      </w:r>
      <w:r w:rsidR="000848F0">
        <w:t>content is presented</w:t>
      </w:r>
      <w:r w:rsidR="001F4CA1">
        <w:t xml:space="preserve"> (McDowell 1994</w:t>
      </w:r>
      <w:r w:rsidR="00F35608">
        <w:t>)</w:t>
      </w:r>
      <w:r w:rsidR="000848F0">
        <w:t>.</w:t>
      </w:r>
      <w:r w:rsidR="00B8339D">
        <w:t xml:space="preserve"> I find such a view unmotivated, however.</w:t>
      </w:r>
      <w:r w:rsidR="000848F0">
        <w:t xml:space="preserve"> It is true that subjects</w:t>
      </w:r>
      <w:r w:rsidR="00CF7E80">
        <w:t xml:space="preserve"> learn to </w:t>
      </w:r>
      <w:r w:rsidR="000848F0">
        <w:t>use such pronouns as ‘I’ and a valence of conviction colors many uses of them (in such sentences as “</w:t>
      </w:r>
      <w:r w:rsidR="000848F0">
        <w:rPr>
          <w:i/>
        </w:rPr>
        <w:t>I</w:t>
      </w:r>
      <w:r w:rsidR="000848F0">
        <w:t xml:space="preserve"> am the one who sees; m</w:t>
      </w:r>
      <w:r w:rsidR="00F35608">
        <w:t>y visual cortex doesn’t see!”).</w:t>
      </w:r>
      <w:r w:rsidR="009D0D7E">
        <w:rPr>
          <w:rStyle w:val="FootnoteReference"/>
        </w:rPr>
        <w:footnoteReference w:id="3"/>
      </w:r>
      <w:r w:rsidR="00F35608">
        <w:t xml:space="preserve"> </w:t>
      </w:r>
      <w:r w:rsidR="00B8339D">
        <w:t>Moreover, i</w:t>
      </w:r>
      <w:r w:rsidR="00F35608">
        <w:t>t might be, for example, that certain forms of executive control work more efficiently if there is a set of compound mental representations (recall the discussion of conceptions)</w:t>
      </w:r>
      <w:r w:rsidR="00107008">
        <w:t xml:space="preserve"> that is</w:t>
      </w:r>
      <w:r w:rsidR="00F35608">
        <w:t xml:space="preserve"> </w:t>
      </w:r>
      <w:r w:rsidR="00107008">
        <w:t>specially rigged to motor output and such that all of the compound strings in the set share a</w:t>
      </w:r>
      <w:r w:rsidR="00F35608">
        <w:t xml:space="preserve"> common</w:t>
      </w:r>
      <w:r w:rsidR="00107008">
        <w:t xml:space="preserve"> atomic</w:t>
      </w:r>
      <w:r w:rsidR="00F35608">
        <w:t xml:space="preserve"> representational element that we would naturally describe as a </w:t>
      </w:r>
      <w:r w:rsidR="00107008">
        <w:t xml:space="preserve">way to refer to oneself. </w:t>
      </w:r>
      <w:r w:rsidR="00B8339D">
        <w:t xml:space="preserve"> But none of this entails the existence of an entity or distinctive construct, the self, intuitions about which ground claims about subjective representation. </w:t>
      </w:r>
      <w:r w:rsidR="00107008">
        <w:t xml:space="preserve">Of course, the fact that some of us make the judgments in question (that, for example, the </w:t>
      </w:r>
      <w:r w:rsidR="00107008">
        <w:rPr>
          <w:i/>
        </w:rPr>
        <w:t>person</w:t>
      </w:r>
      <w:r w:rsidR="00107008">
        <w:t xml:space="preserve"> sees, not the cortex) m</w:t>
      </w:r>
      <w:r w:rsidR="009D0D7E">
        <w:t xml:space="preserve">ust be accounted </w:t>
      </w:r>
      <w:r w:rsidR="00B8339D">
        <w:t>for somehow. If the standard package can do so, however, without presupposing a distinctive person who, for instance, makes reliable judgments about what contents are presented to it, judgments that might be used to argue in favor of the existence of a distinctive f</w:t>
      </w:r>
      <w:r w:rsidR="002747BD">
        <w:t>orm of subjective content, this may support an eliminativism about the self.</w:t>
      </w:r>
      <w:r w:rsidR="00B8339D">
        <w:t xml:space="preserve"> </w:t>
      </w:r>
      <w:r w:rsidR="002747BD">
        <w:t xml:space="preserve">I will not pursue this project in any detail, but </w:t>
      </w:r>
      <w:r w:rsidR="00B8339D">
        <w:t xml:space="preserve">the </w:t>
      </w:r>
      <w:r w:rsidR="002747BD">
        <w:t xml:space="preserve">following </w:t>
      </w:r>
      <w:r w:rsidR="00B8339D">
        <w:t>discussi</w:t>
      </w:r>
      <w:r w:rsidR="002747BD">
        <w:t>on</w:t>
      </w:r>
      <w:r w:rsidR="009D0D7E">
        <w:t xml:space="preserve"> the causal efficacy of vehicles and </w:t>
      </w:r>
      <w:r w:rsidR="002747BD">
        <w:t xml:space="preserve">of </w:t>
      </w:r>
      <w:r w:rsidR="009D0D7E">
        <w:t xml:space="preserve">the </w:t>
      </w:r>
      <w:r w:rsidR="002747BD">
        <w:t xml:space="preserve">illusion of internal content should provide the reader with a further </w:t>
      </w:r>
      <w:r w:rsidR="009D0D7E">
        <w:t>sense of how I t</w:t>
      </w:r>
      <w:r w:rsidR="002747BD">
        <w:t xml:space="preserve">hink one best accounts for </w:t>
      </w:r>
      <w:r w:rsidR="009D0D7E">
        <w:t>intuitions about</w:t>
      </w:r>
      <w:r w:rsidR="002747BD">
        <w:t xml:space="preserve"> a</w:t>
      </w:r>
      <w:r w:rsidR="009D0D7E">
        <w:t xml:space="preserve"> distinctively personal-l</w:t>
      </w:r>
      <w:r w:rsidR="002747BD">
        <w:t>evel</w:t>
      </w:r>
      <w:r w:rsidR="009D0D7E">
        <w:t>.</w:t>
      </w:r>
    </w:p>
    <w:p w14:paraId="7114AF63" w14:textId="733AA252" w:rsidR="004726D4" w:rsidRDefault="004726D4" w:rsidP="009C6C13">
      <w:pPr>
        <w:pStyle w:val="Standard"/>
      </w:pPr>
      <w:r>
        <w:t xml:space="preserve">     Second, </w:t>
      </w:r>
      <w:r w:rsidR="00BE529F">
        <w:t>I propose to muddy the distinction made earlier between inferential- or conceptual-role theories of content, on the one hand, and externalist theories of content, on the other. From my perspective, what is essential</w:t>
      </w:r>
      <w:r w:rsidR="00CE773B">
        <w:t xml:space="preserve"> to externalist theories</w:t>
      </w:r>
      <w:r w:rsidR="00BE529F">
        <w:t xml:space="preserve"> are their tracking nature – the fact that some kind of causal, covariation</w:t>
      </w:r>
      <w:r w:rsidR="002747BD">
        <w:t>al</w:t>
      </w:r>
      <w:r w:rsidR="00BE529F">
        <w:t>,</w:t>
      </w:r>
      <w:r w:rsidR="002747BD">
        <w:t xml:space="preserve"> or</w:t>
      </w:r>
      <w:r w:rsidR="00BE529F">
        <w:t xml:space="preserve"> informational relation holds between the representing vehicle and the individual, property, or kind r</w:t>
      </w:r>
      <w:r w:rsidR="00CE773B">
        <w:t>epresented. When conceived of as purely a matter of tracking,</w:t>
      </w:r>
      <w:r w:rsidR="002747BD">
        <w:t xml:space="preserve"> though,</w:t>
      </w:r>
      <w:r w:rsidR="00CE773B">
        <w:t xml:space="preserve"> </w:t>
      </w:r>
      <w:r w:rsidR="00BE529F">
        <w:t>the</w:t>
      </w:r>
      <w:r w:rsidR="00CE773B">
        <w:t xml:space="preserve"> issue of location becomes irrelevant;</w:t>
      </w:r>
      <w:r w:rsidR="00BE529F">
        <w:t xml:space="preserve"> </w:t>
      </w:r>
      <w:r w:rsidR="00CE773B">
        <w:t>the thing being tracked can just as well be internal as</w:t>
      </w:r>
      <w:r w:rsidR="002747BD">
        <w:t xml:space="preserve"> it can be</w:t>
      </w:r>
      <w:r w:rsidR="00BE529F">
        <w:t xml:space="preserve"> external to the human organism in which the tracking vehicle appears. </w:t>
      </w:r>
      <w:r w:rsidR="008718B1">
        <w:t>There’s nothing unusual about this idea from th</w:t>
      </w:r>
      <w:r w:rsidR="002747BD">
        <w:t>e standpoint of cognitive modeling</w:t>
      </w:r>
      <w:r w:rsidR="008718B1">
        <w:t>; it’s common enough to inc</w:t>
      </w:r>
      <w:r w:rsidR="00754C28">
        <w:t>lude “pointers”</w:t>
      </w:r>
      <w:r w:rsidR="008718B1">
        <w:t xml:space="preserve"> – that is, units that function to represent other units (e.g., the units stored at an address to which the pointer points</w:t>
      </w:r>
      <w:r w:rsidR="002747BD">
        <w:t xml:space="preserve"> </w:t>
      </w:r>
      <w:r w:rsidR="00754C28">
        <w:t>[</w:t>
      </w:r>
      <w:r w:rsidR="002747BD">
        <w:t>Newell and Simon</w:t>
      </w:r>
      <w:r w:rsidR="001F4CA1">
        <w:t xml:space="preserve"> 1997/1976</w:t>
      </w:r>
      <w:r w:rsidR="00754C28">
        <w:t>]</w:t>
      </w:r>
      <w:r w:rsidR="008718B1">
        <w:t>)</w:t>
      </w:r>
      <w:r w:rsidR="00754C28">
        <w:t xml:space="preserve"> – in computational models. Additionally, </w:t>
      </w:r>
      <w:r w:rsidR="008718B1">
        <w:t>the complex pattern of neural connections one finds in the humans suggests an abundance of within-brain tracking relations</w:t>
      </w:r>
      <w:r w:rsidR="00CE773B">
        <w:t xml:space="preserve"> (Goldman-Rakic</w:t>
      </w:r>
      <w:r w:rsidR="001F4CA1">
        <w:t xml:space="preserve"> 1987</w:t>
      </w:r>
      <w:r w:rsidR="00CE773B">
        <w:t>)</w:t>
      </w:r>
      <w:r w:rsidR="008718B1">
        <w:t xml:space="preserve">. </w:t>
      </w:r>
      <w:r w:rsidR="009D63D1">
        <w:t>To further muddy the waters, I hold that externalist contents</w:t>
      </w:r>
      <w:r w:rsidR="008718B1">
        <w:t xml:space="preserve"> </w:t>
      </w:r>
      <w:r w:rsidR="009D63D1">
        <w:t xml:space="preserve">in the cognitive </w:t>
      </w:r>
      <w:r w:rsidR="00754C28">
        <w:t>system frequently piggy-back, exhibiting the kinds of relation found in</w:t>
      </w:r>
      <w:r w:rsidR="009D63D1">
        <w:t xml:space="preserve"> case</w:t>
      </w:r>
      <w:r w:rsidR="00754C28">
        <w:t>s</w:t>
      </w:r>
      <w:r w:rsidR="009D63D1">
        <w:t xml:space="preserve"> of linguistic deference</w:t>
      </w:r>
      <w:r w:rsidR="008718B1">
        <w:t>.</w:t>
      </w:r>
      <w:r w:rsidR="00754C28">
        <w:t xml:space="preserve"> For instance, o</w:t>
      </w:r>
      <w:r w:rsidR="008718B1">
        <w:t xml:space="preserve">ne internal vehicle </w:t>
      </w:r>
      <w:r w:rsidR="00754C28">
        <w:t>might borrow</w:t>
      </w:r>
      <w:r w:rsidR="008718B1">
        <w:t xml:space="preserve"> organismically external content from another internal vehicle by </w:t>
      </w:r>
      <w:r w:rsidR="009D63D1">
        <w:t xml:space="preserve">externalistically </w:t>
      </w:r>
      <w:r w:rsidR="008718B1">
        <w:t>representing that second vehicle. (In general, philosophers hav</w:t>
      </w:r>
      <w:r w:rsidR="009D63D1">
        <w:t>e, I think, tended to ignore such possibilities</w:t>
      </w:r>
      <w:r w:rsidR="008718B1">
        <w:t xml:space="preserve"> because of their privileging of a personal-level at which</w:t>
      </w:r>
      <w:r w:rsidR="00754C28">
        <w:t xml:space="preserve"> genuine</w:t>
      </w:r>
      <w:r w:rsidR="008718B1">
        <w:t xml:space="preserve"> c</w:t>
      </w:r>
      <w:r w:rsidR="00754C28">
        <w:t>ontent can</w:t>
      </w:r>
      <w:r w:rsidR="009D63D1">
        <w:t xml:space="preserve"> be content</w:t>
      </w:r>
      <w:r w:rsidR="00754C28">
        <w:t xml:space="preserve"> only</w:t>
      </w:r>
      <w:r w:rsidR="009D63D1">
        <w:t xml:space="preserve"> of a</w:t>
      </w:r>
      <w:r w:rsidR="00754C28">
        <w:t xml:space="preserve"> state of a</w:t>
      </w:r>
      <w:r w:rsidR="008718B1">
        <w:t xml:space="preserve"> complete subject</w:t>
      </w:r>
      <w:r w:rsidR="009D63D1">
        <w:t xml:space="preserve">, which is identified (roughly) with the organism. </w:t>
      </w:r>
      <w:r w:rsidR="008718B1">
        <w:t>On such a view</w:t>
      </w:r>
      <w:r w:rsidR="00754C28">
        <w:t>,</w:t>
      </w:r>
      <w:r w:rsidR="008718B1">
        <w:t xml:space="preserve"> the idea that there could be a vehicle with</w:t>
      </w:r>
      <w:r w:rsidR="00754C28">
        <w:t xml:space="preserve"> internal-</w:t>
      </w:r>
      <w:r w:rsidR="009D63D1">
        <w:t>externalist</w:t>
      </w:r>
      <w:r w:rsidR="008718B1">
        <w:t xml:space="preserve"> tracking content</w:t>
      </w:r>
      <w:r w:rsidR="009D63D1">
        <w:t xml:space="preserve"> – which</w:t>
      </w:r>
      <w:r w:rsidR="00754C28">
        <w:t xml:space="preserve"> content</w:t>
      </w:r>
      <w:r w:rsidR="009D63D1">
        <w:t xml:space="preserve"> is</w:t>
      </w:r>
      <w:r w:rsidR="008718B1">
        <w:t xml:space="preserve"> not sel</w:t>
      </w:r>
      <w:r w:rsidR="009D63D1">
        <w:t>f-revealing at the locus of that vehicle –</w:t>
      </w:r>
      <w:r w:rsidR="008718B1">
        <w:t xml:space="preserve"> doesn’t make sense; any content is content of the entire</w:t>
      </w:r>
      <w:r w:rsidR="00754C28">
        <w:t xml:space="preserve"> organismically oriented</w:t>
      </w:r>
      <w:r w:rsidR="008718B1">
        <w:t xml:space="preserve"> subject, so any </w:t>
      </w:r>
      <w:r w:rsidR="009D63D1">
        <w:t xml:space="preserve">tracking </w:t>
      </w:r>
      <w:r w:rsidR="008718B1">
        <w:t>relation between vehicles</w:t>
      </w:r>
      <w:r w:rsidR="009D63D1">
        <w:t xml:space="preserve"> both of which are internal to the subject</w:t>
      </w:r>
      <w:r w:rsidR="008718B1">
        <w:t xml:space="preserve"> will determine a kind of content that must be accessible, or self-revealing, to the subject as a whole. On my view, all of this talk of entire subjec</w:t>
      </w:r>
      <w:r w:rsidR="009D63D1">
        <w:t xml:space="preserve">ts is misleading or at least </w:t>
      </w:r>
      <w:r w:rsidR="008718B1">
        <w:t>put</w:t>
      </w:r>
      <w:r w:rsidR="009D63D1">
        <w:t>s</w:t>
      </w:r>
      <w:r w:rsidR="008718B1">
        <w:t xml:space="preserve"> the cart </w:t>
      </w:r>
      <w:r w:rsidR="00A431E9">
        <w:t>before</w:t>
      </w:r>
      <w:r w:rsidR="008718B1">
        <w:t xml:space="preserve"> the horse. Let’s first model the data – intelligent behavior and the like – then see what sort of self that modeling yields, and whether it makes sense within that framework to talk about internal representational vehicles the content of which might be no more than ano</w:t>
      </w:r>
      <w:r w:rsidR="009D63D1">
        <w:t>ther internal, tracked vehicle.</w:t>
      </w:r>
      <w:r w:rsidR="00754C28">
        <w:t>)</w:t>
      </w:r>
    </w:p>
    <w:p w14:paraId="791E8370" w14:textId="15F06686" w:rsidR="002C4620" w:rsidRDefault="008718B1" w:rsidP="008718B1">
      <w:pPr>
        <w:pStyle w:val="Standard"/>
      </w:pPr>
      <w:r>
        <w:t xml:space="preserve">     </w:t>
      </w:r>
      <w:r w:rsidR="000D687C">
        <w:t>Preliminaries out of the way, we can ask why philosophers would have the intuition that color-</w:t>
      </w:r>
      <w:r w:rsidR="002C4620">
        <w:t>inverted earth is possible, if</w:t>
      </w:r>
      <w:r w:rsidR="000D687C">
        <w:t xml:space="preserve"> all representational content is external</w:t>
      </w:r>
      <w:r w:rsidR="002C4620">
        <w:t>ist. The judgment in question</w:t>
      </w:r>
      <w:r w:rsidR="000D687C">
        <w:t xml:space="preserve"> involves the application of the concept of representatio</w:t>
      </w:r>
      <w:r w:rsidR="007B0C82">
        <w:t>n or</w:t>
      </w:r>
      <w:r w:rsidR="00E92CBD">
        <w:t xml:space="preserve"> of</w:t>
      </w:r>
      <w:r w:rsidR="007B0C82">
        <w:t xml:space="preserve"> intentionality. Whether the</w:t>
      </w:r>
      <w:r w:rsidR="000D687C">
        <w:t xml:space="preserve"> ju</w:t>
      </w:r>
      <w:r w:rsidR="007B0C82">
        <w:t>dgment is correct</w:t>
      </w:r>
      <w:r w:rsidR="000D687C">
        <w:t xml:space="preserve"> depends on whether </w:t>
      </w:r>
      <w:r w:rsidR="002C4620">
        <w:t>the property represented – that is, the property (or relation) of representing or being about – could be instantiated in</w:t>
      </w:r>
      <w:r w:rsidR="007B0C82">
        <w:t xml:space="preserve"> a world that satisfies the description of color-inverted earth</w:t>
      </w:r>
      <w:r w:rsidR="002C4620">
        <w:t xml:space="preserve"> (or whether, say, given the nature of the intentional relation, th</w:t>
      </w:r>
      <w:r w:rsidR="00E92CBD">
        <w:t>ere simply can’t be</w:t>
      </w:r>
      <w:r w:rsidR="002C4620">
        <w:t xml:space="preserve"> sameness </w:t>
      </w:r>
      <w:r w:rsidR="007B0C82">
        <w:t>in internal intentionality when</w:t>
      </w:r>
      <w:r w:rsidR="002C4620">
        <w:t xml:space="preserve"> there</w:t>
      </w:r>
      <w:r w:rsidR="00E92CBD">
        <w:t xml:space="preserve"> is</w:t>
      </w:r>
      <w:r w:rsidR="002C4620">
        <w:t xml:space="preserve"> difference in external intentionality</w:t>
      </w:r>
      <w:r w:rsidR="007B0C82">
        <w:t>, and so no world satisfies the description in question)</w:t>
      </w:r>
      <w:r w:rsidR="002C4620">
        <w:t xml:space="preserve">. </w:t>
      </w:r>
    </w:p>
    <w:p w14:paraId="7950B06C" w14:textId="6E659389" w:rsidR="009D43A6" w:rsidRDefault="002C4620" w:rsidP="008718B1">
      <w:pPr>
        <w:pStyle w:val="Standard"/>
      </w:pPr>
      <w:r>
        <w:t xml:space="preserve">     How do we acquire the concept of intentionality? Elsewhere (Rupert 2008), I propose</w:t>
      </w:r>
      <w:r w:rsidR="007A15CF">
        <w:t xml:space="preserve"> that the acquisition of REPRESENTS</w:t>
      </w:r>
      <w:r w:rsidR="007B0C82">
        <w:t xml:space="preserve"> SOMETHING</w:t>
      </w:r>
      <w:r w:rsidR="007A15CF">
        <w:t xml:space="preserve"> </w:t>
      </w:r>
      <w:r w:rsidR="007B0C82">
        <w:t>(as a one-placed re</w:t>
      </w:r>
      <w:r w:rsidR="00E92CBD">
        <w:t xml:space="preserve">presentational vehicle) </w:t>
      </w:r>
      <w:r w:rsidR="007A15CF">
        <w:t>proceeds by the application of that vehicle to other internal vehicles, such as COW, DOG, MAMMA, HOUSE</w:t>
      </w:r>
      <w:r w:rsidR="0058138B">
        <w:t xml:space="preserve"> in contrast to its nonapplicat</w:t>
      </w:r>
      <w:r w:rsidR="00E92CBD">
        <w:t>ion to such vehicles as UNICORN</w:t>
      </w:r>
      <w:r w:rsidR="0058138B">
        <w:t>, BOOGIE MAN, and SNIPE.</w:t>
      </w:r>
      <w:r w:rsidR="0058138B">
        <w:rPr>
          <w:rStyle w:val="FootnoteReference"/>
        </w:rPr>
        <w:footnoteReference w:id="4"/>
      </w:r>
      <w:r w:rsidR="00E92CBD">
        <w:t xml:space="preserve"> G</w:t>
      </w:r>
      <w:r w:rsidR="007B0C82">
        <w:t>rouping</w:t>
      </w:r>
      <w:r w:rsidR="00E92CBD">
        <w:t xml:space="preserve"> alone</w:t>
      </w:r>
      <w:r w:rsidR="00ED74DD">
        <w:t xml:space="preserve"> –</w:t>
      </w:r>
      <w:r w:rsidR="00E92CBD">
        <w:t xml:space="preserve"> using</w:t>
      </w:r>
      <w:r w:rsidR="00ED74DD">
        <w:t xml:space="preserve"> a method of samples and foils (Stanford and Kitcher 2000) –</w:t>
      </w:r>
      <w:r w:rsidR="007B0C82">
        <w:t xml:space="preserve"> </w:t>
      </w:r>
      <w:r w:rsidR="00ED74DD">
        <w:t>homes in on</w:t>
      </w:r>
      <w:r w:rsidR="00E92CBD">
        <w:t xml:space="preserve"> a tracking relation,</w:t>
      </w:r>
      <w:r w:rsidR="00ED74DD">
        <w:t xml:space="preserve"> although I suspect it does not do so without</w:t>
      </w:r>
      <w:r w:rsidR="00E92CBD">
        <w:t xml:space="preserve"> some feedback provided by</w:t>
      </w:r>
      <w:r w:rsidR="00ED74DD">
        <w:t xml:space="preserve"> interactions with the</w:t>
      </w:r>
      <w:r w:rsidR="00E92CBD">
        <w:t xml:space="preserve"> environment that help to guide</w:t>
      </w:r>
      <w:r w:rsidR="00ED74DD">
        <w:t xml:space="preserve"> the classification of different internal vehicles into samples and foils; some terms initially </w:t>
      </w:r>
      <w:r w:rsidR="00E92CBD">
        <w:t>treated as samples may come to be treated as</w:t>
      </w:r>
      <w:r w:rsidR="00ED74DD">
        <w:t xml:space="preserve"> foils when the child’s executive systems fail to discover the robust causal connections to, say, s</w:t>
      </w:r>
      <w:r w:rsidR="00E92CBD">
        <w:t>ensory experiences that executive</w:t>
      </w:r>
      <w:r w:rsidR="00ED74DD">
        <w:t xml:space="preserve"> systems detect in standard samples.</w:t>
      </w:r>
    </w:p>
    <w:p w14:paraId="234C77AF" w14:textId="3CA8FEF2" w:rsidR="00804096" w:rsidRDefault="00D24F43" w:rsidP="008718B1">
      <w:pPr>
        <w:pStyle w:val="Standard"/>
      </w:pPr>
      <w:r>
        <w:t xml:space="preserve">     This thought brings two essential elements to the fore: vehicles and their interconnections. When we think about our own thoughts, we</w:t>
      </w:r>
      <w:r w:rsidR="00D94461">
        <w:t xml:space="preserve"> activate vehicles that</w:t>
      </w:r>
      <w:r>
        <w:t xml:space="preserve"> track</w:t>
      </w:r>
      <w:r w:rsidR="00D94461">
        <w:t xml:space="preserve"> other</w:t>
      </w:r>
      <w:r>
        <w:t xml:space="preserve"> vehicles. We don’t know this </w:t>
      </w:r>
      <w:r w:rsidRPr="00D24F43">
        <w:rPr>
          <w:i/>
        </w:rPr>
        <w:t>a priori</w:t>
      </w:r>
      <w:r>
        <w:t xml:space="preserve"> because the vehicles tracking other internal vehicles do so via a causal relation; thus, what’s on one side of the relation, the tracking vehicle,</w:t>
      </w:r>
      <w:r w:rsidR="007D17BC">
        <w:t xml:space="preserve"> may quite successfully track</w:t>
      </w:r>
      <w:r>
        <w:t xml:space="preserve"> what’s on the other side of the relation</w:t>
      </w:r>
      <w:r w:rsidR="00D94461">
        <w:t>, without the tracking vehicle’s</w:t>
      </w:r>
      <w:r w:rsidR="007D17BC">
        <w:t xml:space="preserve"> controlling accurate reports on the var</w:t>
      </w:r>
      <w:r w:rsidR="00D94461">
        <w:t xml:space="preserve">ious properties of the thing tracked </w:t>
      </w:r>
      <w:r w:rsidR="007D17BC">
        <w:t>– that is, the represented vehicle.</w:t>
      </w:r>
      <w:r>
        <w:rPr>
          <w:rStyle w:val="FootnoteReference"/>
        </w:rPr>
        <w:footnoteReference w:id="5"/>
      </w:r>
      <w:r w:rsidR="00ED74DD">
        <w:t xml:space="preserve"> </w:t>
      </w:r>
      <w:r w:rsidR="00D94461">
        <w:t>I</w:t>
      </w:r>
      <w:r w:rsidR="007D17BC">
        <w:t>t is possible</w:t>
      </w:r>
      <w:r w:rsidR="00D94461">
        <w:t>, then,</w:t>
      </w:r>
      <w:r w:rsidR="007D17BC">
        <w:t xml:space="preserve"> that when we have the intuition that subjects in color-inve</w:t>
      </w:r>
      <w:r w:rsidR="00804096">
        <w:t>rted earth share</w:t>
      </w:r>
      <w:r w:rsidR="00D94461">
        <w:t xml:space="preserve"> subjective representations with earthly subjects, the things actually shared are vehicles</w:t>
      </w:r>
      <w:r w:rsidR="00804096">
        <w:t>.</w:t>
      </w:r>
      <w:r w:rsidR="00D94461">
        <w:t xml:space="preserve"> I say to myself, “I could be in </w:t>
      </w:r>
      <w:r w:rsidR="00D94461">
        <w:rPr>
          <w:i/>
        </w:rPr>
        <w:t>that</w:t>
      </w:r>
      <w:r w:rsidR="00D94461">
        <w:t xml:space="preserve"> same state, even if colors were inverted,” which is true, but what I may not be able to report on or reason about very accurately is the nature of “</w:t>
      </w:r>
      <w:r w:rsidR="00D94461">
        <w:rPr>
          <w:i/>
        </w:rPr>
        <w:t xml:space="preserve">that </w:t>
      </w:r>
      <w:r w:rsidR="00D94461">
        <w:t xml:space="preserve">state”; I claim that what is demonstrated by the vehicle controlling </w:t>
      </w:r>
      <w:r w:rsidR="00A431E9">
        <w:t>judgments</w:t>
      </w:r>
      <w:r w:rsidR="00D94461">
        <w:t xml:space="preserve"> and reports is a vehicle, not a content.</w:t>
      </w:r>
      <w:r w:rsidR="00804096">
        <w:t xml:space="preserve"> (T</w:t>
      </w:r>
      <w:r w:rsidR="007D17BC">
        <w:t>hus, this yields a</w:t>
      </w:r>
      <w:r w:rsidR="00804096">
        <w:t xml:space="preserve"> very thin notion of sameness of subjective representation: to have the same vehicles active across contexts).</w:t>
      </w:r>
      <w:r w:rsidR="00804096">
        <w:rPr>
          <w:rStyle w:val="FootnoteReference"/>
        </w:rPr>
        <w:footnoteReference w:id="6"/>
      </w:r>
    </w:p>
    <w:p w14:paraId="463151BF" w14:textId="4BA80384" w:rsidR="008A0D56" w:rsidRDefault="00804096" w:rsidP="009C6C13">
      <w:pPr>
        <w:pStyle w:val="Standard"/>
      </w:pPr>
      <w:r>
        <w:t xml:space="preserve">     What </w:t>
      </w:r>
      <w:r w:rsidR="00C945D2">
        <w:t>role is played by the interconnect-ness of</w:t>
      </w:r>
      <w:r>
        <w:t xml:space="preserve"> vehicles</w:t>
      </w:r>
      <w:r w:rsidR="00C945D2">
        <w:t>? As suggested above, such interconnections play a role in the acquisition of the notion of intentionality or representation</w:t>
      </w:r>
      <w:r w:rsidR="003E3B2B">
        <w:t>,</w:t>
      </w:r>
      <w:r w:rsidR="00C945D2">
        <w:t xml:space="preserve"> even if</w:t>
      </w:r>
      <w:r w:rsidR="003E3B2B">
        <w:t xml:space="preserve"> these represent a pure tracking relation</w:t>
      </w:r>
      <w:r w:rsidR="00C945D2">
        <w:t>; patt</w:t>
      </w:r>
      <w:r w:rsidR="003E3B2B">
        <w:t>erns of interconnections (</w:t>
      </w:r>
      <w:r w:rsidR="00C945D2">
        <w:t xml:space="preserve">for instance, DOG’s being activated in a variety of contexts in which sensory representations – such as FURRY FELLING ON MY BODILY SURFACE – are also active) help to determine which vehicles activate the further vehicle REPRESENTS SOMETHING. </w:t>
      </w:r>
      <w:r w:rsidR="003E3B2B">
        <w:t>Such patterns of activation help the subject to home in on vehicles that represent; moreover, because of their tight connection to the application of REPRESENTS, these a</w:t>
      </w:r>
      <w:r w:rsidR="00C945D2">
        <w:t>ssociations create an illus</w:t>
      </w:r>
      <w:r w:rsidR="009A4791">
        <w:t>ion of inferential-role content: INTE</w:t>
      </w:r>
      <w:r w:rsidR="003E3B2B">
        <w:t>NTIONAL and REPRESENTS</w:t>
      </w:r>
      <w:r w:rsidR="009A4791">
        <w:t xml:space="preserve"> are the ur-semantic mental representations (their activation tracked by SEMANTIC) and </w:t>
      </w:r>
      <w:r w:rsidR="00D5351F">
        <w:t>as a consequence things closely associated with their application – such as causally interconnected sets of vehicles – get treated semantic as well, even when they are not of the same natural kind or do not instantiate the same natural properties as those represented by the other terms to which SEMANTIC applies. So, subjects treat</w:t>
      </w:r>
      <w:r w:rsidR="008718B1">
        <w:t xml:space="preserve"> these</w:t>
      </w:r>
      <w:r w:rsidR="00D5351F">
        <w:t xml:space="preserve"> interconnections as somehow</w:t>
      </w:r>
      <w:r w:rsidR="008718B1">
        <w:t xml:space="preserve"> </w:t>
      </w:r>
      <w:r w:rsidR="00D5351F">
        <w:t>content-constitutive</w:t>
      </w:r>
      <w:r w:rsidR="003E3B2B">
        <w:t>,</w:t>
      </w:r>
      <w:r w:rsidR="00D5351F">
        <w:t xml:space="preserve"> even though they</w:t>
      </w:r>
      <w:r w:rsidR="008718B1">
        <w:t xml:space="preserve"> are mere causal contributors to content-determination</w:t>
      </w:r>
      <w:r w:rsidR="00C945D2">
        <w:t xml:space="preserve"> (Rupert 2008)</w:t>
      </w:r>
      <w:r w:rsidR="008718B1">
        <w:t>.</w:t>
      </w:r>
      <w:r w:rsidR="00D5351F">
        <w:t xml:space="preserve"> When we consider color-inverted earth, then, we are inclined to think that such networks</w:t>
      </w:r>
      <w:r w:rsidR="008A0D56">
        <w:t xml:space="preserve"> of interconnected vehicles</w:t>
      </w:r>
      <w:r w:rsidR="00D5351F">
        <w:t xml:space="preserve"> remain in place</w:t>
      </w:r>
      <w:r w:rsidR="008A0D56">
        <w:t xml:space="preserve"> (although we couldn’t produce this description on simple reflection)</w:t>
      </w:r>
      <w:r w:rsidR="00D5351F">
        <w:t xml:space="preserve">, and this contributes to </w:t>
      </w:r>
      <w:r w:rsidR="008A0D56">
        <w:t xml:space="preserve">the </w:t>
      </w:r>
      <w:r w:rsidR="00D5351F">
        <w:t>judgment that subjects on earth and on color-inverted</w:t>
      </w:r>
      <w:r w:rsidR="008A0D56">
        <w:t xml:space="preserve"> earth share</w:t>
      </w:r>
      <w:r w:rsidR="003E3B2B">
        <w:t xml:space="preserve"> representation</w:t>
      </w:r>
      <w:r w:rsidR="008A0D56">
        <w:t>s</w:t>
      </w:r>
      <w:r w:rsidR="003E3B2B">
        <w:t>; and this</w:t>
      </w:r>
      <w:r w:rsidR="00D5351F">
        <w:t xml:space="preserve"> generates</w:t>
      </w:r>
      <w:r w:rsidR="00936729">
        <w:t xml:space="preserve"> the illusion that there is some kind of content that is non-tracking.</w:t>
      </w:r>
      <w:r w:rsidR="003E3B2B">
        <w:t xml:space="preserve"> </w:t>
      </w:r>
    </w:p>
    <w:p w14:paraId="23B8B232" w14:textId="52B3B1DA" w:rsidR="004726D4" w:rsidRDefault="008A0D56" w:rsidP="009C6C13">
      <w:pPr>
        <w:pStyle w:val="Standard"/>
      </w:pPr>
      <w:r>
        <w:t xml:space="preserve">     </w:t>
      </w:r>
      <w:r w:rsidR="003E3B2B">
        <w:t>Notice that this</w:t>
      </w:r>
      <w:r w:rsidR="00D5351F">
        <w:t xml:space="preserve"> deflating explanation is not built from materials assembled</w:t>
      </w:r>
      <w:r w:rsidR="0037034C">
        <w:t xml:space="preserve"> </w:t>
      </w:r>
      <w:r w:rsidR="0037034C" w:rsidRPr="004B397F">
        <w:rPr>
          <w:i/>
        </w:rPr>
        <w:t>ad hoc</w:t>
      </w:r>
      <w:r w:rsidR="00D5351F">
        <w:t>. T</w:t>
      </w:r>
      <w:r w:rsidR="0037034C">
        <w:t>wo of the most inf</w:t>
      </w:r>
      <w:r w:rsidR="00D5351F">
        <w:t>luential tra</w:t>
      </w:r>
      <w:r w:rsidR="001F4CA1">
        <w:t>cking theories (Fodor 1987</w:t>
      </w:r>
      <w:r w:rsidR="00D5351F">
        <w:t>, Dretske 1988) propo</w:t>
      </w:r>
      <w:r w:rsidR="003E3B2B">
        <w:t>se, for independent reasons, tha</w:t>
      </w:r>
      <w:r w:rsidR="00D5351F">
        <w:t>t the content-fixing, tracking relation can be</w:t>
      </w:r>
      <w:r w:rsidR="004B397F">
        <w:t xml:space="preserve"> causally mediated by other representations.</w:t>
      </w:r>
    </w:p>
    <w:p w14:paraId="7E410041" w14:textId="197F864A" w:rsidR="009C6C13" w:rsidRDefault="007F222B" w:rsidP="009C6C13">
      <w:pPr>
        <w:pStyle w:val="Standard"/>
      </w:pPr>
      <w:r>
        <w:t xml:space="preserve">     What about </w:t>
      </w:r>
      <w:r w:rsidR="009C6C13">
        <w:t>“conceptually possible scenarios where representation varies in the subjective but not objective sense</w:t>
      </w:r>
      <w:r w:rsidR="007D6959">
        <w:t>”</w:t>
      </w:r>
      <w:r w:rsidR="001C0999">
        <w:t xml:space="preserve"> (</w:t>
      </w:r>
      <w:r w:rsidR="00A431E9">
        <w:t>Kriegel</w:t>
      </w:r>
      <w:r w:rsidR="001C0999">
        <w:t>, ms),</w:t>
      </w:r>
      <w:r w:rsidR="00665F30">
        <w:t xml:space="preserve"> an illustration of which is the traditional inverted-spectrum case?</w:t>
      </w:r>
      <w:r>
        <w:t xml:space="preserve"> A straightforward </w:t>
      </w:r>
      <w:r w:rsidR="00A14B1E">
        <w:t>explaining away of this intuition</w:t>
      </w:r>
      <w:r w:rsidR="001C0999">
        <w:t xml:space="preserve"> – that an inverted internal spectrum is possible –</w:t>
      </w:r>
      <w:r w:rsidR="00665F30">
        <w:t xml:space="preserve"> runs as follows: one can imagine that a very different network of internally tracked an</w:t>
      </w:r>
      <w:r w:rsidR="001C0999">
        <w:t xml:space="preserve">d internally tracking vehicles </w:t>
      </w:r>
      <w:r w:rsidR="00665F30">
        <w:t xml:space="preserve">gets attached to the environment in just </w:t>
      </w:r>
      <w:r w:rsidR="001C0999">
        <w:t xml:space="preserve">the way </w:t>
      </w:r>
      <w:r w:rsidR="00665F30">
        <w:t>that one’s current network is – at least, this is how one should articulate what one is imagining if the conceptual possibility is a genuine metaphysical possibility. Such appeals to difference in vehicle across sameness in external content help to expl</w:t>
      </w:r>
      <w:r w:rsidR="001C0999">
        <w:t>ain</w:t>
      </w:r>
      <w:r w:rsidR="00665F30">
        <w:t xml:space="preserve"> other phenomena as well (including substitution failures – see Fodor 1990, chapter 4).</w:t>
      </w:r>
    </w:p>
    <w:p w14:paraId="0BECD8DA" w14:textId="63C89D7B" w:rsidR="001071E9" w:rsidRDefault="001071E9" w:rsidP="009C6C13">
      <w:pPr>
        <w:pStyle w:val="Standard"/>
      </w:pPr>
      <w:r>
        <w:t xml:space="preserve">     The third case is “representation in the objective sense in the absence of representation in the subjective sense</w:t>
      </w:r>
      <w:r w:rsidR="00665F30">
        <w:t>.</w:t>
      </w:r>
      <w:r>
        <w:t>”</w:t>
      </w:r>
      <w:r w:rsidR="00FF6FDB">
        <w:t xml:space="preserve"> Kriegel offers the example of tree rings, and there are many others that have been discussed in the literature, from th</w:t>
      </w:r>
      <w:r w:rsidR="008A0D56">
        <w:t>ermostats and fuel gauges to magnetosomes used by certain bacteria</w:t>
      </w:r>
      <w:r w:rsidR="00FF6FDB">
        <w:t xml:space="preserve">. Take the example of tree rings. Depending on one’s </w:t>
      </w:r>
      <w:r w:rsidR="008A0D56">
        <w:t>theory of content, a number of tree rings may not qualify as a</w:t>
      </w:r>
      <w:r w:rsidR="00FF6FDB">
        <w:t xml:space="preserve"> representation; it is one thing to label a theory ‘tracking’ to get across a core element of it, but theories of the tracking variety general</w:t>
      </w:r>
      <w:r w:rsidR="008A0D56">
        <w:t>ly</w:t>
      </w:r>
      <w:r w:rsidR="00FF6FDB">
        <w:t xml:space="preserve"> involve a complex set of necessary and sufficient conditions; no serious theory in the field holds that x represents y if x naturally means (in Grice’s sense) y or x was</w:t>
      </w:r>
      <w:r w:rsidR="008A0D56">
        <w:t xml:space="preserve"> simply</w:t>
      </w:r>
      <w:r w:rsidR="00FF6FDB">
        <w:t xml:space="preserve"> caused by y. For the sake of argument, though, let us pursue the matter further, as if tree rings do represent the age of the tree</w:t>
      </w:r>
      <w:r w:rsidR="008A0D56">
        <w:t>, in keeping with</w:t>
      </w:r>
      <w:r w:rsidR="00FF6FDB">
        <w:t xml:space="preserve"> our best tracking theory. Here it’s i</w:t>
      </w:r>
      <w:r w:rsidR="007902FF">
        <w:t>mportant to distinguish between cognition and representation. Representations are part of the cognitive scientist’s tool kit, but no one in the field th</w:t>
      </w:r>
      <w:r w:rsidR="008A0D56">
        <w:t xml:space="preserve">inks that the activation of representations alone accounts for intelligent behavior (the </w:t>
      </w:r>
      <w:r w:rsidR="008A0D56">
        <w:rPr>
          <w:i/>
        </w:rPr>
        <w:t>explananda</w:t>
      </w:r>
      <w:r w:rsidR="007902FF">
        <w:t xml:space="preserve"> that the standard package was assembled to explain</w:t>
      </w:r>
      <w:r w:rsidR="008A0D56">
        <w:t>)</w:t>
      </w:r>
      <w:r w:rsidR="007902FF">
        <w:t>. Trees don’t use language, plan, remember, build buildings, construct scientific theories, etc., and they don’t partly because they have only (objective) repres</w:t>
      </w:r>
      <w:r w:rsidR="008A0D56">
        <w:t xml:space="preserve">entations and none of the other </w:t>
      </w:r>
      <w:r w:rsidR="007902FF">
        <w:t>components that contribute to the explanatio</w:t>
      </w:r>
      <w:r w:rsidR="008A0D56">
        <w:t>n of intelligent behavior. Recall, too, the contribution of interacting components to the creation of</w:t>
      </w:r>
      <w:r w:rsidR="007902FF">
        <w:t xml:space="preserve"> the illusion of subject</w:t>
      </w:r>
      <w:r w:rsidR="008A0D56">
        <w:t>ive</w:t>
      </w:r>
      <w:r w:rsidR="007902FF">
        <w:t xml:space="preserve"> c</w:t>
      </w:r>
      <w:r w:rsidR="0006323E">
        <w:t xml:space="preserve">ontent. </w:t>
      </w:r>
      <w:r w:rsidR="008A0D56">
        <w:t>In</w:t>
      </w:r>
      <w:r w:rsidR="0006323E">
        <w:t xml:space="preserve"> this case, we judge</w:t>
      </w:r>
      <w:r w:rsidR="007902FF">
        <w:t xml:space="preserve"> that something is missing, relative to the human case, but it is a mistake to take that something to be a form </w:t>
      </w:r>
      <w:r w:rsidR="008A0D56">
        <w:t>of content (subjective content); it’s everything else (</w:t>
      </w:r>
      <w:r w:rsidR="00A431E9">
        <w:t>architecture</w:t>
      </w:r>
      <w:r w:rsidR="008A0D56">
        <w:t xml:space="preserve">, interaction between </w:t>
      </w:r>
      <w:r w:rsidR="00A431E9">
        <w:t>representations</w:t>
      </w:r>
      <w:r w:rsidR="008A0D56">
        <w:t>, etc.) that’s missing.</w:t>
      </w:r>
    </w:p>
    <w:p w14:paraId="4D89922C" w14:textId="2ADAC840" w:rsidR="001071E9" w:rsidRDefault="001071E9" w:rsidP="009C6C13">
      <w:pPr>
        <w:pStyle w:val="Standard"/>
      </w:pPr>
      <w:r>
        <w:t xml:space="preserve">     The fourth case</w:t>
      </w:r>
      <w:r w:rsidR="00A14B1E">
        <w:t xml:space="preserve"> involves subjective representation in the absence of objective representation.</w:t>
      </w:r>
      <w:r w:rsidR="0006323E">
        <w:t xml:space="preserve"> The clearest case would be that of a co</w:t>
      </w:r>
      <w:r w:rsidR="008A0D56">
        <w:t>nscious being in a universe containing nothing else (Kriegel, ms.).</w:t>
      </w:r>
      <w:r w:rsidR="0006323E">
        <w:t xml:space="preserve"> Again, I think an</w:t>
      </w:r>
      <w:r w:rsidR="008A0D56">
        <w:t xml:space="preserve"> account</w:t>
      </w:r>
      <w:r w:rsidR="0006323E">
        <w:t xml:space="preserve"> of the possibility-intuition falls o</w:t>
      </w:r>
      <w:r w:rsidR="00A10813">
        <w:t>ut of my framework. In this world, the subject has within her all of the standard elements – including cognitive vehicles and their causal interrelations.</w:t>
      </w:r>
      <w:r w:rsidR="0006323E">
        <w:t xml:space="preserve"> </w:t>
      </w:r>
    </w:p>
    <w:p w14:paraId="18055CF1" w14:textId="24F486CB" w:rsidR="008B1B47" w:rsidRDefault="007F222B" w:rsidP="007F222B">
      <w:pPr>
        <w:pStyle w:val="Standard"/>
        <w:jc w:val="center"/>
      </w:pPr>
      <w:r>
        <w:t>V. Epilogue</w:t>
      </w:r>
    </w:p>
    <w:p w14:paraId="5A90C7B6" w14:textId="1BF7966B" w:rsidR="00097095" w:rsidRDefault="00A10813" w:rsidP="00EE6346">
      <w:pPr>
        <w:pStyle w:val="Standard"/>
      </w:pPr>
      <w:r>
        <w:t xml:space="preserve">Have I </w:t>
      </w:r>
      <w:r w:rsidR="007F222B">
        <w:t>eliminated subjective content, or</w:t>
      </w:r>
      <w:r w:rsidR="008A0D56">
        <w:t xml:space="preserve"> rather</w:t>
      </w:r>
      <w:r w:rsidR="002A6818">
        <w:t xml:space="preserve"> provided a (perhaps boring</w:t>
      </w:r>
      <w:r w:rsidR="007F222B">
        <w:t xml:space="preserve">) </w:t>
      </w:r>
      <w:r>
        <w:t>reduction of it? Readers might suspect that it’s</w:t>
      </w:r>
      <w:r w:rsidR="007F222B">
        <w:t xml:space="preserve"> the latter, for why</w:t>
      </w:r>
      <w:r w:rsidR="003C40B9">
        <w:t xml:space="preserve"> not take SUBJECTIVE</w:t>
      </w:r>
      <w:r w:rsidR="007F222B">
        <w:t xml:space="preserve"> CONTENT itself to represent – </w:t>
      </w:r>
      <w:r w:rsidR="002A6818">
        <w:t xml:space="preserve">that is, </w:t>
      </w:r>
      <w:r w:rsidR="007F222B">
        <w:t>to internal-externalistically track</w:t>
      </w:r>
      <w:r w:rsidR="002A6818">
        <w:t xml:space="preserve"> –</w:t>
      </w:r>
      <w:r w:rsidR="007F222B">
        <w:t xml:space="preserve"> a natural kind or property, </w:t>
      </w:r>
      <w:r w:rsidR="002A6818">
        <w:t xml:space="preserve">the property had by collections of </w:t>
      </w:r>
      <w:r w:rsidR="005B00E6">
        <w:t xml:space="preserve">appropriately </w:t>
      </w:r>
      <w:r w:rsidR="002A6818">
        <w:t>interrelated strings of mental representations</w:t>
      </w:r>
      <w:r w:rsidR="00097095">
        <w:t xml:space="preserve"> (roughly</w:t>
      </w:r>
      <w:r w:rsidR="005B00E6">
        <w:t>, those related by inferential roles in the w</w:t>
      </w:r>
      <w:r w:rsidR="00097095">
        <w:t xml:space="preserve">ay the elements of a conception </w:t>
      </w:r>
      <w:r w:rsidR="005B00E6">
        <w:t>are supposed to be</w:t>
      </w:r>
      <w:r w:rsidR="00097095">
        <w:t xml:space="preserve"> – perhaps with a special emphasis on diagnostic roles of certain connections relative to the determination that a given vehicle actually represents something</w:t>
      </w:r>
      <w:r w:rsidR="005B00E6">
        <w:t>)</w:t>
      </w:r>
      <w:r w:rsidR="00097095">
        <w:t>?</w:t>
      </w:r>
    </w:p>
    <w:p w14:paraId="10B90AD5" w14:textId="675FA1BD" w:rsidR="002A6818" w:rsidRDefault="00097095" w:rsidP="003F5DCB">
      <w:pPr>
        <w:pStyle w:val="Standard"/>
      </w:pPr>
      <w:r>
        <w:t xml:space="preserve">     </w:t>
      </w:r>
      <w:r w:rsidR="00FC5A3D">
        <w:t>Although this seems like a reasonable reading of the situation, matters are not so straightforward.</w:t>
      </w:r>
      <w:r>
        <w:t xml:space="preserve"> </w:t>
      </w:r>
      <w:r w:rsidR="00FC5A3D">
        <w:t xml:space="preserve">In section II, I reviewed various reasons </w:t>
      </w:r>
      <w:r w:rsidR="005B00E6">
        <w:t>to be skeptical about the value of inferential- or conceptual-role content. If my concerns about such content are well-founded, it plays no role in the causal-explanatory enterprise. By some lights then, althoug</w:t>
      </w:r>
      <w:r>
        <w:t>h interactions between various vehicles might be genuine</w:t>
      </w:r>
      <w:r w:rsidR="005B00E6">
        <w:t xml:space="preserve"> aspect</w:t>
      </w:r>
      <w:r>
        <w:t>s</w:t>
      </w:r>
      <w:r w:rsidR="005B00E6">
        <w:t xml:space="preserve"> of reality – one</w:t>
      </w:r>
      <w:r>
        <w:t>s that supervene</w:t>
      </w:r>
      <w:r w:rsidR="005B00E6">
        <w:t xml:space="preserve"> on natural processes that are part of the causal order or are covered by natural laws –</w:t>
      </w:r>
      <w:r>
        <w:t xml:space="preserve"> they nevertheless fail to provide an appropriate</w:t>
      </w:r>
      <w:r w:rsidR="005B00E6">
        <w:t xml:space="preserve"> target for tracking</w:t>
      </w:r>
      <w:r>
        <w:t xml:space="preserve"> (cf. Kriegel 2011, 96)</w:t>
      </w:r>
      <w:r w:rsidR="005B00E6">
        <w:t xml:space="preserve">. At least on one conception of the naturalization </w:t>
      </w:r>
      <w:r>
        <w:t xml:space="preserve">of content, content-determining relations should hold </w:t>
      </w:r>
      <w:r w:rsidR="005B00E6">
        <w:t>between natural kinds or properties (Rupert 1999); that would seem to be what it amounts to for intentionality or content to “rea</w:t>
      </w:r>
      <w:r>
        <w:t>lly be something else” (Fodor 1990</w:t>
      </w:r>
      <w:r w:rsidR="005B00E6">
        <w:t>), where that something else is part of the natural, causal order. If conceptions aren’t natural kinds or properties, how can they enter into the causal relations that th</w:t>
      </w:r>
      <w:r w:rsidR="003F5DCB">
        <w:t>ey must in order to be tracked</w:t>
      </w:r>
      <w:r>
        <w:t>, and thus represented</w:t>
      </w:r>
      <w:r w:rsidR="003F5DCB">
        <w:t>?</w:t>
      </w:r>
    </w:p>
    <w:p w14:paraId="08614C4B" w14:textId="6A1AE299" w:rsidR="00681708" w:rsidRDefault="003C40B9" w:rsidP="00681708">
      <w:pPr>
        <w:pStyle w:val="Standard"/>
      </w:pPr>
      <w:r>
        <w:t xml:space="preserve">     </w:t>
      </w:r>
      <w:r w:rsidR="00097095">
        <w:t>Perhaps, though, I’m mining</w:t>
      </w:r>
      <w:r w:rsidR="003F5DCB">
        <w:t xml:space="preserve"> an</w:t>
      </w:r>
      <w:r w:rsidR="00097095">
        <w:t xml:space="preserve"> excessively narrow-minded vein</w:t>
      </w:r>
      <w:r w:rsidR="003F5DCB">
        <w:t xml:space="preserve"> here, with regard to the </w:t>
      </w:r>
      <w:r w:rsidR="00097095">
        <w:t>relata of the tracking relation. Perhaps,</w:t>
      </w:r>
      <w:r>
        <w:t xml:space="preserve"> SUBJECTIVE CONTENT does</w:t>
      </w:r>
      <w:r w:rsidR="003F5DCB">
        <w:t xml:space="preserve"> genuinely</w:t>
      </w:r>
      <w:r>
        <w:t xml:space="preserve"> track something </w:t>
      </w:r>
      <w:r w:rsidR="00FC5A3D">
        <w:t>along the lines of c</w:t>
      </w:r>
      <w:r>
        <w:t>onceptions</w:t>
      </w:r>
      <w:r w:rsidR="00097095">
        <w:t>. In that case, I have offered a reduction of sorts</w:t>
      </w:r>
      <w:r w:rsidR="003F5DCB">
        <w:t>, but</w:t>
      </w:r>
      <w:r w:rsidR="00097095">
        <w:t xml:space="preserve"> one that vindicates only</w:t>
      </w:r>
      <w:r w:rsidR="003F5DCB">
        <w:t xml:space="preserve"> a very thin</w:t>
      </w:r>
      <w:r>
        <w:t xml:space="preserve"> notion of </w:t>
      </w:r>
      <w:r w:rsidR="00FC5A3D">
        <w:t>subjective content</w:t>
      </w:r>
      <w:r>
        <w:t>, relative to how subjective</w:t>
      </w:r>
      <w:r w:rsidR="00097095">
        <w:t xml:space="preserve"> content is often understood. This reduction</w:t>
      </w:r>
      <w:r>
        <w:t xml:space="preserve"> provides no support, for example, for the view that the perceptual states of which we’re im</w:t>
      </w:r>
      <w:r w:rsidR="003F5DCB">
        <w:t>mediately aware have intrinsic</w:t>
      </w:r>
      <w:r>
        <w:t xml:space="preserve"> qualitative character or that the mind has immediate awareness of a rich sort of content that makes it</w:t>
      </w:r>
      <w:r w:rsidR="003F5DCB">
        <w:t>s</w:t>
      </w:r>
      <w:r>
        <w:t xml:space="preserve"> theoretically interesting properties available d</w:t>
      </w:r>
      <w:r w:rsidR="003F5DCB">
        <w:t>irectly to the cognitive processes</w:t>
      </w:r>
      <w:r>
        <w:t xml:space="preserve"> that generate responses to thought experiments or produce verbal reports of</w:t>
      </w:r>
      <w:r w:rsidR="003F5DCB">
        <w:t xml:space="preserve"> philosophical intuitions. More</w:t>
      </w:r>
      <w:r>
        <w:t>over, on this view, the reduced notion of subjective content is a structured collection of interrelated vehicle strings, not something that attaches to an individual mental representation, atomic or</w:t>
      </w:r>
      <w:r w:rsidR="00097095">
        <w:t xml:space="preserve"> compound</w:t>
      </w:r>
      <w:r>
        <w:t xml:space="preserve"> </w:t>
      </w:r>
      <w:r w:rsidR="00097095">
        <w:t>(</w:t>
      </w:r>
      <w:r>
        <w:t>of the form of a simple sentence</w:t>
      </w:r>
      <w:r w:rsidR="00097095">
        <w:t>). It may be</w:t>
      </w:r>
      <w:r>
        <w:t xml:space="preserve"> something</w:t>
      </w:r>
      <w:r w:rsidR="00097095">
        <w:t xml:space="preserve"> real –</w:t>
      </w:r>
      <w:r>
        <w:t xml:space="preserve"> ther</w:t>
      </w:r>
      <w:r w:rsidR="00097095">
        <w:t xml:space="preserve">e to be picked out by tracking vehicles – </w:t>
      </w:r>
      <w:r>
        <w:t>but may play no role in cognition or the production of behavior, beyond</w:t>
      </w:r>
      <w:r w:rsidR="00097095">
        <w:t xml:space="preserve"> the</w:t>
      </w:r>
      <w:r w:rsidR="00171180">
        <w:t>ir of the activation of the vehicles doing the tracking.</w:t>
      </w:r>
    </w:p>
    <w:p w14:paraId="1EDB9CCB" w14:textId="77777777" w:rsidR="00681708" w:rsidRDefault="00681708">
      <w:pPr>
        <w:rPr>
          <w:rFonts w:ascii="Times New Roman" w:hAnsi="Times New Roman"/>
        </w:rPr>
      </w:pPr>
      <w:r>
        <w:br w:type="page"/>
      </w:r>
    </w:p>
    <w:p w14:paraId="273875F2" w14:textId="17B89292" w:rsidR="00681708" w:rsidRDefault="00681708" w:rsidP="00681708">
      <w:pPr>
        <w:pStyle w:val="Standard"/>
      </w:pPr>
      <w:r>
        <w:t>Works cited</w:t>
      </w:r>
    </w:p>
    <w:p w14:paraId="3C119829" w14:textId="77777777" w:rsidR="00681708" w:rsidRDefault="00681708" w:rsidP="00681708">
      <w:pPr>
        <w:pStyle w:val="Standard"/>
      </w:pPr>
      <w:r>
        <w:t>Block, N. (1986). Advertisement for a semantics for p</w:t>
      </w:r>
      <w:r w:rsidRPr="006F41B0">
        <w:t xml:space="preserve">sychology. In P. French, T. </w:t>
      </w:r>
    </w:p>
    <w:p w14:paraId="0A072F2B" w14:textId="77777777" w:rsidR="00681708" w:rsidRDefault="00681708" w:rsidP="00681708">
      <w:pPr>
        <w:pStyle w:val="Standard"/>
        <w:ind w:firstLine="720"/>
        <w:rPr>
          <w:i/>
          <w:iCs/>
        </w:rPr>
      </w:pPr>
      <w:r w:rsidRPr="006F41B0">
        <w:t>Uehling,</w:t>
      </w:r>
      <w:r>
        <w:t xml:space="preserve"> </w:t>
      </w:r>
      <w:r w:rsidRPr="006F41B0">
        <w:t xml:space="preserve">and H. Wettstein (eds.), </w:t>
      </w:r>
      <w:r w:rsidRPr="006F41B0">
        <w:rPr>
          <w:i/>
          <w:iCs/>
        </w:rPr>
        <w:t>Midwest Studies in Philosophy</w:t>
      </w:r>
      <w:r w:rsidRPr="006F41B0">
        <w:t xml:space="preserve">: </w:t>
      </w:r>
      <w:r w:rsidRPr="006F41B0">
        <w:rPr>
          <w:i/>
          <w:iCs/>
        </w:rPr>
        <w:t xml:space="preserve">Studies in the </w:t>
      </w:r>
    </w:p>
    <w:p w14:paraId="50A94908" w14:textId="77777777" w:rsidR="00681708" w:rsidRDefault="00681708" w:rsidP="00681708">
      <w:pPr>
        <w:pStyle w:val="Standard"/>
        <w:ind w:firstLine="720"/>
      </w:pPr>
      <w:r w:rsidRPr="006F41B0">
        <w:rPr>
          <w:i/>
          <w:iCs/>
        </w:rPr>
        <w:t>Philosophy of</w:t>
      </w:r>
      <w:r>
        <w:t xml:space="preserve"> </w:t>
      </w:r>
      <w:r w:rsidRPr="006F41B0">
        <w:rPr>
          <w:i/>
          <w:iCs/>
        </w:rPr>
        <w:t>Mind</w:t>
      </w:r>
      <w:r w:rsidRPr="006F41B0">
        <w:t xml:space="preserve">, vol. 10 (pp. 615–78). Minneapolis: University of Minnesota </w:t>
      </w:r>
    </w:p>
    <w:p w14:paraId="09638B88" w14:textId="77777777" w:rsidR="00681708" w:rsidRDefault="00681708" w:rsidP="00681708">
      <w:pPr>
        <w:pStyle w:val="Standard"/>
        <w:ind w:firstLine="720"/>
      </w:pPr>
      <w:r w:rsidRPr="006F41B0">
        <w:t>Press.</w:t>
      </w:r>
    </w:p>
    <w:p w14:paraId="4AEC88CB" w14:textId="77777777" w:rsidR="00681708" w:rsidRDefault="00681708" w:rsidP="00681708">
      <w:pPr>
        <w:pStyle w:val="Standard"/>
        <w:rPr>
          <w:i/>
        </w:rPr>
      </w:pPr>
      <w:r>
        <w:t xml:space="preserve">Block, N. (1995). On a confusion about a function </w:t>
      </w:r>
      <w:r w:rsidRPr="00416CA5">
        <w:t>of consciousness</w:t>
      </w:r>
      <w:r>
        <w:t xml:space="preserve">. </w:t>
      </w:r>
      <w:r>
        <w:rPr>
          <w:i/>
        </w:rPr>
        <w:t xml:space="preserve">Behavioral and </w:t>
      </w:r>
    </w:p>
    <w:p w14:paraId="6F48A9E9" w14:textId="77777777" w:rsidR="00681708" w:rsidRDefault="00681708" w:rsidP="00681708">
      <w:pPr>
        <w:pStyle w:val="Standard"/>
        <w:ind w:firstLine="720"/>
      </w:pPr>
      <w:r>
        <w:rPr>
          <w:i/>
        </w:rPr>
        <w:t>Brain Sciences</w:t>
      </w:r>
      <w:r>
        <w:t xml:space="preserve"> 18, </w:t>
      </w:r>
      <w:r w:rsidRPr="00416CA5">
        <w:t>227–287</w:t>
      </w:r>
      <w:r>
        <w:t xml:space="preserve">. </w:t>
      </w:r>
    </w:p>
    <w:p w14:paraId="51AB4B80" w14:textId="77777777" w:rsidR="00681708" w:rsidRPr="00C11829" w:rsidRDefault="00681708" w:rsidP="00681708">
      <w:pPr>
        <w:pStyle w:val="Standard"/>
      </w:pPr>
      <w:r>
        <w:t xml:space="preserve">Burge, T. (1986). Individualism and psychology. </w:t>
      </w:r>
      <w:r>
        <w:rPr>
          <w:i/>
        </w:rPr>
        <w:t>Philosophical Review</w:t>
      </w:r>
      <w:r>
        <w:t xml:space="preserve"> 95,</w:t>
      </w:r>
      <w:r w:rsidRPr="00C11829">
        <w:t xml:space="preserve"> 3–45.</w:t>
      </w:r>
    </w:p>
    <w:p w14:paraId="337C5115" w14:textId="77777777" w:rsidR="00681708" w:rsidRDefault="00681708" w:rsidP="00681708">
      <w:pPr>
        <w:pStyle w:val="Standard"/>
      </w:pPr>
      <w:r>
        <w:t>Chalmers, D. (1996</w:t>
      </w:r>
      <w:r w:rsidRPr="00FA650F">
        <w:t xml:space="preserve">). </w:t>
      </w:r>
      <w:r>
        <w:rPr>
          <w:i/>
          <w:iCs/>
        </w:rPr>
        <w:t>The conscious mind: In search of a fundamental t</w:t>
      </w:r>
      <w:r w:rsidRPr="00FA650F">
        <w:rPr>
          <w:i/>
          <w:iCs/>
        </w:rPr>
        <w:t>h</w:t>
      </w:r>
      <w:r>
        <w:t xml:space="preserve">eory. Oxford: </w:t>
      </w:r>
    </w:p>
    <w:p w14:paraId="433F5577" w14:textId="77777777" w:rsidR="00681708" w:rsidRDefault="00681708" w:rsidP="00681708">
      <w:pPr>
        <w:pStyle w:val="Standard"/>
        <w:ind w:firstLine="720"/>
      </w:pPr>
      <w:r w:rsidRPr="00FA650F">
        <w:t>Oxford</w:t>
      </w:r>
      <w:r>
        <w:t xml:space="preserve"> </w:t>
      </w:r>
      <w:r w:rsidRPr="00FA650F">
        <w:t>University Press.</w:t>
      </w:r>
    </w:p>
    <w:p w14:paraId="6FBE90F7" w14:textId="77777777" w:rsidR="00681708" w:rsidRPr="002D0448" w:rsidRDefault="00681708" w:rsidP="00681708">
      <w:pPr>
        <w:pStyle w:val="Standard"/>
        <w:rPr>
          <w:bCs/>
        </w:rPr>
      </w:pPr>
      <w:r w:rsidRPr="00530E34">
        <w:rPr>
          <w:bCs/>
        </w:rPr>
        <w:t xml:space="preserve">Chemero, A. (2009). </w:t>
      </w:r>
      <w:r w:rsidRPr="00530E34">
        <w:rPr>
          <w:bCs/>
          <w:i/>
          <w:iCs/>
        </w:rPr>
        <w:t>Radical embodied cognitive science</w:t>
      </w:r>
      <w:r w:rsidRPr="00530E34">
        <w:rPr>
          <w:bCs/>
        </w:rPr>
        <w:t>. Cambridge,</w:t>
      </w:r>
      <w:r>
        <w:rPr>
          <w:bCs/>
        </w:rPr>
        <w:t xml:space="preserve"> </w:t>
      </w:r>
      <w:r w:rsidRPr="00530E34">
        <w:rPr>
          <w:bCs/>
        </w:rPr>
        <w:t>MA.: MIT Press.</w:t>
      </w:r>
    </w:p>
    <w:p w14:paraId="7CCC52A8" w14:textId="77777777" w:rsidR="00681708" w:rsidRDefault="00681708" w:rsidP="00681708">
      <w:pPr>
        <w:pStyle w:val="Standard"/>
      </w:pPr>
      <w:r>
        <w:t>Chomsky, N. (1959). A r</w:t>
      </w:r>
      <w:r w:rsidRPr="00416CA5">
        <w:t xml:space="preserve">eview of </w:t>
      </w:r>
      <w:r>
        <w:t xml:space="preserve">B. F. Skinner’s </w:t>
      </w:r>
      <w:r w:rsidRPr="00416CA5">
        <w:rPr>
          <w:i/>
        </w:rPr>
        <w:t>Verbal Behavior</w:t>
      </w:r>
      <w:r>
        <w:t xml:space="preserve">. </w:t>
      </w:r>
      <w:r w:rsidRPr="00416CA5">
        <w:rPr>
          <w:i/>
        </w:rPr>
        <w:t>Language</w:t>
      </w:r>
      <w:r>
        <w:t xml:space="preserve"> 35, 26–</w:t>
      </w:r>
      <w:r w:rsidRPr="00416CA5">
        <w:t>58.</w:t>
      </w:r>
    </w:p>
    <w:p w14:paraId="458BEBD8" w14:textId="77777777" w:rsidR="00681708" w:rsidRDefault="00681708" w:rsidP="00681708">
      <w:pPr>
        <w:pStyle w:val="Standard"/>
      </w:pPr>
      <w:r>
        <w:t>Cummins, R</w:t>
      </w:r>
      <w:r w:rsidRPr="000A6055">
        <w:t>.</w:t>
      </w:r>
      <w:r>
        <w:t xml:space="preserve"> (1996).</w:t>
      </w:r>
      <w:r w:rsidRPr="000A6055">
        <w:t xml:space="preserve"> </w:t>
      </w:r>
      <w:r>
        <w:rPr>
          <w:i/>
          <w:iCs/>
        </w:rPr>
        <w:t>Representations, targets, and a</w:t>
      </w:r>
      <w:r w:rsidRPr="000A6055">
        <w:rPr>
          <w:i/>
          <w:iCs/>
        </w:rPr>
        <w:t>ttitudes</w:t>
      </w:r>
      <w:r w:rsidRPr="000A6055">
        <w:t xml:space="preserve">. Cambridge, MA: MIT </w:t>
      </w:r>
      <w:r>
        <w:t xml:space="preserve"> </w:t>
      </w:r>
    </w:p>
    <w:p w14:paraId="23E39E34" w14:textId="77777777" w:rsidR="00681708" w:rsidRDefault="00681708" w:rsidP="00681708">
      <w:pPr>
        <w:pStyle w:val="Standard"/>
        <w:ind w:firstLine="720"/>
      </w:pPr>
      <w:r w:rsidRPr="000A6055">
        <w:t>Press, 1996.</w:t>
      </w:r>
    </w:p>
    <w:p w14:paraId="6E38F778" w14:textId="77777777" w:rsidR="00681708" w:rsidRDefault="00681708" w:rsidP="00681708">
      <w:pPr>
        <w:pStyle w:val="Standard"/>
      </w:pPr>
      <w:r w:rsidRPr="00B10870">
        <w:t>Dretske, F.</w:t>
      </w:r>
      <w:r>
        <w:t xml:space="preserve"> (1981).</w:t>
      </w:r>
      <w:r w:rsidRPr="00B10870">
        <w:t xml:space="preserve"> </w:t>
      </w:r>
      <w:r>
        <w:rPr>
          <w:i/>
          <w:iCs/>
        </w:rPr>
        <w:t>Knowledge and the flow of i</w:t>
      </w:r>
      <w:r w:rsidRPr="00B10870">
        <w:rPr>
          <w:i/>
          <w:iCs/>
        </w:rPr>
        <w:t>nformation</w:t>
      </w:r>
      <w:r>
        <w:t>. Cambridge, MA: MIT Press</w:t>
      </w:r>
      <w:r w:rsidRPr="00B10870">
        <w:t>.</w:t>
      </w:r>
    </w:p>
    <w:p w14:paraId="1A7ABAD8" w14:textId="77777777" w:rsidR="00681708" w:rsidRDefault="00681708" w:rsidP="00681708">
      <w:pPr>
        <w:pStyle w:val="Standard"/>
      </w:pPr>
      <w:r>
        <w:t>Dretske, F</w:t>
      </w:r>
      <w:r w:rsidRPr="006F41B0">
        <w:t>.</w:t>
      </w:r>
      <w:r>
        <w:t xml:space="preserve"> (1988).</w:t>
      </w:r>
      <w:r w:rsidRPr="006F41B0">
        <w:t xml:space="preserve"> </w:t>
      </w:r>
      <w:r>
        <w:rPr>
          <w:i/>
          <w:iCs/>
        </w:rPr>
        <w:t>Explaining behavior: Reasons in a world of c</w:t>
      </w:r>
      <w:r w:rsidRPr="006F41B0">
        <w:rPr>
          <w:i/>
          <w:iCs/>
        </w:rPr>
        <w:t>auses</w:t>
      </w:r>
      <w:r w:rsidRPr="006F41B0">
        <w:t>. Cambrid</w:t>
      </w:r>
      <w:r>
        <w:t xml:space="preserve">ge, MA: </w:t>
      </w:r>
    </w:p>
    <w:p w14:paraId="715EBADF" w14:textId="77777777" w:rsidR="00681708" w:rsidRDefault="00681708" w:rsidP="00681708">
      <w:pPr>
        <w:pStyle w:val="Standard"/>
        <w:ind w:firstLine="720"/>
      </w:pPr>
      <w:r>
        <w:t>MIT Press</w:t>
      </w:r>
      <w:r w:rsidRPr="006F41B0">
        <w:t>.</w:t>
      </w:r>
    </w:p>
    <w:p w14:paraId="5A33E503" w14:textId="77777777" w:rsidR="00681708" w:rsidRPr="002D0C32" w:rsidRDefault="00681708" w:rsidP="00681708">
      <w:pPr>
        <w:pStyle w:val="Standard"/>
      </w:pPr>
      <w:r w:rsidRPr="002D0C32">
        <w:t xml:space="preserve">Fodor, J. (1974). Special sciences. </w:t>
      </w:r>
      <w:r w:rsidRPr="002D0C32">
        <w:rPr>
          <w:i/>
          <w:iCs/>
        </w:rPr>
        <w:t xml:space="preserve">Synthese </w:t>
      </w:r>
      <w:r>
        <w:t>28,</w:t>
      </w:r>
      <w:r w:rsidRPr="002D0C32">
        <w:t xml:space="preserve"> 77–115.</w:t>
      </w:r>
    </w:p>
    <w:p w14:paraId="13E5826D" w14:textId="77777777" w:rsidR="00681708" w:rsidRPr="002D0C32" w:rsidRDefault="00681708" w:rsidP="00681708">
      <w:pPr>
        <w:pStyle w:val="Standard"/>
      </w:pPr>
      <w:r>
        <w:t>Fodor, J</w:t>
      </w:r>
      <w:r w:rsidRPr="002D0C32">
        <w:t xml:space="preserve">. (1975). </w:t>
      </w:r>
      <w:r>
        <w:rPr>
          <w:i/>
          <w:iCs/>
        </w:rPr>
        <w:t>The language of t</w:t>
      </w:r>
      <w:r w:rsidRPr="002D0C32">
        <w:rPr>
          <w:i/>
          <w:iCs/>
        </w:rPr>
        <w:t>hought</w:t>
      </w:r>
      <w:r w:rsidRPr="002D0C32">
        <w:t>. Cambridge, MA: Harvard University Press.</w:t>
      </w:r>
    </w:p>
    <w:p w14:paraId="66C95D5F" w14:textId="77777777" w:rsidR="00681708" w:rsidRDefault="00681708" w:rsidP="00681708">
      <w:pPr>
        <w:pStyle w:val="Standard"/>
      </w:pPr>
      <w:r>
        <w:t>Fodor, J</w:t>
      </w:r>
      <w:r w:rsidRPr="002D0C32">
        <w:t>. (1980). Methodological Solipsism Considered as a Research Strategy in</w:t>
      </w:r>
      <w:r>
        <w:t xml:space="preserve"> </w:t>
      </w:r>
    </w:p>
    <w:p w14:paraId="560FF42E" w14:textId="77777777" w:rsidR="00681708" w:rsidRDefault="00681708" w:rsidP="00681708">
      <w:pPr>
        <w:pStyle w:val="Standard"/>
        <w:ind w:firstLine="720"/>
      </w:pPr>
      <w:r w:rsidRPr="002D0C32">
        <w:t xml:space="preserve">Cognitive Psychology. </w:t>
      </w:r>
      <w:r w:rsidRPr="002D0C32">
        <w:rPr>
          <w:i/>
          <w:iCs/>
        </w:rPr>
        <w:t xml:space="preserve">Behavioral and Brain Sciences </w:t>
      </w:r>
      <w:r>
        <w:t>3,</w:t>
      </w:r>
      <w:r w:rsidRPr="002D0C32">
        <w:t xml:space="preserve"> 63–73.</w:t>
      </w:r>
    </w:p>
    <w:p w14:paraId="3D176D6A" w14:textId="77777777" w:rsidR="00681708" w:rsidRPr="002D0C32" w:rsidRDefault="00681708" w:rsidP="00681708">
      <w:pPr>
        <w:pStyle w:val="Standard"/>
      </w:pPr>
      <w:r>
        <w:t>Fodor, J</w:t>
      </w:r>
      <w:r w:rsidRPr="002D0C32">
        <w:t xml:space="preserve">. (1987). </w:t>
      </w:r>
      <w:r w:rsidRPr="002D0C32">
        <w:rPr>
          <w:i/>
          <w:iCs/>
        </w:rPr>
        <w:t>Psychosemantics: The Problem of Meaning in the Philosophy of Mind</w:t>
      </w:r>
      <w:r w:rsidRPr="002D0C32">
        <w:t>.</w:t>
      </w:r>
    </w:p>
    <w:p w14:paraId="46CD5A24" w14:textId="77777777" w:rsidR="00681708" w:rsidRDefault="00681708" w:rsidP="00681708">
      <w:pPr>
        <w:pStyle w:val="Standard"/>
        <w:ind w:firstLine="720"/>
      </w:pPr>
      <w:r w:rsidRPr="002D0C32">
        <w:t>Cambridge, MA: MIT Press.</w:t>
      </w:r>
    </w:p>
    <w:p w14:paraId="4F0800BA" w14:textId="77777777" w:rsidR="00681708" w:rsidRPr="002D0C32" w:rsidRDefault="00681708" w:rsidP="00681708">
      <w:pPr>
        <w:pStyle w:val="Standard"/>
      </w:pPr>
      <w:r>
        <w:t>Fodor, J</w:t>
      </w:r>
      <w:r w:rsidRPr="002D0C32">
        <w:t xml:space="preserve">. (1990). </w:t>
      </w:r>
      <w:r w:rsidRPr="002D0C32">
        <w:rPr>
          <w:i/>
          <w:iCs/>
        </w:rPr>
        <w:t>A Theory of Content and Other Essays</w:t>
      </w:r>
      <w:r w:rsidRPr="002D0C32">
        <w:t>. Cambridge, MA: MIT Press.</w:t>
      </w:r>
    </w:p>
    <w:p w14:paraId="0110BDC2" w14:textId="77777777" w:rsidR="00681708" w:rsidRPr="002D0C32" w:rsidRDefault="00681708" w:rsidP="00681708">
      <w:pPr>
        <w:pStyle w:val="Standard"/>
      </w:pPr>
      <w:r>
        <w:t>Fodor J</w:t>
      </w:r>
      <w:r w:rsidRPr="002D0C32">
        <w:t xml:space="preserve">. (1994). </w:t>
      </w:r>
      <w:r w:rsidRPr="002D0C32">
        <w:rPr>
          <w:i/>
          <w:iCs/>
        </w:rPr>
        <w:t>The Elm and the Expert: Mentalese and Its Semantics</w:t>
      </w:r>
      <w:r w:rsidRPr="002D0C32">
        <w:t>. Cambridge, MA:</w:t>
      </w:r>
    </w:p>
    <w:p w14:paraId="7A4C7B50" w14:textId="77777777" w:rsidR="00681708" w:rsidRPr="002D0C32" w:rsidRDefault="00681708" w:rsidP="00681708">
      <w:pPr>
        <w:pStyle w:val="Standard"/>
        <w:ind w:firstLine="720"/>
      </w:pPr>
      <w:r w:rsidRPr="002D0C32">
        <w:t>MIT Press.</w:t>
      </w:r>
    </w:p>
    <w:p w14:paraId="6323A2F9" w14:textId="77777777" w:rsidR="00681708" w:rsidRDefault="00681708" w:rsidP="00681708">
      <w:pPr>
        <w:pStyle w:val="Standard"/>
      </w:pPr>
      <w:r>
        <w:t>Fodor, J</w:t>
      </w:r>
      <w:r w:rsidRPr="002D0C32">
        <w:t xml:space="preserve">. (1998). </w:t>
      </w:r>
      <w:r w:rsidRPr="002D0C32">
        <w:rPr>
          <w:i/>
          <w:iCs/>
        </w:rPr>
        <w:t>Concepts: Where Cognitive Science Went Wrong</w:t>
      </w:r>
      <w:r w:rsidRPr="002D0C32">
        <w:t xml:space="preserve">. Oxford: Oxford </w:t>
      </w:r>
    </w:p>
    <w:p w14:paraId="69301A06" w14:textId="77777777" w:rsidR="00681708" w:rsidRDefault="00681708" w:rsidP="00681708">
      <w:pPr>
        <w:pStyle w:val="Standard"/>
        <w:ind w:firstLine="720"/>
      </w:pPr>
      <w:r w:rsidRPr="002D0C32">
        <w:t>University</w:t>
      </w:r>
      <w:r>
        <w:t xml:space="preserve"> Press.</w:t>
      </w:r>
    </w:p>
    <w:p w14:paraId="756343C6" w14:textId="77777777" w:rsidR="00681708" w:rsidRPr="00CD7BF8" w:rsidRDefault="00681708" w:rsidP="00681708">
      <w:pPr>
        <w:pStyle w:val="Standard"/>
      </w:pPr>
      <w:r>
        <w:t xml:space="preserve">Fodor, J., and LePore E. (1992). </w:t>
      </w:r>
      <w:r>
        <w:rPr>
          <w:i/>
        </w:rPr>
        <w:t>Holism: A shopper’s guide</w:t>
      </w:r>
      <w:r>
        <w:t>. Oxford: Blackwell.</w:t>
      </w:r>
    </w:p>
    <w:p w14:paraId="7C2BFCD6" w14:textId="77777777" w:rsidR="00681708" w:rsidRDefault="00681708" w:rsidP="00681708">
      <w:pPr>
        <w:pStyle w:val="Standard"/>
      </w:pPr>
      <w:r w:rsidRPr="0043376C">
        <w:t>Forbes, G. (1989). Cognitive architectu</w:t>
      </w:r>
      <w:r>
        <w:t xml:space="preserve">re and the semantics of belief. </w:t>
      </w:r>
      <w:r w:rsidRPr="0043376C">
        <w:t>In P.</w:t>
      </w:r>
      <w:r>
        <w:t xml:space="preserve"> </w:t>
      </w:r>
      <w:r w:rsidRPr="0043376C">
        <w:t xml:space="preserve">French, T. </w:t>
      </w:r>
    </w:p>
    <w:p w14:paraId="3E8F8BF6" w14:textId="77777777" w:rsidR="00681708" w:rsidRDefault="00681708" w:rsidP="00681708">
      <w:pPr>
        <w:pStyle w:val="Standard"/>
        <w:ind w:firstLine="720"/>
      </w:pPr>
      <w:r>
        <w:t>Uehling, and</w:t>
      </w:r>
      <w:r w:rsidRPr="0043376C">
        <w:t xml:space="preserve"> H. Wettstein (Eds.), </w:t>
      </w:r>
      <w:r w:rsidRPr="0043376C">
        <w:rPr>
          <w:i/>
        </w:rPr>
        <w:t xml:space="preserve">Midwest studies in philosophy </w:t>
      </w:r>
      <w:r w:rsidRPr="0043376C">
        <w:t>XIV (pp. 84–</w:t>
      </w:r>
    </w:p>
    <w:p w14:paraId="23F93DB3" w14:textId="77777777" w:rsidR="00681708" w:rsidRDefault="00681708" w:rsidP="00681708">
      <w:pPr>
        <w:pStyle w:val="Standard"/>
        <w:ind w:firstLine="720"/>
      </w:pPr>
      <w:r w:rsidRPr="0043376C">
        <w:t>100). Notre Dame: Notre Dame University</w:t>
      </w:r>
      <w:r>
        <w:t xml:space="preserve"> </w:t>
      </w:r>
      <w:r w:rsidRPr="0043376C">
        <w:t>Press.</w:t>
      </w:r>
    </w:p>
    <w:p w14:paraId="2BC0D3FF" w14:textId="77777777" w:rsidR="00681708" w:rsidRDefault="00681708" w:rsidP="00681708">
      <w:pPr>
        <w:pStyle w:val="Standard"/>
      </w:pPr>
      <w:r>
        <w:t>Goldman-Rakic, P. (1987). Circuitry of Primate Prefrontal C</w:t>
      </w:r>
      <w:r w:rsidRPr="00280352">
        <w:t>ortex</w:t>
      </w:r>
      <w:r>
        <w:t xml:space="preserve"> and R</w:t>
      </w:r>
      <w:r w:rsidRPr="00280352">
        <w:t xml:space="preserve">egulation </w:t>
      </w:r>
      <w:r>
        <w:t xml:space="preserve">of </w:t>
      </w:r>
    </w:p>
    <w:p w14:paraId="1F919A8E" w14:textId="77777777" w:rsidR="00681708" w:rsidRDefault="00681708" w:rsidP="00681708">
      <w:pPr>
        <w:pStyle w:val="Standard"/>
        <w:ind w:firstLine="720"/>
      </w:pPr>
      <w:r>
        <w:t>B</w:t>
      </w:r>
      <w:r w:rsidRPr="00280352">
        <w:t>ehavior by</w:t>
      </w:r>
      <w:r>
        <w:t xml:space="preserve"> Representational M</w:t>
      </w:r>
      <w:r w:rsidRPr="00280352">
        <w:t>emory</w:t>
      </w:r>
      <w:r>
        <w:t>. In F. Plum</w:t>
      </w:r>
      <w:r w:rsidRPr="006C6BF2">
        <w:t xml:space="preserve"> and </w:t>
      </w:r>
      <w:r>
        <w:t>V. Mountcastle</w:t>
      </w:r>
      <w:r w:rsidRPr="006C6BF2">
        <w:t xml:space="preserve"> </w:t>
      </w:r>
      <w:r>
        <w:t>(</w:t>
      </w:r>
      <w:r w:rsidRPr="006C6BF2">
        <w:t>eds.</w:t>
      </w:r>
      <w:r>
        <w:t>),</w:t>
      </w:r>
      <w:r w:rsidRPr="006C6BF2">
        <w:t xml:space="preserve"> </w:t>
      </w:r>
    </w:p>
    <w:p w14:paraId="2FE306EA" w14:textId="77777777" w:rsidR="00681708" w:rsidRDefault="00681708" w:rsidP="00681708">
      <w:pPr>
        <w:pStyle w:val="Standard"/>
        <w:ind w:left="720"/>
      </w:pPr>
      <w:r w:rsidRPr="006C6BF2">
        <w:rPr>
          <w:i/>
          <w:iCs/>
        </w:rPr>
        <w:t>Handbook of</w:t>
      </w:r>
      <w:r>
        <w:rPr>
          <w:i/>
          <w:iCs/>
        </w:rPr>
        <w:t xml:space="preserve"> </w:t>
      </w:r>
      <w:r w:rsidRPr="006C6BF2">
        <w:rPr>
          <w:i/>
          <w:iCs/>
        </w:rPr>
        <w:t>Physiology</w:t>
      </w:r>
      <w:r>
        <w:rPr>
          <w:i/>
          <w:iCs/>
        </w:rPr>
        <w:t xml:space="preserve"> </w:t>
      </w:r>
      <w:r>
        <w:rPr>
          <w:iCs/>
        </w:rPr>
        <w:t>(</w:t>
      </w:r>
      <w:r w:rsidRPr="006C6BF2">
        <w:t>pp. 373-417</w:t>
      </w:r>
      <w:r>
        <w:t>)</w:t>
      </w:r>
      <w:r w:rsidRPr="006C6BF2">
        <w:rPr>
          <w:i/>
          <w:iCs/>
        </w:rPr>
        <w:t xml:space="preserve"> </w:t>
      </w:r>
      <w:r w:rsidRPr="006C6BF2">
        <w:t>Vol. 5. Bethesda, MD: American Physiological</w:t>
      </w:r>
      <w:r>
        <w:t xml:space="preserve"> S</w:t>
      </w:r>
      <w:r w:rsidRPr="006C6BF2">
        <w:t>ocie</w:t>
      </w:r>
      <w:r>
        <w:t>ty.</w:t>
      </w:r>
    </w:p>
    <w:p w14:paraId="338D03DE" w14:textId="77777777" w:rsidR="00681708" w:rsidRDefault="00681708" w:rsidP="00681708">
      <w:pPr>
        <w:pStyle w:val="Standard"/>
      </w:pPr>
      <w:r>
        <w:t>Jackson, F. (1982). Epiphenomenal qualia.</w:t>
      </w:r>
      <w:r w:rsidRPr="00FA650F">
        <w:t xml:space="preserve"> </w:t>
      </w:r>
      <w:r w:rsidRPr="00FA650F">
        <w:rPr>
          <w:i/>
          <w:iCs/>
        </w:rPr>
        <w:t>Philosophical Quarterly</w:t>
      </w:r>
      <w:r>
        <w:t xml:space="preserve"> 32,</w:t>
      </w:r>
      <w:r w:rsidRPr="00FA650F">
        <w:t xml:space="preserve"> 127–136.</w:t>
      </w:r>
    </w:p>
    <w:p w14:paraId="43DA32B7" w14:textId="77777777" w:rsidR="00681708" w:rsidRPr="00506C45" w:rsidRDefault="00681708" w:rsidP="00681708">
      <w:pPr>
        <w:pStyle w:val="Standard"/>
      </w:pPr>
      <w:r>
        <w:t xml:space="preserve">Kriegel, U. (2011). </w:t>
      </w:r>
      <w:r>
        <w:rPr>
          <w:i/>
        </w:rPr>
        <w:t xml:space="preserve">The sources of intentionality. </w:t>
      </w:r>
      <w:r>
        <w:t>Oxford: Oxford University Press.</w:t>
      </w:r>
    </w:p>
    <w:p w14:paraId="24D872DE" w14:textId="77777777" w:rsidR="00681708" w:rsidRDefault="00681708" w:rsidP="00681708">
      <w:pPr>
        <w:pStyle w:val="Standard"/>
      </w:pPr>
      <w:r>
        <w:t>Kriegel, U. ms. Two n</w:t>
      </w:r>
      <w:r w:rsidRPr="006F41B0">
        <w:t>otions of Mental Representation</w:t>
      </w:r>
      <w:r>
        <w:t xml:space="preserve">. </w:t>
      </w:r>
      <w:r w:rsidRPr="006F41B0">
        <w:t>F</w:t>
      </w:r>
      <w:r>
        <w:t xml:space="preserve">orthcoming in U. Kriegel (ed.), </w:t>
      </w:r>
    </w:p>
    <w:p w14:paraId="1EBB8711" w14:textId="77777777" w:rsidR="00681708" w:rsidRDefault="00681708" w:rsidP="00681708">
      <w:pPr>
        <w:pStyle w:val="Standard"/>
        <w:ind w:firstLine="720"/>
      </w:pPr>
      <w:r w:rsidRPr="006F41B0">
        <w:rPr>
          <w:i/>
          <w:iCs/>
        </w:rPr>
        <w:t>Current Controversies in Philosophy of Mind</w:t>
      </w:r>
      <w:r>
        <w:t xml:space="preserve"> (New York: </w:t>
      </w:r>
      <w:r w:rsidRPr="006F41B0">
        <w:t>Routledge</w:t>
      </w:r>
      <w:r>
        <w:t>).</w:t>
      </w:r>
    </w:p>
    <w:p w14:paraId="1B39578B" w14:textId="77777777" w:rsidR="00681708" w:rsidRDefault="00681708" w:rsidP="00681708">
      <w:pPr>
        <w:pStyle w:val="Standard"/>
      </w:pPr>
      <w:r w:rsidRPr="00FC5A3D">
        <w:t xml:space="preserve">Kripke, S. (1980). </w:t>
      </w:r>
      <w:r w:rsidRPr="00FC5A3D">
        <w:rPr>
          <w:i/>
          <w:iCs/>
        </w:rPr>
        <w:t>Naming and Necessity</w:t>
      </w:r>
      <w:r w:rsidRPr="00FC5A3D">
        <w:t>. Cambridge, MA: Harvard University Press.</w:t>
      </w:r>
    </w:p>
    <w:p w14:paraId="01E0241A" w14:textId="77777777" w:rsidR="00681708" w:rsidRDefault="00681708" w:rsidP="00681708">
      <w:pPr>
        <w:pStyle w:val="Standard"/>
        <w:rPr>
          <w:i/>
        </w:rPr>
      </w:pPr>
      <w:r>
        <w:t xml:space="preserve">Levine, J. (1983). Materialism and qualia: The explanatory gap. </w:t>
      </w:r>
      <w:r>
        <w:rPr>
          <w:i/>
        </w:rPr>
        <w:t xml:space="preserve">Pacific Philosophical </w:t>
      </w:r>
    </w:p>
    <w:p w14:paraId="0ED59A31" w14:textId="77777777" w:rsidR="00681708" w:rsidRDefault="00681708" w:rsidP="00681708">
      <w:pPr>
        <w:pStyle w:val="Standard"/>
        <w:ind w:firstLine="720"/>
      </w:pPr>
      <w:r>
        <w:rPr>
          <w:i/>
        </w:rPr>
        <w:t>Quarterly</w:t>
      </w:r>
      <w:r>
        <w:t xml:space="preserve"> 64, 354–61.</w:t>
      </w:r>
    </w:p>
    <w:p w14:paraId="33890BBE" w14:textId="77777777" w:rsidR="00681708" w:rsidRDefault="00681708" w:rsidP="00681708">
      <w:pPr>
        <w:pStyle w:val="Standard"/>
      </w:pPr>
      <w:r>
        <w:t xml:space="preserve">McDowell, J. (1994). The content of perceptual experience. </w:t>
      </w:r>
      <w:r>
        <w:rPr>
          <w:i/>
        </w:rPr>
        <w:t>Philosophical Quarterly</w:t>
      </w:r>
      <w:r>
        <w:t xml:space="preserve"> 44, </w:t>
      </w:r>
    </w:p>
    <w:p w14:paraId="2B943C82" w14:textId="77777777" w:rsidR="00681708" w:rsidRDefault="00681708" w:rsidP="00681708">
      <w:pPr>
        <w:pStyle w:val="Standard"/>
        <w:ind w:firstLine="720"/>
      </w:pPr>
      <w:r>
        <w:t>190–205.</w:t>
      </w:r>
    </w:p>
    <w:p w14:paraId="70E221D0" w14:textId="77777777" w:rsidR="00681708" w:rsidRDefault="00681708" w:rsidP="00681708">
      <w:pPr>
        <w:pStyle w:val="Standard"/>
        <w:rPr>
          <w:bCs/>
        </w:rPr>
      </w:pPr>
      <w:r>
        <w:t xml:space="preserve">Miller, G. A. (1956). </w:t>
      </w:r>
      <w:r>
        <w:rPr>
          <w:bCs/>
        </w:rPr>
        <w:t xml:space="preserve">The magical number seven, plus or minus two: Some limits on our </w:t>
      </w:r>
    </w:p>
    <w:p w14:paraId="2E38198E" w14:textId="77777777" w:rsidR="00681708" w:rsidRDefault="00681708" w:rsidP="00681708">
      <w:pPr>
        <w:pStyle w:val="Standard"/>
        <w:ind w:firstLine="720"/>
      </w:pPr>
      <w:r>
        <w:rPr>
          <w:bCs/>
        </w:rPr>
        <w:t>capacity for processing i</w:t>
      </w:r>
      <w:r w:rsidRPr="00416CA5">
        <w:rPr>
          <w:bCs/>
        </w:rPr>
        <w:t>nformation</w:t>
      </w:r>
      <w:r>
        <w:t>.</w:t>
      </w:r>
      <w:r w:rsidRPr="00416CA5">
        <w:t xml:space="preserve"> </w:t>
      </w:r>
      <w:r w:rsidRPr="00416CA5">
        <w:rPr>
          <w:i/>
          <w:iCs/>
        </w:rPr>
        <w:t>Psychological Review</w:t>
      </w:r>
      <w:r w:rsidRPr="00416CA5">
        <w:t xml:space="preserve"> </w:t>
      </w:r>
      <w:r w:rsidRPr="00416CA5">
        <w:rPr>
          <w:iCs/>
        </w:rPr>
        <w:t>63</w:t>
      </w:r>
      <w:r>
        <w:t>, 81–</w:t>
      </w:r>
      <w:r w:rsidRPr="00416CA5">
        <w:t>97.</w:t>
      </w:r>
    </w:p>
    <w:p w14:paraId="39393321" w14:textId="77777777" w:rsidR="00681708" w:rsidRDefault="00681708" w:rsidP="00681708">
      <w:pPr>
        <w:pStyle w:val="Standard"/>
      </w:pPr>
      <w:r w:rsidRPr="00B10870">
        <w:t xml:space="preserve">Millikan, R. G. </w:t>
      </w:r>
      <w:r>
        <w:t xml:space="preserve">(1984). </w:t>
      </w:r>
      <w:r>
        <w:rPr>
          <w:i/>
          <w:iCs/>
        </w:rPr>
        <w:t>Language, thought, and other biological c</w:t>
      </w:r>
      <w:r w:rsidRPr="00B10870">
        <w:rPr>
          <w:i/>
          <w:iCs/>
        </w:rPr>
        <w:t>ategories</w:t>
      </w:r>
      <w:r>
        <w:t>. Cambridge,</w:t>
      </w:r>
    </w:p>
    <w:p w14:paraId="626B4AF5" w14:textId="77777777" w:rsidR="00681708" w:rsidRPr="00E04A10" w:rsidRDefault="00681708" w:rsidP="00681708">
      <w:pPr>
        <w:pStyle w:val="Standard"/>
        <w:ind w:firstLine="720"/>
      </w:pPr>
      <w:r>
        <w:t>MA: MIT Press</w:t>
      </w:r>
      <w:r w:rsidRPr="00B10870">
        <w:t>.</w:t>
      </w:r>
    </w:p>
    <w:p w14:paraId="49278E44" w14:textId="77777777" w:rsidR="00681708" w:rsidRDefault="00681708" w:rsidP="00681708">
      <w:pPr>
        <w:pStyle w:val="Standard"/>
        <w:rPr>
          <w:bCs/>
        </w:rPr>
      </w:pPr>
      <w:r>
        <w:rPr>
          <w:bCs/>
        </w:rPr>
        <w:t>Minsky, M. (1974). A framework for representing k</w:t>
      </w:r>
      <w:r w:rsidRPr="00E04A10">
        <w:rPr>
          <w:bCs/>
        </w:rPr>
        <w:t>nowledge</w:t>
      </w:r>
      <w:r>
        <w:rPr>
          <w:bCs/>
        </w:rPr>
        <w:t xml:space="preserve">. </w:t>
      </w:r>
      <w:r w:rsidRPr="00E04A10">
        <w:rPr>
          <w:bCs/>
        </w:rPr>
        <w:t>MIT-AI</w:t>
      </w:r>
      <w:r>
        <w:rPr>
          <w:bCs/>
        </w:rPr>
        <w:t xml:space="preserve"> Laboratory Memo </w:t>
      </w:r>
    </w:p>
    <w:p w14:paraId="0D89AAD0" w14:textId="77777777" w:rsidR="00681708" w:rsidRDefault="00681708" w:rsidP="00681708">
      <w:pPr>
        <w:pStyle w:val="Standard"/>
        <w:ind w:firstLine="720"/>
        <w:rPr>
          <w:bCs/>
        </w:rPr>
      </w:pPr>
      <w:r>
        <w:rPr>
          <w:bCs/>
        </w:rPr>
        <w:t>306</w:t>
      </w:r>
      <w:r w:rsidRPr="00E04A10">
        <w:rPr>
          <w:bCs/>
        </w:rPr>
        <w:t>.</w:t>
      </w:r>
    </w:p>
    <w:p w14:paraId="756A9473" w14:textId="77777777" w:rsidR="00681708" w:rsidRDefault="00681708" w:rsidP="00681708">
      <w:pPr>
        <w:pStyle w:val="Standard"/>
        <w:rPr>
          <w:bCs/>
        </w:rPr>
      </w:pPr>
      <w:r w:rsidRPr="00E50347">
        <w:rPr>
          <w:bCs/>
        </w:rPr>
        <w:t xml:space="preserve">Newell, A., </w:t>
      </w:r>
      <w:r>
        <w:rPr>
          <w:bCs/>
        </w:rPr>
        <w:t>and Simon, H. (1997). Computer science as empirical i</w:t>
      </w:r>
      <w:r w:rsidRPr="00E50347">
        <w:rPr>
          <w:bCs/>
        </w:rPr>
        <w:t>nquiry: Symbols</w:t>
      </w:r>
      <w:r>
        <w:rPr>
          <w:bCs/>
        </w:rPr>
        <w:t xml:space="preserve"> and </w:t>
      </w:r>
    </w:p>
    <w:p w14:paraId="14CDE409" w14:textId="77777777" w:rsidR="00681708" w:rsidRDefault="00681708" w:rsidP="00681708">
      <w:pPr>
        <w:pStyle w:val="Standard"/>
        <w:ind w:firstLine="720"/>
        <w:rPr>
          <w:bCs/>
        </w:rPr>
      </w:pPr>
      <w:r>
        <w:rPr>
          <w:bCs/>
        </w:rPr>
        <w:t>s</w:t>
      </w:r>
      <w:r w:rsidRPr="00E50347">
        <w:rPr>
          <w:bCs/>
        </w:rPr>
        <w:t xml:space="preserve">earch. In J. Haugeland (ed.), </w:t>
      </w:r>
      <w:r>
        <w:rPr>
          <w:bCs/>
          <w:i/>
          <w:iCs/>
        </w:rPr>
        <w:t>Mind design II: Philosophy, p</w:t>
      </w:r>
      <w:r w:rsidRPr="00E50347">
        <w:rPr>
          <w:bCs/>
          <w:i/>
          <w:iCs/>
        </w:rPr>
        <w:t>sychology, and</w:t>
      </w:r>
      <w:r>
        <w:rPr>
          <w:bCs/>
        </w:rPr>
        <w:t xml:space="preserve"> </w:t>
      </w:r>
    </w:p>
    <w:p w14:paraId="39B1E23F" w14:textId="77777777" w:rsidR="00681708" w:rsidRDefault="00681708" w:rsidP="00681708">
      <w:pPr>
        <w:pStyle w:val="Standard"/>
        <w:ind w:firstLine="720"/>
        <w:rPr>
          <w:bCs/>
        </w:rPr>
      </w:pPr>
      <w:r>
        <w:rPr>
          <w:bCs/>
          <w:i/>
          <w:iCs/>
        </w:rPr>
        <w:t>artificial i</w:t>
      </w:r>
      <w:r w:rsidRPr="00E50347">
        <w:rPr>
          <w:bCs/>
          <w:i/>
          <w:iCs/>
        </w:rPr>
        <w:t xml:space="preserve">ntelligence </w:t>
      </w:r>
      <w:r w:rsidRPr="00E50347">
        <w:rPr>
          <w:bCs/>
        </w:rPr>
        <w:t>(pp. 81–110). Cambridge</w:t>
      </w:r>
      <w:r>
        <w:rPr>
          <w:bCs/>
        </w:rPr>
        <w:t xml:space="preserve">, MA: MIT Press. Reprinted from </w:t>
      </w:r>
    </w:p>
    <w:p w14:paraId="78414E78" w14:textId="77777777" w:rsidR="00681708" w:rsidRDefault="00681708" w:rsidP="00681708">
      <w:pPr>
        <w:pStyle w:val="Standard"/>
        <w:ind w:firstLine="720"/>
        <w:rPr>
          <w:bCs/>
        </w:rPr>
      </w:pPr>
      <w:r w:rsidRPr="00E50347">
        <w:rPr>
          <w:bCs/>
        </w:rPr>
        <w:t>the</w:t>
      </w:r>
      <w:r>
        <w:rPr>
          <w:bCs/>
        </w:rPr>
        <w:t xml:space="preserve"> </w:t>
      </w:r>
      <w:r>
        <w:rPr>
          <w:bCs/>
          <w:i/>
          <w:iCs/>
        </w:rPr>
        <w:t>Communication of the association for computing m</w:t>
      </w:r>
      <w:r w:rsidRPr="00E50347">
        <w:rPr>
          <w:bCs/>
          <w:i/>
          <w:iCs/>
        </w:rPr>
        <w:t>achinery</w:t>
      </w:r>
      <w:r>
        <w:rPr>
          <w:bCs/>
        </w:rPr>
        <w:t xml:space="preserve">, 19 (March 1976), </w:t>
      </w:r>
    </w:p>
    <w:p w14:paraId="7C6C4BA6" w14:textId="77777777" w:rsidR="00681708" w:rsidRPr="00E04A10" w:rsidRDefault="00681708" w:rsidP="00681708">
      <w:pPr>
        <w:pStyle w:val="Standard"/>
        <w:ind w:firstLine="720"/>
        <w:rPr>
          <w:bCs/>
        </w:rPr>
      </w:pPr>
      <w:r w:rsidRPr="00E50347">
        <w:rPr>
          <w:bCs/>
        </w:rPr>
        <w:t>113–26.</w:t>
      </w:r>
    </w:p>
    <w:p w14:paraId="619F1B76" w14:textId="77777777" w:rsidR="00681708" w:rsidRDefault="00681708" w:rsidP="00681708">
      <w:pPr>
        <w:pStyle w:val="Standard"/>
      </w:pPr>
      <w:r>
        <w:t>Port, R., and</w:t>
      </w:r>
      <w:r w:rsidRPr="0043376C">
        <w:t xml:space="preserve"> van Gelder, T. (Eds.). (1995). </w:t>
      </w:r>
      <w:r w:rsidRPr="0043376C">
        <w:rPr>
          <w:i/>
        </w:rPr>
        <w:t>Mind as motion</w:t>
      </w:r>
      <w:r w:rsidRPr="0043376C">
        <w:t>. Cambridge:</w:t>
      </w:r>
      <w:r>
        <w:t xml:space="preserve"> </w:t>
      </w:r>
      <w:r w:rsidRPr="0043376C">
        <w:t>MIT Press.</w:t>
      </w:r>
    </w:p>
    <w:p w14:paraId="2FED56F5" w14:textId="77777777" w:rsidR="00681708" w:rsidRPr="004E71CD" w:rsidRDefault="00681708" w:rsidP="00681708">
      <w:pPr>
        <w:pStyle w:val="Standard"/>
        <w:rPr>
          <w:i/>
          <w:iCs/>
        </w:rPr>
      </w:pPr>
      <w:r w:rsidRPr="004E71CD">
        <w:t xml:space="preserve">Pylyshyn, Z. (1984). </w:t>
      </w:r>
      <w:r>
        <w:rPr>
          <w:i/>
          <w:iCs/>
        </w:rPr>
        <w:t>Computation and cognition: Toward a foundation for c</w:t>
      </w:r>
      <w:r w:rsidRPr="004E71CD">
        <w:rPr>
          <w:i/>
          <w:iCs/>
        </w:rPr>
        <w:t>ognitive</w:t>
      </w:r>
    </w:p>
    <w:p w14:paraId="3F2DCDB8" w14:textId="77777777" w:rsidR="00681708" w:rsidRDefault="00681708" w:rsidP="00681708">
      <w:pPr>
        <w:pStyle w:val="Standard"/>
        <w:ind w:firstLine="720"/>
      </w:pPr>
      <w:r>
        <w:rPr>
          <w:i/>
          <w:iCs/>
        </w:rPr>
        <w:t>s</w:t>
      </w:r>
      <w:r w:rsidRPr="004E71CD">
        <w:rPr>
          <w:i/>
          <w:iCs/>
        </w:rPr>
        <w:t>cience</w:t>
      </w:r>
      <w:r w:rsidRPr="004E71CD">
        <w:t>. Cambridge, MA: MIT Press.</w:t>
      </w:r>
    </w:p>
    <w:p w14:paraId="5B39E814" w14:textId="77777777" w:rsidR="00681708" w:rsidRDefault="00681708" w:rsidP="00681708">
      <w:pPr>
        <w:pStyle w:val="Standard"/>
      </w:pPr>
      <w:r>
        <w:t xml:space="preserve">Ramsey, W. (2007). </w:t>
      </w:r>
      <w:r>
        <w:rPr>
          <w:i/>
        </w:rPr>
        <w:t>Representation reconsidered</w:t>
      </w:r>
      <w:r>
        <w:t xml:space="preserve">. Cambridge: Cambridge University </w:t>
      </w:r>
    </w:p>
    <w:p w14:paraId="5789381B" w14:textId="77777777" w:rsidR="00681708" w:rsidRDefault="00681708" w:rsidP="00681708">
      <w:pPr>
        <w:pStyle w:val="Standard"/>
        <w:ind w:firstLine="720"/>
      </w:pPr>
      <w:r>
        <w:t>Press.</w:t>
      </w:r>
    </w:p>
    <w:p w14:paraId="463A52C7" w14:textId="77777777" w:rsidR="00681708" w:rsidRDefault="00681708" w:rsidP="00681708">
      <w:pPr>
        <w:pStyle w:val="Standard"/>
        <w:rPr>
          <w:i/>
          <w:iCs/>
        </w:rPr>
      </w:pPr>
      <w:r w:rsidRPr="007B06C4">
        <w:t xml:space="preserve">Rumelhart, D., McClelland, J., and the PDP Research Group. (1986). </w:t>
      </w:r>
      <w:r w:rsidRPr="007B06C4">
        <w:rPr>
          <w:i/>
          <w:iCs/>
        </w:rPr>
        <w:t>Parallel</w:t>
      </w:r>
      <w:r>
        <w:rPr>
          <w:i/>
          <w:iCs/>
        </w:rPr>
        <w:t xml:space="preserve"> distributed </w:t>
      </w:r>
    </w:p>
    <w:p w14:paraId="46867682" w14:textId="77777777" w:rsidR="00681708" w:rsidRDefault="00681708" w:rsidP="00681708">
      <w:pPr>
        <w:pStyle w:val="Standard"/>
        <w:ind w:firstLine="720"/>
      </w:pPr>
      <w:r>
        <w:rPr>
          <w:i/>
          <w:iCs/>
        </w:rPr>
        <w:t>processing: Explorations in the microstructure of c</w:t>
      </w:r>
      <w:r w:rsidRPr="007B06C4">
        <w:rPr>
          <w:i/>
          <w:iCs/>
        </w:rPr>
        <w:t xml:space="preserve">ognition, </w:t>
      </w:r>
      <w:r w:rsidRPr="007B06C4">
        <w:t>Vol. 1,</w:t>
      </w:r>
      <w:r>
        <w:rPr>
          <w:i/>
          <w:iCs/>
        </w:rPr>
        <w:t xml:space="preserve"> </w:t>
      </w:r>
      <w:r w:rsidRPr="007B06C4">
        <w:rPr>
          <w:i/>
        </w:rPr>
        <w:t>Foundations</w:t>
      </w:r>
      <w:r w:rsidRPr="007B06C4">
        <w:t xml:space="preserve">. </w:t>
      </w:r>
    </w:p>
    <w:p w14:paraId="2F7D2761" w14:textId="77777777" w:rsidR="00681708" w:rsidRPr="007B06C4" w:rsidRDefault="00681708" w:rsidP="00681708">
      <w:pPr>
        <w:pStyle w:val="Standard"/>
        <w:ind w:firstLine="720"/>
        <w:rPr>
          <w:i/>
          <w:iCs/>
        </w:rPr>
      </w:pPr>
      <w:r w:rsidRPr="007B06C4">
        <w:t>Cambridge, MA: MIT Press.</w:t>
      </w:r>
    </w:p>
    <w:p w14:paraId="6F5C7905" w14:textId="77777777" w:rsidR="00681708" w:rsidRPr="00FE109E" w:rsidRDefault="00681708" w:rsidP="00681708">
      <w:pPr>
        <w:pStyle w:val="Standard"/>
      </w:pPr>
      <w:r>
        <w:t>Rupert, R. (1998). On the relationship between naturalistic semantics and i</w:t>
      </w:r>
      <w:r w:rsidRPr="00FE109E">
        <w:t>ndividuation</w:t>
      </w:r>
    </w:p>
    <w:p w14:paraId="499BAB47" w14:textId="77777777" w:rsidR="00681708" w:rsidRDefault="00681708" w:rsidP="00681708">
      <w:pPr>
        <w:pStyle w:val="Standard"/>
        <w:ind w:firstLine="720"/>
      </w:pPr>
      <w:r>
        <w:t>c</w:t>
      </w:r>
      <w:r w:rsidRPr="00FE109E">
        <w:t>riteria f</w:t>
      </w:r>
      <w:r>
        <w:t>or terms in a language of t</w:t>
      </w:r>
      <w:r w:rsidRPr="00FE109E">
        <w:t xml:space="preserve">hought. </w:t>
      </w:r>
      <w:r w:rsidRPr="00FE109E">
        <w:rPr>
          <w:i/>
          <w:iCs/>
        </w:rPr>
        <w:t xml:space="preserve">Synthese </w:t>
      </w:r>
      <w:r>
        <w:t>117,</w:t>
      </w:r>
      <w:r w:rsidRPr="00FE109E">
        <w:t xml:space="preserve"> 95–131.</w:t>
      </w:r>
    </w:p>
    <w:p w14:paraId="7406A35F" w14:textId="77777777" w:rsidR="00681708" w:rsidRDefault="00681708" w:rsidP="00681708">
      <w:pPr>
        <w:pStyle w:val="Standard"/>
        <w:rPr>
          <w:i/>
          <w:iCs/>
        </w:rPr>
      </w:pPr>
      <w:r>
        <w:t>Rupert, R. (1999). The best test theory of extension: First principle(s)</w:t>
      </w:r>
      <w:r w:rsidRPr="00B10870">
        <w:t xml:space="preserve">. </w:t>
      </w:r>
      <w:r w:rsidRPr="00B10870">
        <w:rPr>
          <w:i/>
          <w:iCs/>
        </w:rPr>
        <w:t xml:space="preserve">Mind &amp; Language </w:t>
      </w:r>
    </w:p>
    <w:p w14:paraId="3DB678E2" w14:textId="77777777" w:rsidR="00681708" w:rsidRPr="002A6818" w:rsidRDefault="00681708" w:rsidP="00681708">
      <w:pPr>
        <w:pStyle w:val="Standard"/>
        <w:ind w:firstLine="720"/>
      </w:pPr>
      <w:r>
        <w:t xml:space="preserve">14, </w:t>
      </w:r>
      <w:r w:rsidRPr="00B10870">
        <w:t>321–55.</w:t>
      </w:r>
    </w:p>
    <w:p w14:paraId="1C485C3B" w14:textId="77777777" w:rsidR="00681708" w:rsidRPr="002D0C32" w:rsidRDefault="00681708" w:rsidP="00681708">
      <w:pPr>
        <w:pStyle w:val="Standard"/>
      </w:pPr>
      <w:r>
        <w:t xml:space="preserve">Rupert, R. (2008). </w:t>
      </w:r>
      <w:r w:rsidRPr="002D0C32">
        <w:t>Frege’s Puzzle and Frege Cases: Defending a Quasi-syntactic Solution.</w:t>
      </w:r>
    </w:p>
    <w:p w14:paraId="1F070D04" w14:textId="77777777" w:rsidR="00681708" w:rsidRDefault="00681708" w:rsidP="00681708">
      <w:pPr>
        <w:pStyle w:val="Standard"/>
        <w:ind w:firstLine="720"/>
      </w:pPr>
      <w:r w:rsidRPr="002D0C32">
        <w:rPr>
          <w:i/>
          <w:iCs/>
        </w:rPr>
        <w:t xml:space="preserve">Cognitive Systems Research </w:t>
      </w:r>
      <w:r>
        <w:t>9,</w:t>
      </w:r>
      <w:r w:rsidRPr="002D0C32">
        <w:t xml:space="preserve"> 76–91.</w:t>
      </w:r>
    </w:p>
    <w:p w14:paraId="6C8B142A" w14:textId="77777777" w:rsidR="00681708" w:rsidRDefault="00681708" w:rsidP="00681708">
      <w:pPr>
        <w:pStyle w:val="Standard"/>
      </w:pPr>
      <w:r>
        <w:t>Rupert, R.</w:t>
      </w:r>
      <w:r w:rsidRPr="00CD7B39">
        <w:t xml:space="preserve"> (2009). </w:t>
      </w:r>
      <w:r>
        <w:rPr>
          <w:i/>
        </w:rPr>
        <w:t>Cognitive systems and the extended m</w:t>
      </w:r>
      <w:r w:rsidRPr="00CD7B39">
        <w:rPr>
          <w:i/>
        </w:rPr>
        <w:t>ind</w:t>
      </w:r>
      <w:r>
        <w:t xml:space="preserve">. Oxford: Oxford University </w:t>
      </w:r>
    </w:p>
    <w:p w14:paraId="2E917490" w14:textId="77777777" w:rsidR="00681708" w:rsidRDefault="00681708" w:rsidP="00681708">
      <w:pPr>
        <w:pStyle w:val="Standard"/>
        <w:ind w:firstLine="720"/>
      </w:pPr>
      <w:r w:rsidRPr="00CD7B39">
        <w:t>Press.</w:t>
      </w:r>
    </w:p>
    <w:p w14:paraId="1D3181F8" w14:textId="77777777" w:rsidR="00681708" w:rsidRDefault="00681708" w:rsidP="00681708">
      <w:pPr>
        <w:pStyle w:val="Standard"/>
      </w:pPr>
      <w:r>
        <w:t xml:space="preserve">Skinner, B. F. (1957). </w:t>
      </w:r>
      <w:r>
        <w:rPr>
          <w:i/>
        </w:rPr>
        <w:t>Verbal behavior.</w:t>
      </w:r>
      <w:r>
        <w:t xml:space="preserve"> </w:t>
      </w:r>
      <w:r w:rsidRPr="002271EC">
        <w:t>Acton, MA: Copley Publishing Group</w:t>
      </w:r>
      <w:r>
        <w:t>.</w:t>
      </w:r>
    </w:p>
    <w:p w14:paraId="0F53CFC7" w14:textId="77777777" w:rsidR="00681708" w:rsidRDefault="00681708" w:rsidP="00681708">
      <w:pPr>
        <w:pStyle w:val="Standard"/>
      </w:pPr>
      <w:r w:rsidRPr="00AB7CC1">
        <w:t xml:space="preserve">Stanford, P. </w:t>
      </w:r>
      <w:r>
        <w:t xml:space="preserve">K., and Kitcher, P. (2000). </w:t>
      </w:r>
      <w:r w:rsidRPr="00AB7CC1">
        <w:t>Refining the Causal Theory</w:t>
      </w:r>
      <w:r>
        <w:t xml:space="preserve"> of Reference for </w:t>
      </w:r>
    </w:p>
    <w:p w14:paraId="1D56C01D" w14:textId="77777777" w:rsidR="00681708" w:rsidRDefault="00681708" w:rsidP="00681708">
      <w:pPr>
        <w:pStyle w:val="Standard"/>
        <w:ind w:firstLine="720"/>
      </w:pPr>
      <w:r w:rsidRPr="00AB7CC1">
        <w:t>Natural Kind Te</w:t>
      </w:r>
      <w:r>
        <w:t xml:space="preserve">rms. </w:t>
      </w:r>
      <w:r w:rsidRPr="00AB7CC1">
        <w:rPr>
          <w:i/>
        </w:rPr>
        <w:t>Philosophical Studies</w:t>
      </w:r>
      <w:r>
        <w:t xml:space="preserve"> 97, </w:t>
      </w:r>
      <w:r w:rsidRPr="00AB7CC1">
        <w:t>99–129.</w:t>
      </w:r>
    </w:p>
    <w:p w14:paraId="2414E291" w14:textId="77777777" w:rsidR="00681708" w:rsidRDefault="00681708" w:rsidP="00681708">
      <w:pPr>
        <w:pStyle w:val="Standard"/>
      </w:pPr>
      <w:r>
        <w:t xml:space="preserve">Stich, S. (1983). </w:t>
      </w:r>
      <w:r>
        <w:rPr>
          <w:i/>
        </w:rPr>
        <w:t>From Folk Psychology to Cognitive Science: The Case against Belief</w:t>
      </w:r>
      <w:r>
        <w:t xml:space="preserve">. </w:t>
      </w:r>
    </w:p>
    <w:p w14:paraId="504499D5" w14:textId="77777777" w:rsidR="00681708" w:rsidRDefault="00681708" w:rsidP="00681708">
      <w:pPr>
        <w:pStyle w:val="Standard"/>
        <w:ind w:firstLine="720"/>
      </w:pPr>
      <w:r>
        <w:t>Cambridge, MA: MIT Press.</w:t>
      </w:r>
    </w:p>
    <w:p w14:paraId="72CE7351" w14:textId="77777777" w:rsidR="00681708" w:rsidRDefault="00681708" w:rsidP="00681708">
      <w:pPr>
        <w:pStyle w:val="Standard"/>
      </w:pPr>
      <w:r>
        <w:t xml:space="preserve">Wittgenstein, L. (1953). </w:t>
      </w:r>
      <w:r>
        <w:rPr>
          <w:i/>
        </w:rPr>
        <w:t>Philosophical investigations</w:t>
      </w:r>
      <w:r w:rsidRPr="002271EC">
        <w:t>.</w:t>
      </w:r>
      <w:r w:rsidRPr="002271EC">
        <w:rPr>
          <w:rFonts w:ascii="Times" w:hAnsi="Times" w:cs="Times"/>
          <w:sz w:val="32"/>
          <w:szCs w:val="32"/>
        </w:rPr>
        <w:t xml:space="preserve"> </w:t>
      </w:r>
      <w:r w:rsidRPr="002271EC">
        <w:t>G.</w:t>
      </w:r>
      <w:r>
        <w:t xml:space="preserve"> </w:t>
      </w:r>
      <w:r w:rsidRPr="002271EC">
        <w:t>E.</w:t>
      </w:r>
      <w:r>
        <w:t xml:space="preserve"> </w:t>
      </w:r>
      <w:r w:rsidRPr="002271EC">
        <w:t xml:space="preserve">M. Anscombe and R. Rhees </w:t>
      </w:r>
    </w:p>
    <w:p w14:paraId="752ADCB0" w14:textId="77777777" w:rsidR="00681708" w:rsidRPr="00C11829" w:rsidRDefault="00681708" w:rsidP="00681708">
      <w:pPr>
        <w:pStyle w:val="Standard"/>
        <w:ind w:firstLine="720"/>
        <w:rPr>
          <w:i/>
        </w:rPr>
      </w:pPr>
      <w:r w:rsidRPr="002271EC">
        <w:t>(eds.), G.</w:t>
      </w:r>
      <w:r>
        <w:t xml:space="preserve"> </w:t>
      </w:r>
      <w:r w:rsidRPr="002271EC">
        <w:t>E.</w:t>
      </w:r>
      <w:r>
        <w:t xml:space="preserve"> </w:t>
      </w:r>
      <w:r w:rsidRPr="002271EC">
        <w:t>M. Anscombe (trans.), Oxford: Blackwell.</w:t>
      </w:r>
    </w:p>
    <w:p w14:paraId="7F818782" w14:textId="77777777" w:rsidR="00681708" w:rsidRDefault="00681708" w:rsidP="003C40B9">
      <w:pPr>
        <w:pStyle w:val="Standard"/>
      </w:pPr>
    </w:p>
    <w:sectPr w:rsidR="00681708" w:rsidSect="00546888">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8D3C9" w14:textId="77777777" w:rsidR="009A4CCB" w:rsidRDefault="009A4CCB" w:rsidP="002D6B9C">
      <w:pPr>
        <w:spacing w:after="0"/>
      </w:pPr>
      <w:r>
        <w:separator/>
      </w:r>
    </w:p>
  </w:endnote>
  <w:endnote w:type="continuationSeparator" w:id="0">
    <w:p w14:paraId="2929448F" w14:textId="77777777" w:rsidR="009A4CCB" w:rsidRDefault="009A4CCB" w:rsidP="002D6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E948C" w14:textId="77777777" w:rsidR="009A4CCB" w:rsidRDefault="009A4CCB" w:rsidP="002D6B9C">
      <w:pPr>
        <w:spacing w:after="0"/>
      </w:pPr>
      <w:r>
        <w:separator/>
      </w:r>
    </w:p>
  </w:footnote>
  <w:footnote w:type="continuationSeparator" w:id="0">
    <w:p w14:paraId="16DEF2BB" w14:textId="77777777" w:rsidR="009A4CCB" w:rsidRDefault="009A4CCB" w:rsidP="002D6B9C">
      <w:pPr>
        <w:spacing w:after="0"/>
      </w:pPr>
      <w:r>
        <w:continuationSeparator/>
      </w:r>
    </w:p>
  </w:footnote>
  <w:footnote w:id="1">
    <w:p w14:paraId="75DA24D2" w14:textId="77777777" w:rsidR="009A4CCB" w:rsidRDefault="009A4CCB" w:rsidP="002D6B9C">
      <w:pPr>
        <w:pStyle w:val="FootnoteText"/>
      </w:pPr>
      <w:r>
        <w:rPr>
          <w:rStyle w:val="FootnoteReference"/>
        </w:rPr>
        <w:footnoteRef/>
      </w:r>
      <w:r>
        <w:t xml:space="preserve"> Naturalism is not equivalent to empiricism. The former holds that the theoretical, analytical, and experimental methods of employed by our most successful sciences provide the best method for finding the truth or acquiring knowledge (or justified beliefs), but there is no commitment – quite the contrary – to the view that all concepts are constructs from observations, impressions, or sensory experiences or that all justification rests solely on empirical observation; in other words, any sensible naturalist should reject empiricism.</w:t>
      </w:r>
    </w:p>
  </w:footnote>
  <w:footnote w:id="2">
    <w:p w14:paraId="4CD368E6" w14:textId="3CFFE6BF" w:rsidR="009A4CCB" w:rsidRDefault="009A4CCB">
      <w:pPr>
        <w:pStyle w:val="FootnoteText"/>
      </w:pPr>
      <w:r>
        <w:rPr>
          <w:rStyle w:val="FootnoteReference"/>
        </w:rPr>
        <w:footnoteRef/>
      </w:r>
      <w:r>
        <w:t xml:space="preserve"> The characterization of a representation’s being minimal with respect to content is a tricky matter. If content is purely externalist, then one might think the only semantically minimal representations are representations of fundamental particles, forces, or relations; in all other cases, the thing represented is physically (or metaphysically) compound and thus, as a semantic value, not atomic.</w:t>
      </w:r>
    </w:p>
  </w:footnote>
  <w:footnote w:id="3">
    <w:p w14:paraId="35E3B4CC" w14:textId="77AFA316" w:rsidR="009A4CCB" w:rsidRDefault="009A4CCB">
      <w:pPr>
        <w:pStyle w:val="FootnoteText"/>
      </w:pPr>
      <w:r>
        <w:rPr>
          <w:rStyle w:val="FootnoteReference"/>
        </w:rPr>
        <w:footnoteRef/>
      </w:r>
      <w:r>
        <w:t xml:space="preserve"> Dualist philosophers sometimes reject the idea of an entity to which subjective content is presented and instead take the relevant relation to be something more like constitution; on the latter view, subjective content partly constitutes the states of the subject. This may be a promising path to pursue – whether within a dualist framework or not – but such pursuit should comprise the development of an adequate theory of processing, that is, an account of how something that constitutes one part of the self interacts with other things so as to give the erroneous intuition that the constitutive part is being presented to the whole; so far as I understand what it is for x to be presented to y, its holding entails that x is wholly distinct from y. I suspect that such a story, once told, will make reference to elements and relations structurally similar to those of the objective account. In doing so, it may lend itself to an eliminativist account (in the terms used by Kriegel) of subjective content, of the sort to be developed below.</w:t>
      </w:r>
    </w:p>
  </w:footnote>
  <w:footnote w:id="4">
    <w:p w14:paraId="359B6D53" w14:textId="5286BB89" w:rsidR="009A4CCB" w:rsidRDefault="009A4CCB">
      <w:pPr>
        <w:pStyle w:val="FootnoteText"/>
      </w:pPr>
      <w:r>
        <w:rPr>
          <w:rStyle w:val="FootnoteReference"/>
        </w:rPr>
        <w:footnoteRef/>
      </w:r>
      <w:r>
        <w:t xml:space="preserve"> The use of, for example, ‘UNICORN’ refers to a certain vehicle individuated nonsemantically – say, in terms of its computational role or some of its neural characteristics. Which vehicle? It is easiest to designate it as the one that systematically controls utterances of ‘unicorn’.</w:t>
      </w:r>
    </w:p>
  </w:footnote>
  <w:footnote w:id="5">
    <w:p w14:paraId="1FD73C2B" w14:textId="1A2113EE" w:rsidR="009A4CCB" w:rsidRDefault="009A4CCB">
      <w:pPr>
        <w:pStyle w:val="FootnoteText"/>
      </w:pPr>
      <w:r>
        <w:rPr>
          <w:rStyle w:val="FootnoteReference"/>
        </w:rPr>
        <w:footnoteRef/>
      </w:r>
      <w:r>
        <w:t xml:space="preserve"> The treatment of the attempt at </w:t>
      </w:r>
      <w:r w:rsidRPr="007D17BC">
        <w:rPr>
          <w:i/>
        </w:rPr>
        <w:t>a priori</w:t>
      </w:r>
      <w:r>
        <w:t xml:space="preserve"> knowledge in this case does not place it on par with other attempts at </w:t>
      </w:r>
      <w:r w:rsidRPr="00D24F43">
        <w:rPr>
          <w:i/>
        </w:rPr>
        <w:t>a priori</w:t>
      </w:r>
      <w:r>
        <w:t xml:space="preserve"> knowledge. We may be able to achieve more reliable </w:t>
      </w:r>
      <w:r w:rsidRPr="007D17BC">
        <w:rPr>
          <w:i/>
        </w:rPr>
        <w:t>a priori</w:t>
      </w:r>
      <w:r>
        <w:t xml:space="preserve"> mathematical knowledge by applying structural operations to vehicles that represent number properties (in my view, via a causal semantics: TWO tracks </w:t>
      </w:r>
      <w:r>
        <w:rPr>
          <w:i/>
        </w:rPr>
        <w:t>two-ness</w:t>
      </w:r>
      <w:r>
        <w:t xml:space="preserve"> in the environment, so far as I can tell). It is one thing to track structural relations and perform structurally sensitive operations that preserve truth; this ability may be built into the architecture and may facilitate the acquisition of mathematical knowledge. It is another thing to think that when one vehicle tracks the activation of another vehicle, the former thereby can produce accurate reports about the various properties of the tracked vehicle; thus, there’s plenty of room for, and reason for, skepticism in the case of supposed </w:t>
      </w:r>
      <w:r w:rsidRPr="007D17BC">
        <w:rPr>
          <w:i/>
        </w:rPr>
        <w:t>a priori</w:t>
      </w:r>
      <w:r>
        <w:t xml:space="preserve"> reasoning about the workings of our own minds that does not automatically bleed over to other domains in which we think we have </w:t>
      </w:r>
      <w:r w:rsidRPr="007D17BC">
        <w:rPr>
          <w:i/>
        </w:rPr>
        <w:t>a priori</w:t>
      </w:r>
      <w:r>
        <w:t xml:space="preserve"> knowledge. Thanks to David Chalmers for pressing me on this issue.</w:t>
      </w:r>
    </w:p>
  </w:footnote>
  <w:footnote w:id="6">
    <w:p w14:paraId="6A729C1F" w14:textId="1314D527" w:rsidR="009A4CCB" w:rsidRDefault="009A4CCB">
      <w:pPr>
        <w:pStyle w:val="FootnoteText"/>
      </w:pPr>
      <w:r>
        <w:rPr>
          <w:rStyle w:val="FootnoteReference"/>
        </w:rPr>
        <w:footnoteRef/>
      </w:r>
      <w:r>
        <w:t xml:space="preserve"> This thought can be extended to the case of phenomenal experience: my thinking about what it’s like for me to see red is just to think about the sensory vehicle that plays the red-detection role in my actual life!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3C3D" w14:textId="77777777" w:rsidR="00681708" w:rsidRDefault="00681708" w:rsidP="005A45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28FF9" w14:textId="77777777" w:rsidR="00681708" w:rsidRDefault="00681708" w:rsidP="0068170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771B3" w14:textId="77777777" w:rsidR="00681708" w:rsidRDefault="00681708" w:rsidP="005A45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79FE">
      <w:rPr>
        <w:rStyle w:val="PageNumber"/>
        <w:noProof/>
      </w:rPr>
      <w:t>1</w:t>
    </w:r>
    <w:r>
      <w:rPr>
        <w:rStyle w:val="PageNumber"/>
      </w:rPr>
      <w:fldChar w:fldCharType="end"/>
    </w:r>
  </w:p>
  <w:p w14:paraId="68337E76" w14:textId="77777777" w:rsidR="00681708" w:rsidRDefault="00681708" w:rsidP="0068170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FB"/>
    <w:rsid w:val="00017009"/>
    <w:rsid w:val="00051EC4"/>
    <w:rsid w:val="0006323E"/>
    <w:rsid w:val="00071E0B"/>
    <w:rsid w:val="000848F0"/>
    <w:rsid w:val="00097095"/>
    <w:rsid w:val="000A6055"/>
    <w:rsid w:val="000C4DFD"/>
    <w:rsid w:val="000D687C"/>
    <w:rsid w:val="00105079"/>
    <w:rsid w:val="00107008"/>
    <w:rsid w:val="001071E9"/>
    <w:rsid w:val="0013357F"/>
    <w:rsid w:val="00171180"/>
    <w:rsid w:val="00180426"/>
    <w:rsid w:val="00185CEE"/>
    <w:rsid w:val="00193D37"/>
    <w:rsid w:val="0019436E"/>
    <w:rsid w:val="001C059F"/>
    <w:rsid w:val="001C0999"/>
    <w:rsid w:val="001E4F75"/>
    <w:rsid w:val="001F4CA1"/>
    <w:rsid w:val="002271EC"/>
    <w:rsid w:val="00253982"/>
    <w:rsid w:val="00257E7D"/>
    <w:rsid w:val="00260B21"/>
    <w:rsid w:val="002620D6"/>
    <w:rsid w:val="002747BD"/>
    <w:rsid w:val="002827CB"/>
    <w:rsid w:val="00287C3F"/>
    <w:rsid w:val="002A6818"/>
    <w:rsid w:val="002B2AFE"/>
    <w:rsid w:val="002C4337"/>
    <w:rsid w:val="002C4620"/>
    <w:rsid w:val="002C5B1B"/>
    <w:rsid w:val="002D0C32"/>
    <w:rsid w:val="002D44A2"/>
    <w:rsid w:val="002D6B9C"/>
    <w:rsid w:val="002F6018"/>
    <w:rsid w:val="003112F5"/>
    <w:rsid w:val="00357D96"/>
    <w:rsid w:val="0037034C"/>
    <w:rsid w:val="00373F5E"/>
    <w:rsid w:val="003C40B9"/>
    <w:rsid w:val="003E3B2B"/>
    <w:rsid w:val="003E649C"/>
    <w:rsid w:val="003E7778"/>
    <w:rsid w:val="003F5DCB"/>
    <w:rsid w:val="004126CE"/>
    <w:rsid w:val="00413150"/>
    <w:rsid w:val="00416CA5"/>
    <w:rsid w:val="00427E23"/>
    <w:rsid w:val="0043433F"/>
    <w:rsid w:val="004726D4"/>
    <w:rsid w:val="004B397F"/>
    <w:rsid w:val="004C6FFF"/>
    <w:rsid w:val="004E71CD"/>
    <w:rsid w:val="004F1438"/>
    <w:rsid w:val="004F4460"/>
    <w:rsid w:val="00530939"/>
    <w:rsid w:val="00533A59"/>
    <w:rsid w:val="00546888"/>
    <w:rsid w:val="0058138B"/>
    <w:rsid w:val="00597991"/>
    <w:rsid w:val="005B00E6"/>
    <w:rsid w:val="005E14F1"/>
    <w:rsid w:val="005E68AE"/>
    <w:rsid w:val="005F5186"/>
    <w:rsid w:val="00643FFB"/>
    <w:rsid w:val="0064787E"/>
    <w:rsid w:val="00653E72"/>
    <w:rsid w:val="00665F30"/>
    <w:rsid w:val="00681708"/>
    <w:rsid w:val="006A20BC"/>
    <w:rsid w:val="006A2994"/>
    <w:rsid w:val="006C4023"/>
    <w:rsid w:val="006F1EFB"/>
    <w:rsid w:val="006F41B0"/>
    <w:rsid w:val="007362D0"/>
    <w:rsid w:val="00754C28"/>
    <w:rsid w:val="00774A15"/>
    <w:rsid w:val="007902FF"/>
    <w:rsid w:val="007A15CF"/>
    <w:rsid w:val="007A7297"/>
    <w:rsid w:val="007B0C82"/>
    <w:rsid w:val="007D17BC"/>
    <w:rsid w:val="007D6959"/>
    <w:rsid w:val="007F222B"/>
    <w:rsid w:val="00804096"/>
    <w:rsid w:val="00811A89"/>
    <w:rsid w:val="00813653"/>
    <w:rsid w:val="008140E9"/>
    <w:rsid w:val="00857FE5"/>
    <w:rsid w:val="00861309"/>
    <w:rsid w:val="008718B1"/>
    <w:rsid w:val="00874A7A"/>
    <w:rsid w:val="00895109"/>
    <w:rsid w:val="008A0D56"/>
    <w:rsid w:val="008B1B47"/>
    <w:rsid w:val="008B63CE"/>
    <w:rsid w:val="008D3112"/>
    <w:rsid w:val="008D7098"/>
    <w:rsid w:val="00907C0B"/>
    <w:rsid w:val="00936729"/>
    <w:rsid w:val="009A4791"/>
    <w:rsid w:val="009A4CCB"/>
    <w:rsid w:val="009C66FA"/>
    <w:rsid w:val="009C6C13"/>
    <w:rsid w:val="009D0D7E"/>
    <w:rsid w:val="009D43A6"/>
    <w:rsid w:val="009D63D1"/>
    <w:rsid w:val="009F42A9"/>
    <w:rsid w:val="00A10813"/>
    <w:rsid w:val="00A14B1E"/>
    <w:rsid w:val="00A37689"/>
    <w:rsid w:val="00A431E9"/>
    <w:rsid w:val="00A52D11"/>
    <w:rsid w:val="00A5428E"/>
    <w:rsid w:val="00A82A0A"/>
    <w:rsid w:val="00A9003A"/>
    <w:rsid w:val="00AA397A"/>
    <w:rsid w:val="00AB7CC1"/>
    <w:rsid w:val="00AF460E"/>
    <w:rsid w:val="00B10870"/>
    <w:rsid w:val="00B312D5"/>
    <w:rsid w:val="00B379FE"/>
    <w:rsid w:val="00B545B9"/>
    <w:rsid w:val="00B65DD1"/>
    <w:rsid w:val="00B8339D"/>
    <w:rsid w:val="00B91AA6"/>
    <w:rsid w:val="00BA2CD7"/>
    <w:rsid w:val="00BE529F"/>
    <w:rsid w:val="00C34984"/>
    <w:rsid w:val="00C618F7"/>
    <w:rsid w:val="00C92B4F"/>
    <w:rsid w:val="00C945D2"/>
    <w:rsid w:val="00CE773B"/>
    <w:rsid w:val="00CF7E80"/>
    <w:rsid w:val="00D12B34"/>
    <w:rsid w:val="00D24F43"/>
    <w:rsid w:val="00D5351F"/>
    <w:rsid w:val="00D7560D"/>
    <w:rsid w:val="00D94461"/>
    <w:rsid w:val="00DF39DF"/>
    <w:rsid w:val="00E551FF"/>
    <w:rsid w:val="00E91149"/>
    <w:rsid w:val="00E92CBD"/>
    <w:rsid w:val="00ED74DD"/>
    <w:rsid w:val="00EE6346"/>
    <w:rsid w:val="00EF104E"/>
    <w:rsid w:val="00F11E65"/>
    <w:rsid w:val="00F223FF"/>
    <w:rsid w:val="00F35608"/>
    <w:rsid w:val="00F52CE3"/>
    <w:rsid w:val="00FA04F1"/>
    <w:rsid w:val="00FA650F"/>
    <w:rsid w:val="00FB3C12"/>
    <w:rsid w:val="00FC3278"/>
    <w:rsid w:val="00FC5A3D"/>
    <w:rsid w:val="00FD1869"/>
    <w:rsid w:val="00FF6F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F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7C3F"/>
    <w:pPr>
      <w:spacing w:after="0" w:line="480" w:lineRule="auto"/>
    </w:pPr>
    <w:rPr>
      <w:rFonts w:ascii="Times New Roman" w:hAnsi="Times New Roman"/>
    </w:rPr>
  </w:style>
  <w:style w:type="paragraph" w:customStyle="1" w:styleId="Standard">
    <w:name w:val="Standard"/>
    <w:basedOn w:val="Normal"/>
    <w:qFormat/>
    <w:rsid w:val="00530939"/>
    <w:pPr>
      <w:spacing w:after="0" w:line="480" w:lineRule="auto"/>
    </w:pPr>
    <w:rPr>
      <w:rFonts w:ascii="Times New Roman" w:hAnsi="Times New Roman"/>
    </w:rPr>
  </w:style>
  <w:style w:type="paragraph" w:styleId="FootnoteText">
    <w:name w:val="footnote text"/>
    <w:basedOn w:val="Normal"/>
    <w:link w:val="FootnoteTextChar"/>
    <w:uiPriority w:val="99"/>
    <w:unhideWhenUsed/>
    <w:rsid w:val="008B63CE"/>
    <w:pPr>
      <w:spacing w:after="0" w:line="480" w:lineRule="auto"/>
    </w:pPr>
    <w:rPr>
      <w:rFonts w:ascii="Times New Roman" w:hAnsi="Times New Roman"/>
    </w:rPr>
  </w:style>
  <w:style w:type="character" w:customStyle="1" w:styleId="FootnoteTextChar">
    <w:name w:val="Footnote Text Char"/>
    <w:basedOn w:val="DefaultParagraphFont"/>
    <w:link w:val="FootnoteText"/>
    <w:uiPriority w:val="99"/>
    <w:rsid w:val="008B63CE"/>
    <w:rPr>
      <w:rFonts w:ascii="Times New Roman" w:hAnsi="Times New Roman"/>
    </w:rPr>
  </w:style>
  <w:style w:type="character" w:styleId="CommentReference">
    <w:name w:val="annotation reference"/>
    <w:basedOn w:val="DefaultParagraphFont"/>
    <w:uiPriority w:val="99"/>
    <w:semiHidden/>
    <w:unhideWhenUsed/>
    <w:rsid w:val="002D6B9C"/>
    <w:rPr>
      <w:sz w:val="18"/>
      <w:szCs w:val="18"/>
    </w:rPr>
  </w:style>
  <w:style w:type="paragraph" w:styleId="CommentText">
    <w:name w:val="annotation text"/>
    <w:basedOn w:val="Normal"/>
    <w:link w:val="CommentTextChar"/>
    <w:uiPriority w:val="99"/>
    <w:semiHidden/>
    <w:unhideWhenUsed/>
    <w:rsid w:val="002D6B9C"/>
  </w:style>
  <w:style w:type="character" w:customStyle="1" w:styleId="CommentTextChar">
    <w:name w:val="Comment Text Char"/>
    <w:basedOn w:val="DefaultParagraphFont"/>
    <w:link w:val="CommentText"/>
    <w:uiPriority w:val="99"/>
    <w:semiHidden/>
    <w:rsid w:val="002D6B9C"/>
  </w:style>
  <w:style w:type="paragraph" w:styleId="CommentSubject">
    <w:name w:val="annotation subject"/>
    <w:basedOn w:val="CommentText"/>
    <w:next w:val="CommentText"/>
    <w:link w:val="CommentSubjectChar"/>
    <w:uiPriority w:val="99"/>
    <w:semiHidden/>
    <w:unhideWhenUsed/>
    <w:rsid w:val="002D6B9C"/>
    <w:rPr>
      <w:b/>
      <w:bCs/>
      <w:sz w:val="20"/>
      <w:szCs w:val="20"/>
    </w:rPr>
  </w:style>
  <w:style w:type="character" w:customStyle="1" w:styleId="CommentSubjectChar">
    <w:name w:val="Comment Subject Char"/>
    <w:basedOn w:val="CommentTextChar"/>
    <w:link w:val="CommentSubject"/>
    <w:uiPriority w:val="99"/>
    <w:semiHidden/>
    <w:rsid w:val="002D6B9C"/>
    <w:rPr>
      <w:b/>
      <w:bCs/>
      <w:sz w:val="20"/>
      <w:szCs w:val="20"/>
    </w:rPr>
  </w:style>
  <w:style w:type="paragraph" w:styleId="Revision">
    <w:name w:val="Revision"/>
    <w:hidden/>
    <w:uiPriority w:val="99"/>
    <w:semiHidden/>
    <w:rsid w:val="002D6B9C"/>
    <w:pPr>
      <w:spacing w:after="0"/>
    </w:pPr>
  </w:style>
  <w:style w:type="paragraph" w:styleId="BalloonText">
    <w:name w:val="Balloon Text"/>
    <w:basedOn w:val="Normal"/>
    <w:link w:val="BalloonTextChar"/>
    <w:uiPriority w:val="99"/>
    <w:semiHidden/>
    <w:unhideWhenUsed/>
    <w:rsid w:val="002D6B9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6B9C"/>
    <w:rPr>
      <w:rFonts w:ascii="Lucida Grande" w:hAnsi="Lucida Grande" w:cs="Lucida Grande"/>
      <w:sz w:val="18"/>
      <w:szCs w:val="18"/>
    </w:rPr>
  </w:style>
  <w:style w:type="character" w:styleId="FootnoteReference">
    <w:name w:val="footnote reference"/>
    <w:basedOn w:val="DefaultParagraphFont"/>
    <w:uiPriority w:val="99"/>
    <w:unhideWhenUsed/>
    <w:rsid w:val="002D6B9C"/>
    <w:rPr>
      <w:vertAlign w:val="superscript"/>
    </w:rPr>
  </w:style>
  <w:style w:type="character" w:styleId="Hyperlink">
    <w:name w:val="Hyperlink"/>
    <w:basedOn w:val="DefaultParagraphFont"/>
    <w:uiPriority w:val="99"/>
    <w:unhideWhenUsed/>
    <w:rsid w:val="00FA650F"/>
    <w:rPr>
      <w:color w:val="0000FF" w:themeColor="hyperlink"/>
      <w:u w:val="single"/>
    </w:rPr>
  </w:style>
  <w:style w:type="paragraph" w:styleId="Header">
    <w:name w:val="header"/>
    <w:basedOn w:val="Normal"/>
    <w:link w:val="HeaderChar"/>
    <w:uiPriority w:val="99"/>
    <w:unhideWhenUsed/>
    <w:rsid w:val="00681708"/>
    <w:pPr>
      <w:tabs>
        <w:tab w:val="center" w:pos="4320"/>
        <w:tab w:val="right" w:pos="8640"/>
      </w:tabs>
      <w:spacing w:after="0"/>
    </w:pPr>
  </w:style>
  <w:style w:type="character" w:customStyle="1" w:styleId="HeaderChar">
    <w:name w:val="Header Char"/>
    <w:basedOn w:val="DefaultParagraphFont"/>
    <w:link w:val="Header"/>
    <w:uiPriority w:val="99"/>
    <w:rsid w:val="00681708"/>
  </w:style>
  <w:style w:type="character" w:styleId="PageNumber">
    <w:name w:val="page number"/>
    <w:basedOn w:val="DefaultParagraphFont"/>
    <w:uiPriority w:val="99"/>
    <w:semiHidden/>
    <w:unhideWhenUsed/>
    <w:rsid w:val="006817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7C3F"/>
    <w:pPr>
      <w:spacing w:after="0" w:line="480" w:lineRule="auto"/>
    </w:pPr>
    <w:rPr>
      <w:rFonts w:ascii="Times New Roman" w:hAnsi="Times New Roman"/>
    </w:rPr>
  </w:style>
  <w:style w:type="paragraph" w:customStyle="1" w:styleId="Standard">
    <w:name w:val="Standard"/>
    <w:basedOn w:val="Normal"/>
    <w:qFormat/>
    <w:rsid w:val="00530939"/>
    <w:pPr>
      <w:spacing w:after="0" w:line="480" w:lineRule="auto"/>
    </w:pPr>
    <w:rPr>
      <w:rFonts w:ascii="Times New Roman" w:hAnsi="Times New Roman"/>
    </w:rPr>
  </w:style>
  <w:style w:type="paragraph" w:styleId="FootnoteText">
    <w:name w:val="footnote text"/>
    <w:basedOn w:val="Normal"/>
    <w:link w:val="FootnoteTextChar"/>
    <w:uiPriority w:val="99"/>
    <w:unhideWhenUsed/>
    <w:rsid w:val="008B63CE"/>
    <w:pPr>
      <w:spacing w:after="0" w:line="480" w:lineRule="auto"/>
    </w:pPr>
    <w:rPr>
      <w:rFonts w:ascii="Times New Roman" w:hAnsi="Times New Roman"/>
    </w:rPr>
  </w:style>
  <w:style w:type="character" w:customStyle="1" w:styleId="FootnoteTextChar">
    <w:name w:val="Footnote Text Char"/>
    <w:basedOn w:val="DefaultParagraphFont"/>
    <w:link w:val="FootnoteText"/>
    <w:uiPriority w:val="99"/>
    <w:rsid w:val="008B63CE"/>
    <w:rPr>
      <w:rFonts w:ascii="Times New Roman" w:hAnsi="Times New Roman"/>
    </w:rPr>
  </w:style>
  <w:style w:type="character" w:styleId="CommentReference">
    <w:name w:val="annotation reference"/>
    <w:basedOn w:val="DefaultParagraphFont"/>
    <w:uiPriority w:val="99"/>
    <w:semiHidden/>
    <w:unhideWhenUsed/>
    <w:rsid w:val="002D6B9C"/>
    <w:rPr>
      <w:sz w:val="18"/>
      <w:szCs w:val="18"/>
    </w:rPr>
  </w:style>
  <w:style w:type="paragraph" w:styleId="CommentText">
    <w:name w:val="annotation text"/>
    <w:basedOn w:val="Normal"/>
    <w:link w:val="CommentTextChar"/>
    <w:uiPriority w:val="99"/>
    <w:semiHidden/>
    <w:unhideWhenUsed/>
    <w:rsid w:val="002D6B9C"/>
  </w:style>
  <w:style w:type="character" w:customStyle="1" w:styleId="CommentTextChar">
    <w:name w:val="Comment Text Char"/>
    <w:basedOn w:val="DefaultParagraphFont"/>
    <w:link w:val="CommentText"/>
    <w:uiPriority w:val="99"/>
    <w:semiHidden/>
    <w:rsid w:val="002D6B9C"/>
  </w:style>
  <w:style w:type="paragraph" w:styleId="CommentSubject">
    <w:name w:val="annotation subject"/>
    <w:basedOn w:val="CommentText"/>
    <w:next w:val="CommentText"/>
    <w:link w:val="CommentSubjectChar"/>
    <w:uiPriority w:val="99"/>
    <w:semiHidden/>
    <w:unhideWhenUsed/>
    <w:rsid w:val="002D6B9C"/>
    <w:rPr>
      <w:b/>
      <w:bCs/>
      <w:sz w:val="20"/>
      <w:szCs w:val="20"/>
    </w:rPr>
  </w:style>
  <w:style w:type="character" w:customStyle="1" w:styleId="CommentSubjectChar">
    <w:name w:val="Comment Subject Char"/>
    <w:basedOn w:val="CommentTextChar"/>
    <w:link w:val="CommentSubject"/>
    <w:uiPriority w:val="99"/>
    <w:semiHidden/>
    <w:rsid w:val="002D6B9C"/>
    <w:rPr>
      <w:b/>
      <w:bCs/>
      <w:sz w:val="20"/>
      <w:szCs w:val="20"/>
    </w:rPr>
  </w:style>
  <w:style w:type="paragraph" w:styleId="Revision">
    <w:name w:val="Revision"/>
    <w:hidden/>
    <w:uiPriority w:val="99"/>
    <w:semiHidden/>
    <w:rsid w:val="002D6B9C"/>
    <w:pPr>
      <w:spacing w:after="0"/>
    </w:pPr>
  </w:style>
  <w:style w:type="paragraph" w:styleId="BalloonText">
    <w:name w:val="Balloon Text"/>
    <w:basedOn w:val="Normal"/>
    <w:link w:val="BalloonTextChar"/>
    <w:uiPriority w:val="99"/>
    <w:semiHidden/>
    <w:unhideWhenUsed/>
    <w:rsid w:val="002D6B9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6B9C"/>
    <w:rPr>
      <w:rFonts w:ascii="Lucida Grande" w:hAnsi="Lucida Grande" w:cs="Lucida Grande"/>
      <w:sz w:val="18"/>
      <w:szCs w:val="18"/>
    </w:rPr>
  </w:style>
  <w:style w:type="character" w:styleId="FootnoteReference">
    <w:name w:val="footnote reference"/>
    <w:basedOn w:val="DefaultParagraphFont"/>
    <w:uiPriority w:val="99"/>
    <w:unhideWhenUsed/>
    <w:rsid w:val="002D6B9C"/>
    <w:rPr>
      <w:vertAlign w:val="superscript"/>
    </w:rPr>
  </w:style>
  <w:style w:type="character" w:styleId="Hyperlink">
    <w:name w:val="Hyperlink"/>
    <w:basedOn w:val="DefaultParagraphFont"/>
    <w:uiPriority w:val="99"/>
    <w:unhideWhenUsed/>
    <w:rsid w:val="00FA650F"/>
    <w:rPr>
      <w:color w:val="0000FF" w:themeColor="hyperlink"/>
      <w:u w:val="single"/>
    </w:rPr>
  </w:style>
  <w:style w:type="paragraph" w:styleId="Header">
    <w:name w:val="header"/>
    <w:basedOn w:val="Normal"/>
    <w:link w:val="HeaderChar"/>
    <w:uiPriority w:val="99"/>
    <w:unhideWhenUsed/>
    <w:rsid w:val="00681708"/>
    <w:pPr>
      <w:tabs>
        <w:tab w:val="center" w:pos="4320"/>
        <w:tab w:val="right" w:pos="8640"/>
      </w:tabs>
      <w:spacing w:after="0"/>
    </w:pPr>
  </w:style>
  <w:style w:type="character" w:customStyle="1" w:styleId="HeaderChar">
    <w:name w:val="Header Char"/>
    <w:basedOn w:val="DefaultParagraphFont"/>
    <w:link w:val="Header"/>
    <w:uiPriority w:val="99"/>
    <w:rsid w:val="00681708"/>
  </w:style>
  <w:style w:type="character" w:styleId="PageNumber">
    <w:name w:val="page number"/>
    <w:basedOn w:val="DefaultParagraphFont"/>
    <w:uiPriority w:val="99"/>
    <w:semiHidden/>
    <w:unhideWhenUsed/>
    <w:rsid w:val="0068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28</Pages>
  <Words>7169</Words>
  <Characters>38284</Characters>
  <Application>Microsoft Macintosh Word</Application>
  <DocSecurity>0</DocSecurity>
  <Lines>580</Lines>
  <Paragraphs>127</Paragraphs>
  <ScaleCrop>false</ScaleCrop>
  <Company>University of Colorado, Boulder</Company>
  <LinksUpToDate>false</LinksUpToDate>
  <CharactersWithSpaces>45326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Rupert</dc:creator>
  <cp:keywords/>
  <dc:description/>
  <cp:lastModifiedBy>Rob Rupert</cp:lastModifiedBy>
  <cp:revision>36</cp:revision>
  <dcterms:created xsi:type="dcterms:W3CDTF">2012-12-29T17:08:00Z</dcterms:created>
  <dcterms:modified xsi:type="dcterms:W3CDTF">2013-01-03T23:31:00Z</dcterms:modified>
</cp:coreProperties>
</file>