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C218" w14:textId="77777777" w:rsidR="00EA1A06" w:rsidRPr="00EA1A06" w:rsidRDefault="00EA1A06" w:rsidP="00EA1A06">
      <w:pPr>
        <w:spacing w:line="240" w:lineRule="auto"/>
        <w:jc w:val="left"/>
        <w:rPr>
          <w:rFonts w:eastAsia="Times New Roman"/>
          <w:lang w:val="en-US"/>
        </w:rPr>
      </w:pPr>
      <w:r w:rsidRPr="00EA1A06">
        <w:rPr>
          <w:rFonts w:eastAsia="Times New Roman"/>
          <w:b/>
          <w:lang w:val="en-US"/>
        </w:rPr>
        <w:t>Dudgeon, William</w:t>
      </w:r>
      <w:r w:rsidRPr="00EA1A06">
        <w:rPr>
          <w:rFonts w:eastAsia="Times New Roman"/>
          <w:lang w:val="en-US"/>
        </w:rPr>
        <w:t xml:space="preserve"> (1705/6–1743), freethinker and philosopher, is of unknown origins. A tenant farmer who resided at </w:t>
      </w:r>
      <w:proofErr w:type="spellStart"/>
      <w:r w:rsidRPr="00EA1A06">
        <w:rPr>
          <w:rFonts w:eastAsia="Times New Roman"/>
          <w:lang w:val="en-US"/>
        </w:rPr>
        <w:t>Lennel</w:t>
      </w:r>
      <w:proofErr w:type="spellEnd"/>
      <w:r w:rsidRPr="00EA1A06">
        <w:rPr>
          <w:rFonts w:eastAsia="Times New Roman"/>
          <w:lang w:val="en-US"/>
        </w:rPr>
        <w:t xml:space="preserve"> Hill Farm, near Coldstream, </w:t>
      </w:r>
      <w:proofErr w:type="spellStart"/>
      <w:r w:rsidRPr="00EA1A06">
        <w:rPr>
          <w:rFonts w:eastAsia="Times New Roman"/>
          <w:lang w:val="en-US"/>
        </w:rPr>
        <w:t>Berwickshire</w:t>
      </w:r>
      <w:proofErr w:type="spellEnd"/>
      <w:r w:rsidRPr="00EA1A06">
        <w:rPr>
          <w:rFonts w:eastAsia="Times New Roman"/>
          <w:lang w:val="en-US"/>
        </w:rPr>
        <w:t>, he was one of several philosophers active in the borders area of Scotland during this period. Other figures in this group include Andrew Baxter, Henry Home (Lord Kames), and most importantly David Hume.</w:t>
      </w:r>
      <w:r w:rsidRPr="00EA1A06">
        <w:rPr>
          <w:rFonts w:eastAsia="Times New Roman"/>
          <w:lang w:val="en-US"/>
        </w:rPr>
        <w:br/>
      </w:r>
      <w:r w:rsidRPr="00EA1A06">
        <w:rPr>
          <w:rFonts w:eastAsia="Times New Roman"/>
          <w:lang w:val="en-US"/>
        </w:rPr>
        <w:br/>
        <w:t xml:space="preserve">Dudgeon's first major study was </w:t>
      </w:r>
      <w:r w:rsidRPr="00EA1A06">
        <w:rPr>
          <w:rFonts w:eastAsia="Times New Roman"/>
          <w:i/>
          <w:lang w:val="en-US"/>
        </w:rPr>
        <w:t xml:space="preserve">The State of the Moral World Considered </w:t>
      </w:r>
      <w:r w:rsidRPr="00EA1A06">
        <w:rPr>
          <w:rFonts w:eastAsia="Times New Roman"/>
          <w:lang w:val="en-US"/>
        </w:rPr>
        <w:t>(1732). In this work he defended a metaphysical optimism that is similar to that of Lord Shaftesbury, as well as a necessitarian doctrine not unlike that of Anthony Collins. This work drew a hostile reply from Andrew Baxter, who was Scotland's most prominent defender of the philosophy of Samuel Clarke. Baxter accused Dudgeon of both ‘atheism’ and ‘</w:t>
      </w:r>
      <w:proofErr w:type="spellStart"/>
      <w:r w:rsidRPr="00EA1A06">
        <w:rPr>
          <w:rFonts w:eastAsia="Times New Roman"/>
          <w:lang w:val="en-US"/>
        </w:rPr>
        <w:t>scepticism</w:t>
      </w:r>
      <w:proofErr w:type="spellEnd"/>
      <w:r w:rsidRPr="00EA1A06">
        <w:rPr>
          <w:rFonts w:eastAsia="Times New Roman"/>
          <w:lang w:val="en-US"/>
        </w:rPr>
        <w:t>’. These charges encouraged the local clergy in the presbytery of Chirnside to prosecute Dudgeon on the ground that he was the author of a work that ‘contains many gross errors subversive of Christianity’. One of the clerics involved was an uncle of David Hume (who was also living in Chirnside at this time with his family).</w:t>
      </w:r>
      <w:r w:rsidRPr="00EA1A06">
        <w:rPr>
          <w:rFonts w:eastAsia="Times New Roman"/>
          <w:lang w:val="en-US"/>
        </w:rPr>
        <w:br/>
      </w:r>
      <w:r w:rsidRPr="00EA1A06">
        <w:rPr>
          <w:rFonts w:eastAsia="Times New Roman"/>
          <w:lang w:val="en-US"/>
        </w:rPr>
        <w:br/>
        <w:t xml:space="preserve">Among Dudgeon's other major works is </w:t>
      </w:r>
      <w:r w:rsidRPr="00EA1A06">
        <w:rPr>
          <w:rFonts w:eastAsia="Times New Roman"/>
          <w:i/>
          <w:lang w:val="en-US"/>
        </w:rPr>
        <w:t>Philosophical Letters</w:t>
      </w:r>
      <w:r w:rsidRPr="00EA1A06">
        <w:rPr>
          <w:rFonts w:eastAsia="Times New Roman"/>
          <w:lang w:val="en-US"/>
        </w:rPr>
        <w:t xml:space="preserve"> (1737), written to John Jackson, another prominent defender of Clarke's philosophy. In this work Dudgeon criticized Clarke's Newtonian metaphysics and morals. By way of alternative he defended a form of pantheistic immaterialism that blended Berkeley and Spinoza, along with a moral sense ethics in line with Shaftesbury. This work was </w:t>
      </w:r>
      <w:proofErr w:type="spellStart"/>
      <w:r w:rsidRPr="00EA1A06">
        <w:rPr>
          <w:rFonts w:eastAsia="Times New Roman"/>
          <w:lang w:val="en-US"/>
        </w:rPr>
        <w:t>favourably</w:t>
      </w:r>
      <w:proofErr w:type="spellEnd"/>
      <w:r w:rsidRPr="00EA1A06">
        <w:rPr>
          <w:rFonts w:eastAsia="Times New Roman"/>
          <w:lang w:val="en-US"/>
        </w:rPr>
        <w:t xml:space="preserve"> reviewed in the journal History of the Works of the Learned (1737/8), where Dudgeon's ‘Spinozism’ was noted.</w:t>
      </w:r>
      <w:r w:rsidRPr="00EA1A06">
        <w:rPr>
          <w:rFonts w:eastAsia="Times New Roman"/>
          <w:lang w:val="en-US"/>
        </w:rPr>
        <w:br/>
      </w:r>
      <w:r w:rsidRPr="00EA1A06">
        <w:rPr>
          <w:rFonts w:eastAsia="Times New Roman"/>
          <w:lang w:val="en-US"/>
        </w:rPr>
        <w:br/>
        <w:t xml:space="preserve">In another controversy Dudgeon tangled with William Warburton on the subject of Pope's </w:t>
      </w:r>
      <w:r w:rsidRPr="00EA1A06">
        <w:rPr>
          <w:rFonts w:eastAsia="Times New Roman"/>
          <w:i/>
          <w:lang w:val="en-US"/>
        </w:rPr>
        <w:t>Essay on Man</w:t>
      </w:r>
      <w:r w:rsidRPr="00EA1A06">
        <w:rPr>
          <w:rFonts w:eastAsia="Times New Roman"/>
          <w:lang w:val="en-US"/>
        </w:rPr>
        <w:t>. Warburton, a friend of Baxter's (and later a celebrated enemy of Hume's), referred to Dudgeon as belonging to ‘the tribe of Free-thinkers’ and placed him in the same company as John Toland, Matthew Tindal, and Collins (Warburton, preface). Some years later John Witherspoon, in his satirical work Ecclesiastical Characteristics (maxim 4), mentioned Dudgeon along with a number of thinkers, including Shaftesbury, Leibniz, Collins, and Kames, whose ideas had been influential on the ‘moderate’ party in the Church of Scotland. These controversies and references suggest that Dudgeon's philosophy enjoyed some influence on both sides of the border.</w:t>
      </w:r>
      <w:r w:rsidRPr="00EA1A06">
        <w:rPr>
          <w:rFonts w:eastAsia="Times New Roman"/>
          <w:lang w:val="en-US"/>
        </w:rPr>
        <w:br/>
      </w:r>
      <w:r w:rsidRPr="00EA1A06">
        <w:rPr>
          <w:rFonts w:eastAsia="Times New Roman"/>
          <w:lang w:val="en-US"/>
        </w:rPr>
        <w:br/>
        <w:t xml:space="preserve">There is no evidence that Dudgeon and Hume had any direct contact. Nevertheless, given their close proximity when Hume was young and philosophically active, and the role of Hume's uncle in Dudgeon's prosecution, it is reasonable to assume that Hume knew of Dudgeon's philosophical work and the associated controversies involving Baxter and Warburton. Suffice it to note that Dudgeon and Hume shared philosophical interests and that on </w:t>
      </w:r>
      <w:proofErr w:type="gramStart"/>
      <w:r w:rsidRPr="00EA1A06">
        <w:rPr>
          <w:rFonts w:eastAsia="Times New Roman"/>
          <w:lang w:val="en-US"/>
        </w:rPr>
        <w:t>a number of</w:t>
      </w:r>
      <w:proofErr w:type="gramEnd"/>
      <w:r w:rsidRPr="00EA1A06">
        <w:rPr>
          <w:rFonts w:eastAsia="Times New Roman"/>
          <w:lang w:val="en-US"/>
        </w:rPr>
        <w:t xml:space="preserve"> significant issues they took up similar positions.</w:t>
      </w:r>
      <w:r w:rsidRPr="00EA1A06">
        <w:rPr>
          <w:rFonts w:eastAsia="Times New Roman"/>
          <w:lang w:val="en-US"/>
        </w:rPr>
        <w:br/>
      </w:r>
      <w:r w:rsidRPr="00EA1A06">
        <w:rPr>
          <w:rFonts w:eastAsia="Times New Roman"/>
          <w:lang w:val="en-US"/>
        </w:rPr>
        <w:br/>
        <w:t xml:space="preserve">Dudgeon, a resolute defender of the thesis that all is for the best, died of consumption, aged thirty-seven, on 28 January 1743 at </w:t>
      </w:r>
      <w:proofErr w:type="spellStart"/>
      <w:r w:rsidRPr="00EA1A06">
        <w:rPr>
          <w:rFonts w:eastAsia="Times New Roman"/>
          <w:lang w:val="en-US"/>
        </w:rPr>
        <w:t>Upsettlington</w:t>
      </w:r>
      <w:proofErr w:type="spellEnd"/>
      <w:r w:rsidRPr="00EA1A06">
        <w:rPr>
          <w:rFonts w:eastAsia="Times New Roman"/>
          <w:lang w:val="en-US"/>
        </w:rPr>
        <w:t xml:space="preserve">, </w:t>
      </w:r>
      <w:proofErr w:type="spellStart"/>
      <w:r w:rsidRPr="00EA1A06">
        <w:rPr>
          <w:rFonts w:eastAsia="Times New Roman"/>
          <w:lang w:val="en-US"/>
        </w:rPr>
        <w:t>Berwickshire</w:t>
      </w:r>
      <w:proofErr w:type="spellEnd"/>
      <w:r w:rsidRPr="00EA1A06">
        <w:rPr>
          <w:rFonts w:eastAsia="Times New Roman"/>
          <w:lang w:val="en-US"/>
        </w:rPr>
        <w:t>. His most important works were gathered into a single volume, which was published without a printer's name attached in 1765.</w:t>
      </w:r>
      <w:r w:rsidRPr="00EA1A06">
        <w:rPr>
          <w:rFonts w:eastAsia="Times New Roman"/>
          <w:lang w:val="en-US"/>
        </w:rPr>
        <w:br/>
      </w:r>
      <w:r w:rsidRPr="00EA1A06">
        <w:rPr>
          <w:rFonts w:eastAsia="Times New Roman"/>
          <w:lang w:val="en-US"/>
        </w:rPr>
        <w:br/>
        <w:t xml:space="preserve">P. Russell </w:t>
      </w:r>
    </w:p>
    <w:p w14:paraId="6FD602E2" w14:textId="77777777" w:rsidR="00EA1A06" w:rsidRDefault="00EA1A06" w:rsidP="00EA1A06">
      <w:pPr>
        <w:spacing w:before="100" w:beforeAutospacing="1" w:after="100" w:afterAutospacing="1" w:line="240" w:lineRule="auto"/>
        <w:jc w:val="left"/>
        <w:outlineLvl w:val="1"/>
        <w:rPr>
          <w:rFonts w:eastAsia="Times New Roman"/>
          <w:b/>
          <w:bCs/>
          <w:sz w:val="36"/>
          <w:szCs w:val="36"/>
          <w:lang w:val="en-US"/>
        </w:rPr>
      </w:pPr>
    </w:p>
    <w:p w14:paraId="00399516" w14:textId="77777777" w:rsidR="00EA1A06" w:rsidRPr="00EA1A06" w:rsidRDefault="00EA1A06" w:rsidP="00EA1A06">
      <w:pPr>
        <w:spacing w:before="100" w:beforeAutospacing="1" w:after="100" w:afterAutospacing="1" w:line="240" w:lineRule="auto"/>
        <w:jc w:val="left"/>
        <w:outlineLvl w:val="1"/>
        <w:rPr>
          <w:rFonts w:eastAsia="Times New Roman"/>
          <w:b/>
          <w:bCs/>
          <w:sz w:val="36"/>
          <w:szCs w:val="36"/>
          <w:lang w:val="en-US"/>
        </w:rPr>
      </w:pPr>
      <w:r w:rsidRPr="00EA1A06">
        <w:rPr>
          <w:rFonts w:eastAsia="Times New Roman"/>
          <w:b/>
          <w:bCs/>
          <w:sz w:val="36"/>
          <w:szCs w:val="36"/>
          <w:lang w:val="en-US"/>
        </w:rPr>
        <w:lastRenderedPageBreak/>
        <w:t>Sources  </w:t>
      </w:r>
    </w:p>
    <w:p w14:paraId="3C191F92" w14:textId="77777777" w:rsidR="00EA1A06" w:rsidRPr="00EA1A06" w:rsidRDefault="00EA1A06" w:rsidP="00EA1A06">
      <w:pPr>
        <w:spacing w:before="100" w:beforeAutospacing="1" w:after="100" w:afterAutospacing="1" w:line="240" w:lineRule="auto"/>
        <w:jc w:val="left"/>
        <w:rPr>
          <w:rFonts w:eastAsia="Times New Roman"/>
          <w:lang w:val="en-US"/>
        </w:rPr>
      </w:pPr>
      <w:r w:rsidRPr="00EA1A06">
        <w:rPr>
          <w:rFonts w:eastAsia="Times New Roman"/>
          <w:lang w:val="en-US"/>
        </w:rPr>
        <w:t xml:space="preserve">W. Dudgeon, </w:t>
      </w:r>
      <w:r w:rsidRPr="00EA1A06">
        <w:rPr>
          <w:rFonts w:eastAsia="Times New Roman"/>
          <w:i/>
          <w:iCs/>
          <w:lang w:val="en-US"/>
        </w:rPr>
        <w:t>The philosophical works</w:t>
      </w:r>
      <w:r w:rsidRPr="00EA1A06">
        <w:rPr>
          <w:rFonts w:eastAsia="Times New Roman"/>
          <w:lang w:val="en-US"/>
        </w:rPr>
        <w:t xml:space="preserve"> (1765); </w:t>
      </w:r>
      <w:proofErr w:type="spellStart"/>
      <w:r w:rsidRPr="00EA1A06">
        <w:rPr>
          <w:rFonts w:eastAsia="Times New Roman"/>
          <w:lang w:val="en-US"/>
        </w:rPr>
        <w:t>repr</w:t>
      </w:r>
      <w:proofErr w:type="spellEnd"/>
      <w:r w:rsidRPr="00EA1A06">
        <w:rPr>
          <w:rFonts w:eastAsia="Times New Roman"/>
          <w:lang w:val="en-US"/>
        </w:rPr>
        <w:t xml:space="preserve">. with a new introduction by D. Berman (1994) · W. Warburton, </w:t>
      </w:r>
      <w:r w:rsidRPr="00EA1A06">
        <w:rPr>
          <w:rFonts w:eastAsia="Times New Roman"/>
          <w:i/>
          <w:iCs/>
          <w:lang w:val="en-US"/>
        </w:rPr>
        <w:t>A critical and philosophical commentary on Pope's ‘Essay’</w:t>
      </w:r>
      <w:r w:rsidRPr="00EA1A06">
        <w:rPr>
          <w:rFonts w:eastAsia="Times New Roman"/>
          <w:lang w:val="en-US"/>
        </w:rPr>
        <w:t xml:space="preserve"> (1742) · J. Witherspoon, </w:t>
      </w:r>
      <w:r w:rsidRPr="00EA1A06">
        <w:rPr>
          <w:rFonts w:eastAsia="Times New Roman"/>
          <w:i/>
          <w:iCs/>
          <w:lang w:val="en-US"/>
        </w:rPr>
        <w:t>Ecclesiastical characteristics</w:t>
      </w:r>
      <w:r w:rsidRPr="00EA1A06">
        <w:rPr>
          <w:rFonts w:eastAsia="Times New Roman"/>
          <w:lang w:val="en-US"/>
        </w:rPr>
        <w:t xml:space="preserve">, 5th </w:t>
      </w:r>
      <w:proofErr w:type="spellStart"/>
      <w:r w:rsidRPr="00EA1A06">
        <w:rPr>
          <w:rFonts w:eastAsia="Times New Roman"/>
          <w:lang w:val="en-US"/>
        </w:rPr>
        <w:t>edn</w:t>
      </w:r>
      <w:proofErr w:type="spellEnd"/>
      <w:r w:rsidRPr="00EA1A06">
        <w:rPr>
          <w:rFonts w:eastAsia="Times New Roman"/>
          <w:lang w:val="en-US"/>
        </w:rPr>
        <w:t xml:space="preserve"> (1762) · A. Baxter, </w:t>
      </w:r>
      <w:r w:rsidRPr="00EA1A06">
        <w:rPr>
          <w:rFonts w:eastAsia="Times New Roman"/>
          <w:i/>
          <w:iCs/>
          <w:lang w:val="en-US"/>
        </w:rPr>
        <w:t>Some reflections on a late pamphlet called, ‘The state of the moral world considered’</w:t>
      </w:r>
      <w:r w:rsidRPr="00EA1A06">
        <w:rPr>
          <w:rFonts w:eastAsia="Times New Roman"/>
          <w:lang w:val="en-US"/>
        </w:rPr>
        <w:t xml:space="preserve"> (1732) · J. McCosh, </w:t>
      </w:r>
      <w:r w:rsidRPr="00EA1A06">
        <w:rPr>
          <w:rFonts w:eastAsia="Times New Roman"/>
          <w:i/>
          <w:iCs/>
          <w:lang w:val="en-US"/>
        </w:rPr>
        <w:t>The Scottish philosophy, biographical, expository, critical, from Hutcheson to Hamilton</w:t>
      </w:r>
      <w:r w:rsidRPr="00EA1A06">
        <w:rPr>
          <w:rFonts w:eastAsia="Times New Roman"/>
          <w:lang w:val="en-US"/>
        </w:rPr>
        <w:t xml:space="preserve"> (New York, 1875) · P. Russell, ‘Dudgeon, William’, </w:t>
      </w:r>
      <w:r w:rsidRPr="00EA1A06">
        <w:rPr>
          <w:rFonts w:eastAsia="Times New Roman"/>
          <w:i/>
          <w:iCs/>
          <w:lang w:val="en-US"/>
        </w:rPr>
        <w:t>The dictionary of eighteenth-century British philosophers</w:t>
      </w:r>
      <w:r w:rsidRPr="00EA1A06">
        <w:rPr>
          <w:rFonts w:eastAsia="Times New Roman"/>
          <w:lang w:val="en-US"/>
        </w:rPr>
        <w:t xml:space="preserve">, ed. J. W. </w:t>
      </w:r>
      <w:proofErr w:type="spellStart"/>
      <w:r w:rsidRPr="00EA1A06">
        <w:rPr>
          <w:rFonts w:eastAsia="Times New Roman"/>
          <w:lang w:val="en-US"/>
        </w:rPr>
        <w:t>Yolton</w:t>
      </w:r>
      <w:proofErr w:type="spellEnd"/>
      <w:r w:rsidRPr="00EA1A06">
        <w:rPr>
          <w:rFonts w:eastAsia="Times New Roman"/>
          <w:lang w:val="en-US"/>
        </w:rPr>
        <w:t>, J. V. Price, and J. Stephens (1999)</w:t>
      </w:r>
    </w:p>
    <w:p w14:paraId="2ADCEED2" w14:textId="77777777" w:rsidR="00EA1A06" w:rsidRPr="00EA1A06" w:rsidRDefault="00EA1A06" w:rsidP="00EA1A06">
      <w:pPr>
        <w:spacing w:before="100" w:beforeAutospacing="1" w:after="100" w:afterAutospacing="1" w:line="240" w:lineRule="auto"/>
        <w:jc w:val="left"/>
        <w:outlineLvl w:val="1"/>
        <w:rPr>
          <w:rFonts w:eastAsia="Times New Roman"/>
          <w:b/>
          <w:bCs/>
          <w:sz w:val="36"/>
          <w:szCs w:val="36"/>
          <w:lang w:val="en-US"/>
        </w:rPr>
      </w:pPr>
      <w:r w:rsidRPr="00EA1A06">
        <w:rPr>
          <w:rFonts w:eastAsia="Times New Roman"/>
          <w:b/>
          <w:bCs/>
          <w:sz w:val="36"/>
          <w:szCs w:val="36"/>
          <w:lang w:val="en-US"/>
        </w:rPr>
        <w:t>Archives  </w:t>
      </w:r>
    </w:p>
    <w:p w14:paraId="78C2BACA" w14:textId="77777777" w:rsidR="00EA1A06" w:rsidRPr="00EA1A06" w:rsidRDefault="00000000" w:rsidP="00EA1A06">
      <w:pPr>
        <w:spacing w:before="100" w:beforeAutospacing="1" w:after="100" w:afterAutospacing="1" w:line="240" w:lineRule="auto"/>
        <w:jc w:val="left"/>
        <w:rPr>
          <w:rFonts w:eastAsia="Times New Roman"/>
          <w:lang w:val="en-US"/>
        </w:rPr>
      </w:pPr>
      <w:hyperlink r:id="rId4" w:history="1">
        <w:r w:rsidR="00EA1A06" w:rsidRPr="00EA1A06">
          <w:rPr>
            <w:rFonts w:eastAsia="Times New Roman"/>
            <w:color w:val="0000FF"/>
            <w:u w:val="single"/>
            <w:lang w:val="en-US"/>
          </w:rPr>
          <w:t xml:space="preserve">NA </w:t>
        </w:r>
        <w:proofErr w:type="spellStart"/>
        <w:r w:rsidR="00EA1A06" w:rsidRPr="00EA1A06">
          <w:rPr>
            <w:rFonts w:eastAsia="Times New Roman"/>
            <w:color w:val="0000FF"/>
            <w:u w:val="single"/>
            <w:lang w:val="en-US"/>
          </w:rPr>
          <w:t>Scot.</w:t>
        </w:r>
        <w:proofErr w:type="spellEnd"/>
      </w:hyperlink>
      <w:r w:rsidR="00EA1A06" w:rsidRPr="00EA1A06">
        <w:rPr>
          <w:rFonts w:eastAsia="Times New Roman"/>
          <w:lang w:val="en-US"/>
        </w:rPr>
        <w:t>, CH2/516/3, CH2/265/2, CH1/3</w:t>
      </w:r>
    </w:p>
    <w:p w14:paraId="6184C2AE" w14:textId="77777777" w:rsidR="00EA1A06" w:rsidRPr="00EA1A06" w:rsidRDefault="00EA1A06" w:rsidP="00EA1A06">
      <w:pPr>
        <w:spacing w:line="240" w:lineRule="auto"/>
        <w:jc w:val="left"/>
        <w:rPr>
          <w:rFonts w:eastAsia="Times New Roman"/>
          <w:lang w:val="en-US"/>
        </w:rPr>
      </w:pPr>
    </w:p>
    <w:tbl>
      <w:tblPr>
        <w:tblW w:w="5000" w:type="pct"/>
        <w:tblCellSpacing w:w="0" w:type="dxa"/>
        <w:tblCellMar>
          <w:left w:w="0" w:type="dxa"/>
          <w:right w:w="0" w:type="dxa"/>
        </w:tblCellMar>
        <w:tblLook w:val="04A0" w:firstRow="1" w:lastRow="0" w:firstColumn="1" w:lastColumn="0" w:noHBand="0" w:noVBand="1"/>
      </w:tblPr>
      <w:tblGrid>
        <w:gridCol w:w="6552"/>
        <w:gridCol w:w="2808"/>
      </w:tblGrid>
      <w:tr w:rsidR="00EA1A06" w:rsidRPr="00EA1A06" w14:paraId="26A938F6" w14:textId="77777777" w:rsidTr="00EA1A06">
        <w:trPr>
          <w:tblCellSpacing w:w="0" w:type="dxa"/>
        </w:trPr>
        <w:tc>
          <w:tcPr>
            <w:tcW w:w="3500" w:type="pct"/>
            <w:hideMark/>
          </w:tcPr>
          <w:p w14:paraId="3D2D6B3F" w14:textId="77777777" w:rsidR="00EA1A06" w:rsidRPr="00EA1A06" w:rsidRDefault="00000000" w:rsidP="00EA1A06">
            <w:pPr>
              <w:spacing w:line="240" w:lineRule="auto"/>
              <w:jc w:val="left"/>
              <w:rPr>
                <w:rFonts w:eastAsia="Times New Roman"/>
                <w:lang w:val="en-US"/>
              </w:rPr>
            </w:pPr>
            <w:hyperlink r:id="rId5" w:tgtFrame="_blank" w:history="1">
              <w:r w:rsidR="00EA1A06" w:rsidRPr="00EA1A06">
                <w:rPr>
                  <w:rFonts w:eastAsia="Times New Roman"/>
                  <w:color w:val="0000FF"/>
                  <w:u w:val="single"/>
                  <w:lang w:val="en-US"/>
                </w:rPr>
                <w:t>© Oxford University Press 2004–11</w:t>
              </w:r>
            </w:hyperlink>
            <w:r w:rsidR="00EA1A06" w:rsidRPr="00EA1A06">
              <w:rPr>
                <w:rFonts w:eastAsia="Times New Roman"/>
                <w:lang w:val="en-US"/>
              </w:rPr>
              <w:br/>
              <w:t xml:space="preserve">All rights reserved: see </w:t>
            </w:r>
            <w:hyperlink r:id="rId6" w:tgtFrame="_blank" w:history="1">
              <w:r w:rsidR="00EA1A06" w:rsidRPr="00EA1A06">
                <w:rPr>
                  <w:rFonts w:eastAsia="Times New Roman"/>
                  <w:color w:val="0000FF"/>
                  <w:u w:val="single"/>
                  <w:lang w:val="en-US"/>
                </w:rPr>
                <w:t>legal notice</w:t>
              </w:r>
            </w:hyperlink>
          </w:p>
        </w:tc>
        <w:tc>
          <w:tcPr>
            <w:tcW w:w="0" w:type="auto"/>
            <w:hideMark/>
          </w:tcPr>
          <w:p w14:paraId="12782828" w14:textId="77777777" w:rsidR="00EA1A06" w:rsidRPr="00EA1A06" w:rsidRDefault="00EA1A06" w:rsidP="00EA1A06">
            <w:pPr>
              <w:spacing w:line="240" w:lineRule="auto"/>
              <w:jc w:val="right"/>
              <w:rPr>
                <w:rFonts w:eastAsia="Times New Roman"/>
                <w:lang w:val="en-US"/>
              </w:rPr>
            </w:pPr>
            <w:r>
              <w:rPr>
                <w:rFonts w:eastAsia="Times New Roman"/>
                <w:noProof/>
                <w:color w:val="0000FF"/>
                <w:lang w:val="en-US"/>
              </w:rPr>
              <w:drawing>
                <wp:inline distT="0" distB="0" distL="0" distR="0" wp14:anchorId="4766F63E" wp14:editId="540190D3">
                  <wp:extent cx="771525" cy="278130"/>
                  <wp:effectExtent l="19050" t="0" r="9525" b="0"/>
                  <wp:docPr id="1" name="Picture 1" descr="Oxford University Press">
                    <a:hlinkClick xmlns:a="http://schemas.openxmlformats.org/drawingml/2006/main" r:id="rId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University Press">
                            <a:hlinkClick r:id="rId7" tgtFrame="&quot;_top&quot;"/>
                          </pic:cNvPr>
                          <pic:cNvPicPr>
                            <a:picLocks noChangeAspect="1" noChangeArrowheads="1"/>
                          </pic:cNvPicPr>
                        </pic:nvPicPr>
                        <pic:blipFill>
                          <a:blip r:embed="rId8" cstate="print"/>
                          <a:srcRect/>
                          <a:stretch>
                            <a:fillRect/>
                          </a:stretch>
                        </pic:blipFill>
                        <pic:spPr bwMode="auto">
                          <a:xfrm>
                            <a:off x="0" y="0"/>
                            <a:ext cx="771525" cy="278130"/>
                          </a:xfrm>
                          <a:prstGeom prst="rect">
                            <a:avLst/>
                          </a:prstGeom>
                          <a:noFill/>
                          <a:ln w="9525">
                            <a:noFill/>
                            <a:miter lim="800000"/>
                            <a:headEnd/>
                            <a:tailEnd/>
                          </a:ln>
                        </pic:spPr>
                      </pic:pic>
                    </a:graphicData>
                  </a:graphic>
                </wp:inline>
              </w:drawing>
            </w:r>
          </w:p>
        </w:tc>
      </w:tr>
      <w:tr w:rsidR="00EA1A06" w:rsidRPr="00EA1A06" w14:paraId="6A2AC7F9" w14:textId="77777777" w:rsidTr="00EA1A06">
        <w:trPr>
          <w:tblCellSpacing w:w="0" w:type="dxa"/>
        </w:trPr>
        <w:tc>
          <w:tcPr>
            <w:tcW w:w="0" w:type="auto"/>
            <w:gridSpan w:val="2"/>
            <w:vAlign w:val="center"/>
            <w:hideMark/>
          </w:tcPr>
          <w:p w14:paraId="44FAF236" w14:textId="77777777" w:rsidR="00EA1A06" w:rsidRPr="00EA1A06" w:rsidRDefault="00EA1A06" w:rsidP="00EA1A06">
            <w:pPr>
              <w:spacing w:line="240" w:lineRule="auto"/>
              <w:jc w:val="left"/>
              <w:rPr>
                <w:rFonts w:eastAsia="Times New Roman"/>
                <w:lang w:val="en-US"/>
              </w:rPr>
            </w:pPr>
            <w:r w:rsidRPr="00EA1A06">
              <w:rPr>
                <w:rFonts w:eastAsia="Times New Roman"/>
                <w:lang w:val="en-US"/>
              </w:rPr>
              <w:t> </w:t>
            </w:r>
          </w:p>
        </w:tc>
      </w:tr>
      <w:tr w:rsidR="00EA1A06" w:rsidRPr="00EA1A06" w14:paraId="7162D047" w14:textId="77777777" w:rsidTr="00EA1A06">
        <w:trPr>
          <w:tblCellSpacing w:w="0" w:type="dxa"/>
        </w:trPr>
        <w:tc>
          <w:tcPr>
            <w:tcW w:w="0" w:type="auto"/>
            <w:vAlign w:val="center"/>
            <w:hideMark/>
          </w:tcPr>
          <w:p w14:paraId="06468ACE" w14:textId="77777777" w:rsidR="00EA1A06" w:rsidRPr="00EA1A06" w:rsidRDefault="00EA1A06" w:rsidP="00EA1A06">
            <w:pPr>
              <w:spacing w:before="100" w:beforeAutospacing="1" w:after="100" w:afterAutospacing="1" w:line="240" w:lineRule="auto"/>
              <w:jc w:val="left"/>
              <w:rPr>
                <w:rFonts w:eastAsia="Times New Roman"/>
                <w:lang w:val="en-US"/>
              </w:rPr>
            </w:pPr>
            <w:r w:rsidRPr="00EA1A06">
              <w:rPr>
                <w:rFonts w:eastAsia="Times New Roman"/>
                <w:lang w:val="en-US"/>
              </w:rPr>
              <w:t xml:space="preserve">P. Russell, ‘Dudgeon, William (1705/6–1743)’, </w:t>
            </w:r>
            <w:r w:rsidRPr="00EA1A06">
              <w:rPr>
                <w:rFonts w:eastAsia="Times New Roman"/>
                <w:i/>
                <w:iCs/>
                <w:lang w:val="en-US"/>
              </w:rPr>
              <w:t>Oxford Dictionary of National Biography</w:t>
            </w:r>
            <w:r w:rsidRPr="00EA1A06">
              <w:rPr>
                <w:rFonts w:eastAsia="Times New Roman"/>
                <w:lang w:val="en-US"/>
              </w:rPr>
              <w:t>, Oxford University Press, 2004 [http://www.oxforddnb.com/view/article/8140, accessed 25 April 2011]</w:t>
            </w:r>
          </w:p>
          <w:p w14:paraId="5B47B12A" w14:textId="77777777" w:rsidR="00EA1A06" w:rsidRPr="00EA1A06" w:rsidRDefault="00EA1A06" w:rsidP="00EA1A06">
            <w:pPr>
              <w:spacing w:before="100" w:beforeAutospacing="1" w:after="100" w:afterAutospacing="1" w:line="240" w:lineRule="auto"/>
              <w:jc w:val="left"/>
              <w:rPr>
                <w:rFonts w:eastAsia="Times New Roman"/>
                <w:lang w:val="en-US"/>
              </w:rPr>
            </w:pPr>
            <w:r w:rsidRPr="00EA1A06">
              <w:rPr>
                <w:rFonts w:eastAsia="Times New Roman"/>
                <w:lang w:val="en-US"/>
              </w:rPr>
              <w:t>William Dudgeon (1705/6–1743): doi:10.1093/</w:t>
            </w:r>
            <w:proofErr w:type="spellStart"/>
            <w:r w:rsidRPr="00EA1A06">
              <w:rPr>
                <w:rFonts w:eastAsia="Times New Roman"/>
                <w:lang w:val="en-US"/>
              </w:rPr>
              <w:t>ref:odnb</w:t>
            </w:r>
            <w:proofErr w:type="spellEnd"/>
            <w:r w:rsidRPr="00EA1A06">
              <w:rPr>
                <w:rFonts w:eastAsia="Times New Roman"/>
                <w:lang w:val="en-US"/>
              </w:rPr>
              <w:t xml:space="preserve">/8140 </w:t>
            </w:r>
          </w:p>
        </w:tc>
        <w:tc>
          <w:tcPr>
            <w:tcW w:w="0" w:type="auto"/>
            <w:vAlign w:val="center"/>
            <w:hideMark/>
          </w:tcPr>
          <w:p w14:paraId="6864782A" w14:textId="77777777" w:rsidR="00EA1A06" w:rsidRPr="00EA1A06" w:rsidRDefault="00EA1A06" w:rsidP="00EA1A06">
            <w:pPr>
              <w:spacing w:line="240" w:lineRule="auto"/>
              <w:jc w:val="left"/>
              <w:rPr>
                <w:rFonts w:eastAsia="Times New Roman"/>
                <w:sz w:val="20"/>
                <w:szCs w:val="20"/>
                <w:lang w:val="en-US"/>
              </w:rPr>
            </w:pPr>
          </w:p>
        </w:tc>
      </w:tr>
    </w:tbl>
    <w:p w14:paraId="76DD18A5" w14:textId="77777777" w:rsidR="00EA1A06" w:rsidRDefault="00EA1A06"/>
    <w:p w14:paraId="1B075EAA" w14:textId="77777777" w:rsidR="00EA1A06" w:rsidRDefault="00EA1A06"/>
    <w:p w14:paraId="04C768D1" w14:textId="77777777" w:rsidR="00EA1A06" w:rsidRDefault="00EA1A06"/>
    <w:p w14:paraId="710CD138" w14:textId="77777777" w:rsidR="00DB5206" w:rsidRDefault="00000000">
      <w:hyperlink r:id="rId9" w:history="1">
        <w:r w:rsidR="00EA1A06" w:rsidRPr="005E6365">
          <w:rPr>
            <w:rStyle w:val="Hyperlink"/>
          </w:rPr>
          <w:t>http://www.oxforddnb.com/view/article/8140?docPos=1</w:t>
        </w:r>
      </w:hyperlink>
    </w:p>
    <w:p w14:paraId="13C3537F" w14:textId="77777777" w:rsidR="00EA1A06" w:rsidRDefault="00EA1A06"/>
    <w:sectPr w:rsidR="00EA1A06" w:rsidSect="005C2A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06"/>
    <w:rsid w:val="005C2AAE"/>
    <w:rsid w:val="005F4622"/>
    <w:rsid w:val="00604F8A"/>
    <w:rsid w:val="00792117"/>
    <w:rsid w:val="00C63FBF"/>
    <w:rsid w:val="00DB5206"/>
    <w:rsid w:val="00EA1A06"/>
    <w:rsid w:val="00F8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E68C"/>
  <w15:docId w15:val="{560C4341-0A89-B140-9B48-F34AB744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06"/>
    <w:rPr>
      <w:lang w:val="en-CA"/>
    </w:rPr>
  </w:style>
  <w:style w:type="paragraph" w:styleId="Heading2">
    <w:name w:val="heading 2"/>
    <w:basedOn w:val="Normal"/>
    <w:link w:val="Heading2Char"/>
    <w:uiPriority w:val="9"/>
    <w:qFormat/>
    <w:rsid w:val="00EA1A06"/>
    <w:pPr>
      <w:spacing w:before="100" w:beforeAutospacing="1" w:after="100" w:afterAutospacing="1" w:line="240" w:lineRule="auto"/>
      <w:jc w:val="left"/>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A06"/>
    <w:rPr>
      <w:rFonts w:eastAsia="Times New Roman"/>
      <w:b/>
      <w:bCs/>
      <w:sz w:val="36"/>
      <w:szCs w:val="36"/>
    </w:rPr>
  </w:style>
  <w:style w:type="character" w:customStyle="1" w:styleId="headword">
    <w:name w:val="headword"/>
    <w:basedOn w:val="DefaultParagraphFont"/>
    <w:rsid w:val="00EA1A06"/>
  </w:style>
  <w:style w:type="character" w:customStyle="1" w:styleId="occ">
    <w:name w:val="occ"/>
    <w:basedOn w:val="DefaultParagraphFont"/>
    <w:rsid w:val="00EA1A06"/>
  </w:style>
  <w:style w:type="character" w:customStyle="1" w:styleId="italic">
    <w:name w:val="italic"/>
    <w:basedOn w:val="DefaultParagraphFont"/>
    <w:rsid w:val="00EA1A06"/>
  </w:style>
  <w:style w:type="paragraph" w:styleId="NormalWeb">
    <w:name w:val="Normal (Web)"/>
    <w:basedOn w:val="Normal"/>
    <w:uiPriority w:val="99"/>
    <w:unhideWhenUsed/>
    <w:rsid w:val="00EA1A06"/>
    <w:pPr>
      <w:spacing w:before="100" w:beforeAutospacing="1" w:after="100" w:afterAutospacing="1" w:line="240" w:lineRule="auto"/>
      <w:jc w:val="left"/>
    </w:pPr>
    <w:rPr>
      <w:rFonts w:eastAsia="Times New Roman"/>
      <w:lang w:val="en-US"/>
    </w:rPr>
  </w:style>
  <w:style w:type="character" w:styleId="Hyperlink">
    <w:name w:val="Hyperlink"/>
    <w:basedOn w:val="DefaultParagraphFont"/>
    <w:uiPriority w:val="99"/>
    <w:unhideWhenUsed/>
    <w:rsid w:val="00EA1A06"/>
    <w:rPr>
      <w:color w:val="0000FF"/>
      <w:u w:val="single"/>
    </w:rPr>
  </w:style>
  <w:style w:type="paragraph" w:customStyle="1" w:styleId="leftpad">
    <w:name w:val="leftpad"/>
    <w:basedOn w:val="Normal"/>
    <w:rsid w:val="00EA1A06"/>
    <w:pPr>
      <w:spacing w:before="100" w:beforeAutospacing="1" w:after="100" w:afterAutospacing="1" w:line="240" w:lineRule="auto"/>
      <w:jc w:val="left"/>
    </w:pPr>
    <w:rPr>
      <w:rFonts w:eastAsia="Times New Roman"/>
      <w:lang w:val="en-US"/>
    </w:rPr>
  </w:style>
  <w:style w:type="character" w:customStyle="1" w:styleId="roman">
    <w:name w:val="roman"/>
    <w:basedOn w:val="DefaultParagraphFont"/>
    <w:rsid w:val="00EA1A06"/>
  </w:style>
  <w:style w:type="paragraph" w:styleId="BalloonText">
    <w:name w:val="Balloon Text"/>
    <w:basedOn w:val="Normal"/>
    <w:link w:val="BalloonTextChar"/>
    <w:uiPriority w:val="99"/>
    <w:semiHidden/>
    <w:unhideWhenUsed/>
    <w:rsid w:val="00EA1A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A06"/>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02003">
      <w:bodyDiv w:val="1"/>
      <w:marLeft w:val="0"/>
      <w:marRight w:val="0"/>
      <w:marTop w:val="0"/>
      <w:marBottom w:val="0"/>
      <w:divBdr>
        <w:top w:val="none" w:sz="0" w:space="0" w:color="auto"/>
        <w:left w:val="none" w:sz="0" w:space="0" w:color="auto"/>
        <w:bottom w:val="none" w:sz="0" w:space="0" w:color="auto"/>
        <w:right w:val="none" w:sz="0" w:space="0" w:color="auto"/>
      </w:divBdr>
      <w:divsChild>
        <w:div w:id="1056857526">
          <w:marLeft w:val="0"/>
          <w:marRight w:val="0"/>
          <w:marTop w:val="0"/>
          <w:marBottom w:val="0"/>
          <w:divBdr>
            <w:top w:val="none" w:sz="0" w:space="0" w:color="auto"/>
            <w:left w:val="none" w:sz="0" w:space="0" w:color="auto"/>
            <w:bottom w:val="none" w:sz="0" w:space="0" w:color="auto"/>
            <w:right w:val="none" w:sz="0" w:space="0" w:color="auto"/>
          </w:divBdr>
          <w:divsChild>
            <w:div w:id="1326857437">
              <w:marLeft w:val="0"/>
              <w:marRight w:val="0"/>
              <w:marTop w:val="0"/>
              <w:marBottom w:val="0"/>
              <w:divBdr>
                <w:top w:val="none" w:sz="0" w:space="0" w:color="auto"/>
                <w:left w:val="none" w:sz="0" w:space="0" w:color="auto"/>
                <w:bottom w:val="none" w:sz="0" w:space="0" w:color="auto"/>
                <w:right w:val="none" w:sz="0" w:space="0" w:color="auto"/>
              </w:divBdr>
            </w:div>
            <w:div w:id="316343378">
              <w:marLeft w:val="0"/>
              <w:marRight w:val="0"/>
              <w:marTop w:val="0"/>
              <w:marBottom w:val="0"/>
              <w:divBdr>
                <w:top w:val="none" w:sz="0" w:space="0" w:color="auto"/>
                <w:left w:val="none" w:sz="0" w:space="0" w:color="auto"/>
                <w:bottom w:val="none" w:sz="0" w:space="0" w:color="auto"/>
                <w:right w:val="none" w:sz="0" w:space="0" w:color="auto"/>
              </w:divBdr>
            </w:div>
          </w:divsChild>
        </w:div>
        <w:div w:id="885605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xforddnb.com/oxforddnb/legal/" TargetMode="External"/><Relationship Id="rId11" Type="http://schemas.openxmlformats.org/officeDocument/2006/relationships/theme" Target="theme/theme1.xml"/><Relationship Id="rId5" Type="http://schemas.openxmlformats.org/officeDocument/2006/relationships/hyperlink" Target="http://www.oxforddnb.com/oxforddnb/legal/" TargetMode="External"/><Relationship Id="rId10" Type="http://schemas.openxmlformats.org/officeDocument/2006/relationships/fontTable" Target="fontTable.xml"/><Relationship Id="rId4" Type="http://schemas.openxmlformats.org/officeDocument/2006/relationships/hyperlink" Target="javascript:;" TargetMode="External"/><Relationship Id="rId9" Type="http://schemas.openxmlformats.org/officeDocument/2006/relationships/hyperlink" Target="http://www.oxforddnb.com/view/article/8140?doc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3806</Characters>
  <Application>Microsoft Office Word</Application>
  <DocSecurity>0</DocSecurity>
  <Lines>31</Lines>
  <Paragraphs>8</Paragraphs>
  <ScaleCrop>false</ScaleCrop>
  <Company>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Paul Russell</cp:lastModifiedBy>
  <cp:revision>2</cp:revision>
  <dcterms:created xsi:type="dcterms:W3CDTF">2024-03-02T05:15:00Z</dcterms:created>
  <dcterms:modified xsi:type="dcterms:W3CDTF">2024-03-02T05:15:00Z</dcterms:modified>
</cp:coreProperties>
</file>