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F173" w14:textId="32252DCC" w:rsidR="00610294" w:rsidRPr="00D6419F" w:rsidRDefault="00803892" w:rsidP="00AD23D0">
      <w:pPr>
        <w:spacing w:line="360" w:lineRule="auto"/>
      </w:pPr>
      <w:r w:rsidRPr="00D6419F">
        <w:rPr>
          <w:highlight w:val="red"/>
        </w:rPr>
        <w:t xml:space="preserve">.  </w:t>
      </w:r>
      <w:r w:rsidR="00D6419F" w:rsidRPr="00D6419F">
        <w:rPr>
          <w:color w:val="FFFFFF" w:themeColor="background1"/>
          <w:highlight w:val="red"/>
        </w:rPr>
        <w:t>REVISED AP 2024</w:t>
      </w:r>
    </w:p>
    <w:p w14:paraId="5483A106" w14:textId="77777777" w:rsidR="00DB1054" w:rsidRPr="00AD23D0" w:rsidRDefault="00DB1054" w:rsidP="00AD23D0">
      <w:pPr>
        <w:spacing w:line="360" w:lineRule="auto"/>
        <w:jc w:val="center"/>
      </w:pPr>
    </w:p>
    <w:p w14:paraId="15E54C70" w14:textId="77777777" w:rsidR="00EF59A5" w:rsidRDefault="00EF59A5" w:rsidP="00AD23D0">
      <w:pPr>
        <w:spacing w:line="360" w:lineRule="auto"/>
        <w:jc w:val="center"/>
      </w:pPr>
    </w:p>
    <w:p w14:paraId="7DABEA4C" w14:textId="77777777" w:rsidR="00DB1054" w:rsidRPr="00907E55" w:rsidRDefault="00DB1054" w:rsidP="00AD23D0">
      <w:pPr>
        <w:spacing w:line="360" w:lineRule="auto"/>
        <w:jc w:val="center"/>
        <w:rPr>
          <w:sz w:val="32"/>
          <w:szCs w:val="32"/>
        </w:rPr>
      </w:pPr>
    </w:p>
    <w:p w14:paraId="47484E36" w14:textId="5EF54010" w:rsidR="00DB1054" w:rsidRPr="001B1361" w:rsidRDefault="00C02F6C" w:rsidP="00AD23D0">
      <w:pPr>
        <w:spacing w:line="360" w:lineRule="auto"/>
        <w:jc w:val="center"/>
        <w:rPr>
          <w:sz w:val="28"/>
          <w:szCs w:val="28"/>
        </w:rPr>
      </w:pPr>
      <w:r>
        <w:rPr>
          <w:sz w:val="28"/>
          <w:szCs w:val="28"/>
        </w:rPr>
        <w:t>Introduction</w:t>
      </w:r>
    </w:p>
    <w:p w14:paraId="3EAEDAFC" w14:textId="77777777" w:rsidR="002C2514" w:rsidRPr="00AD23D0" w:rsidRDefault="002C2514" w:rsidP="00AD23D0">
      <w:pPr>
        <w:spacing w:line="360" w:lineRule="auto"/>
        <w:jc w:val="center"/>
      </w:pPr>
    </w:p>
    <w:p w14:paraId="75440C68" w14:textId="77777777" w:rsidR="002C2514" w:rsidRPr="00AD23D0" w:rsidRDefault="002C2514" w:rsidP="00AD23D0">
      <w:pPr>
        <w:spacing w:line="360" w:lineRule="auto"/>
        <w:jc w:val="center"/>
      </w:pPr>
    </w:p>
    <w:p w14:paraId="4F80D168" w14:textId="40FCD4BA" w:rsidR="002C2514" w:rsidRPr="00AD23D0" w:rsidRDefault="002C2514" w:rsidP="00AD23D0">
      <w:pPr>
        <w:spacing w:line="360" w:lineRule="auto"/>
        <w:ind w:left="1134" w:right="855"/>
        <w:jc w:val="both"/>
      </w:pPr>
      <w:r w:rsidRPr="00AD23D0">
        <w:t xml:space="preserve">“Some years ago, I composed a piece, which would make a small Volume in Twelves. I call it </w:t>
      </w:r>
      <w:r w:rsidRPr="00AD23D0">
        <w:rPr>
          <w:i/>
          <w:iCs/>
        </w:rPr>
        <w:t>Dialogues on natural Religion</w:t>
      </w:r>
      <w:r w:rsidRPr="00AD23D0">
        <w:t xml:space="preserve">: Some of my Friends flatter me, that it is the best thing I ever wrote…” </w:t>
      </w:r>
    </w:p>
    <w:p w14:paraId="1BEE59DA" w14:textId="10A837B2" w:rsidR="002C2514" w:rsidRPr="00AD23D0" w:rsidRDefault="002C2514" w:rsidP="00AD23D0">
      <w:pPr>
        <w:spacing w:line="360" w:lineRule="auto"/>
        <w:ind w:left="1134" w:right="855"/>
        <w:jc w:val="right"/>
      </w:pPr>
      <w:r w:rsidRPr="00AD23D0">
        <w:t xml:space="preserve">- David Hume </w:t>
      </w:r>
    </w:p>
    <w:p w14:paraId="7CDBAD12" w14:textId="77777777" w:rsidR="002C2514" w:rsidRPr="00AD23D0" w:rsidRDefault="002C2514" w:rsidP="00AD23D0">
      <w:pPr>
        <w:spacing w:line="360" w:lineRule="auto"/>
        <w:ind w:left="1134" w:right="855"/>
        <w:jc w:val="right"/>
      </w:pPr>
    </w:p>
    <w:p w14:paraId="3BED36F9" w14:textId="19558D0F" w:rsidR="00DB1054" w:rsidRPr="00AD23D0" w:rsidRDefault="002C2514" w:rsidP="00AD23D0">
      <w:pPr>
        <w:spacing w:line="360" w:lineRule="auto"/>
        <w:ind w:left="1134" w:right="855"/>
        <w:jc w:val="center"/>
      </w:pPr>
      <w:r w:rsidRPr="00AD23D0">
        <w:t>*</w:t>
      </w:r>
    </w:p>
    <w:p w14:paraId="1662C1A1" w14:textId="77777777" w:rsidR="00DB1054" w:rsidRPr="00AD23D0" w:rsidRDefault="00DB1054" w:rsidP="00AD23D0">
      <w:pPr>
        <w:spacing w:line="360" w:lineRule="auto"/>
        <w:jc w:val="center"/>
      </w:pPr>
    </w:p>
    <w:p w14:paraId="4B0D208F" w14:textId="66E4B80C" w:rsidR="00631790" w:rsidRDefault="00DB1054" w:rsidP="00B92960">
      <w:pPr>
        <w:spacing w:line="360" w:lineRule="auto"/>
        <w:jc w:val="both"/>
      </w:pPr>
      <w:r w:rsidRPr="00AD23D0">
        <w:tab/>
        <w:t xml:space="preserve">Hume’s </w:t>
      </w:r>
      <w:r w:rsidRPr="00AD23D0">
        <w:rPr>
          <w:i/>
          <w:iCs/>
        </w:rPr>
        <w:t>Dialogues</w:t>
      </w:r>
      <w:r w:rsidR="00BD6884" w:rsidRPr="00AD23D0">
        <w:rPr>
          <w:i/>
          <w:iCs/>
        </w:rPr>
        <w:t xml:space="preserve"> concerning Natural Religion</w:t>
      </w:r>
      <w:r w:rsidRPr="00AD23D0">
        <w:rPr>
          <w:i/>
          <w:iCs/>
        </w:rPr>
        <w:t xml:space="preserve"> </w:t>
      </w:r>
      <w:r w:rsidRPr="00AD23D0">
        <w:t xml:space="preserve">was published posthumously in 1779, three years after he died. </w:t>
      </w:r>
      <w:r w:rsidR="00BD6884" w:rsidRPr="00AD23D0">
        <w:t>It</w:t>
      </w:r>
      <w:r w:rsidRPr="00AD23D0">
        <w:t xml:space="preserve"> was published without a publisher’s name on its title page, a clear sign that it contained controversial material that could have serious “consequences” for all those involved. Various obstacles to the publication of this work had been in play for a number of years. Much of the </w:t>
      </w:r>
      <w:r w:rsidRPr="00AD23D0">
        <w:rPr>
          <w:i/>
          <w:iCs/>
        </w:rPr>
        <w:t>Dialogues</w:t>
      </w:r>
      <w:r w:rsidRPr="00AD23D0">
        <w:t xml:space="preserve"> was written and completed around 1751-2, when Hume was just forty years old</w:t>
      </w:r>
      <w:r w:rsidR="0036442D">
        <w:t>.</w:t>
      </w:r>
      <w:r w:rsidRPr="00AD23D0">
        <w:t xml:space="preserve"> </w:t>
      </w:r>
      <w:r w:rsidR="0036442D">
        <w:t>A</w:t>
      </w:r>
      <w:r w:rsidRPr="00AD23D0">
        <w:t xml:space="preserve">lmost three decades </w:t>
      </w:r>
      <w:r w:rsidR="008B7F08">
        <w:t xml:space="preserve">would </w:t>
      </w:r>
      <w:r w:rsidR="001579C4">
        <w:t xml:space="preserve">pass </w:t>
      </w:r>
      <w:r w:rsidRPr="00AD23D0">
        <w:t xml:space="preserve">before it was eventually published. </w:t>
      </w:r>
      <w:r w:rsidR="00BD6884" w:rsidRPr="00AD23D0">
        <w:t>F</w:t>
      </w:r>
      <w:r w:rsidRPr="00AD23D0">
        <w:t>ollow</w:t>
      </w:r>
      <w:r w:rsidR="00BD6884" w:rsidRPr="00AD23D0">
        <w:t>ing</w:t>
      </w:r>
      <w:r w:rsidRPr="00AD23D0">
        <w:t xml:space="preserve"> the advice of his friends</w:t>
      </w:r>
      <w:r w:rsidR="00BD6884" w:rsidRPr="00AD23D0">
        <w:t>,</w:t>
      </w:r>
      <w:r w:rsidRPr="00AD23D0">
        <w:t xml:space="preserve"> </w:t>
      </w:r>
      <w:r w:rsidR="00BD6884" w:rsidRPr="00AD23D0">
        <w:t xml:space="preserve">Hume </w:t>
      </w:r>
      <w:r w:rsidRPr="00AD23D0">
        <w:t xml:space="preserve">decided not to publish his </w:t>
      </w:r>
      <w:r w:rsidRPr="00AD23D0">
        <w:rPr>
          <w:i/>
          <w:iCs/>
        </w:rPr>
        <w:t>Dialogues</w:t>
      </w:r>
      <w:r w:rsidRPr="00AD23D0">
        <w:t xml:space="preserve"> when they were first written</w:t>
      </w:r>
      <w:r w:rsidR="00BD6884" w:rsidRPr="00AD23D0">
        <w:t>.</w:t>
      </w:r>
      <w:r w:rsidR="00B92960">
        <w:t xml:space="preserve"> </w:t>
      </w:r>
      <w:r w:rsidR="00536E6E" w:rsidRPr="00AD23D0">
        <w:t xml:space="preserve">Publishing the </w:t>
      </w:r>
      <w:r w:rsidR="00536E6E" w:rsidRPr="00AD23D0">
        <w:rPr>
          <w:i/>
          <w:iCs/>
        </w:rPr>
        <w:t>Dialogues</w:t>
      </w:r>
      <w:r w:rsidR="00536E6E" w:rsidRPr="00AD23D0">
        <w:t xml:space="preserve"> was</w:t>
      </w:r>
      <w:r w:rsidR="00856216">
        <w:t>, nevertheless,</w:t>
      </w:r>
      <w:r w:rsidR="00536E6E" w:rsidRPr="00AD23D0">
        <w:t xml:space="preserve"> important enough to Hume</w:t>
      </w:r>
      <w:r w:rsidR="00AF73E4" w:rsidRPr="00AD23D0">
        <w:t xml:space="preserve"> that</w:t>
      </w:r>
      <w:r w:rsidR="00536E6E" w:rsidRPr="00AD23D0">
        <w:t xml:space="preserve"> in the final months of his life he asked his close friend Adam Smith</w:t>
      </w:r>
      <w:r w:rsidR="00AF73E4" w:rsidRPr="00AD23D0">
        <w:t xml:space="preserve"> </w:t>
      </w:r>
      <w:r w:rsidR="00536E6E" w:rsidRPr="00AD23D0">
        <w:t xml:space="preserve">to see to it that the </w:t>
      </w:r>
      <w:r w:rsidR="00536E6E" w:rsidRPr="00AD23D0">
        <w:rPr>
          <w:i/>
          <w:iCs/>
        </w:rPr>
        <w:t>Dialogues</w:t>
      </w:r>
      <w:r w:rsidR="00536E6E" w:rsidRPr="00AD23D0">
        <w:t xml:space="preserve"> were published. Smith, however, expressed strong reservations about this and refused to do it.</w:t>
      </w:r>
      <w:r w:rsidR="00536E6E" w:rsidRPr="00AD23D0">
        <w:rPr>
          <w:rStyle w:val="FootnoteReference"/>
        </w:rPr>
        <w:footnoteReference w:id="1"/>
      </w:r>
      <w:r w:rsidR="00536E6E" w:rsidRPr="00AD23D0">
        <w:t xml:space="preserve"> Clearly disappointed by Smith’s refusal,</w:t>
      </w:r>
      <w:r w:rsidR="00CE6A87" w:rsidRPr="00AD23D0">
        <w:t xml:space="preserve"> Hume wrote to his long</w:t>
      </w:r>
      <w:r w:rsidR="0096435E">
        <w:t>-</w:t>
      </w:r>
      <w:r w:rsidR="00CE6A87" w:rsidRPr="00AD23D0">
        <w:t xml:space="preserve">time publisher William </w:t>
      </w:r>
      <w:proofErr w:type="spellStart"/>
      <w:r w:rsidR="00CE6A87" w:rsidRPr="00AD23D0">
        <w:t>Strathan</w:t>
      </w:r>
      <w:proofErr w:type="spellEnd"/>
      <w:r w:rsidR="00777B6A" w:rsidRPr="00AD23D0">
        <w:t xml:space="preserve"> in the hope of persuading him to publish</w:t>
      </w:r>
      <w:r w:rsidR="00CE6A87" w:rsidRPr="00AD23D0">
        <w:t xml:space="preserve"> </w:t>
      </w:r>
      <w:r w:rsidR="00777B6A" w:rsidRPr="00AD23D0">
        <w:t xml:space="preserve">the </w:t>
      </w:r>
      <w:r w:rsidR="00777B6A" w:rsidRPr="00AD23D0">
        <w:rPr>
          <w:i/>
          <w:iCs/>
        </w:rPr>
        <w:t>Dialogues</w:t>
      </w:r>
      <w:r w:rsidR="00777B6A" w:rsidRPr="00AD23D0">
        <w:t xml:space="preserve">.  “Some of my Friends”, Hume tells Strahan, </w:t>
      </w:r>
      <w:r w:rsidR="00AE680D" w:rsidRPr="00AD23D0">
        <w:t>“</w:t>
      </w:r>
      <w:r w:rsidR="00777B6A" w:rsidRPr="00AD23D0">
        <w:t>flatter</w:t>
      </w:r>
      <w:r w:rsidR="001B3DF1" w:rsidRPr="00AD23D0">
        <w:t xml:space="preserve"> </w:t>
      </w:r>
      <w:r w:rsidR="00777B6A" w:rsidRPr="00AD23D0">
        <w:t>me, that it is the best thing I ever wrote.”</w:t>
      </w:r>
      <w:r w:rsidR="009B044E" w:rsidRPr="00AD23D0">
        <w:rPr>
          <w:rStyle w:val="FootnoteReference"/>
        </w:rPr>
        <w:footnoteReference w:id="2"/>
      </w:r>
      <w:r w:rsidR="00CE6A87" w:rsidRPr="00AD23D0">
        <w:t xml:space="preserve"> </w:t>
      </w:r>
      <w:r w:rsidR="00777B6A" w:rsidRPr="00AD23D0">
        <w:t xml:space="preserve">Strahan, </w:t>
      </w:r>
      <w:r w:rsidR="00AF73E4" w:rsidRPr="00AD23D0">
        <w:t xml:space="preserve">however, </w:t>
      </w:r>
      <w:r w:rsidR="00777B6A" w:rsidRPr="00AD23D0">
        <w:t xml:space="preserve">after </w:t>
      </w:r>
      <w:r w:rsidR="00AF73E4" w:rsidRPr="00AD23D0">
        <w:t>hesitating for a period</w:t>
      </w:r>
      <w:r w:rsidR="00777B6A" w:rsidRPr="00AD23D0">
        <w:t xml:space="preserve">, </w:t>
      </w:r>
      <w:r w:rsidR="001B3DF1" w:rsidRPr="00AD23D0">
        <w:t xml:space="preserve">also </w:t>
      </w:r>
      <w:r w:rsidR="00777B6A" w:rsidRPr="00AD23D0">
        <w:t xml:space="preserve">decided </w:t>
      </w:r>
      <w:r w:rsidR="001B3DF1" w:rsidRPr="00AD23D0">
        <w:t>against</w:t>
      </w:r>
      <w:r w:rsidR="00777B6A" w:rsidRPr="00AD23D0">
        <w:t xml:space="preserve"> publish</w:t>
      </w:r>
      <w:r w:rsidR="001B3DF1" w:rsidRPr="00AD23D0">
        <w:t>ing</w:t>
      </w:r>
      <w:r w:rsidR="00777B6A" w:rsidRPr="00AD23D0">
        <w:t xml:space="preserve"> </w:t>
      </w:r>
      <w:r w:rsidR="00777B6A" w:rsidRPr="00AD23D0">
        <w:lastRenderedPageBreak/>
        <w:t xml:space="preserve">the </w:t>
      </w:r>
      <w:r w:rsidR="00777B6A" w:rsidRPr="00AD23D0">
        <w:rPr>
          <w:i/>
          <w:iCs/>
        </w:rPr>
        <w:t>Dialogues.</w:t>
      </w:r>
      <w:r w:rsidR="00777B6A" w:rsidRPr="00AD23D0">
        <w:t xml:space="preserve"> </w:t>
      </w:r>
      <w:r w:rsidR="004D3385" w:rsidRPr="00AD23D0">
        <w:t>Fortunately,</w:t>
      </w:r>
      <w:r w:rsidR="001B3DF1" w:rsidRPr="00AD23D0">
        <w:t xml:space="preserve"> Hume</w:t>
      </w:r>
      <w:r w:rsidR="0096435E">
        <w:t>,</w:t>
      </w:r>
      <w:r w:rsidR="00BD6884" w:rsidRPr="00AD23D0">
        <w:t xml:space="preserve"> </w:t>
      </w:r>
      <w:r w:rsidR="00AF73E4" w:rsidRPr="00AD23D0">
        <w:t xml:space="preserve">in a codicil to his will, </w:t>
      </w:r>
      <w:r w:rsidR="009B044E" w:rsidRPr="00AD23D0">
        <w:t xml:space="preserve">anticipated </w:t>
      </w:r>
      <w:r w:rsidR="001B3DF1" w:rsidRPr="00AD23D0">
        <w:t>these difficulties and made</w:t>
      </w:r>
      <w:r w:rsidR="00BD6884" w:rsidRPr="00AD23D0">
        <w:t xml:space="preserve"> </w:t>
      </w:r>
      <w:r w:rsidR="009B044E" w:rsidRPr="00AD23D0">
        <w:t xml:space="preserve">alternative </w:t>
      </w:r>
      <w:r w:rsidRPr="00AD23D0">
        <w:t xml:space="preserve">arrangements </w:t>
      </w:r>
      <w:r w:rsidR="00AF73E4" w:rsidRPr="00AD23D0">
        <w:t>for</w:t>
      </w:r>
      <w:r w:rsidRPr="00AD23D0">
        <w:t xml:space="preserve"> </w:t>
      </w:r>
      <w:r w:rsidR="00AF73E4" w:rsidRPr="00AD23D0">
        <w:t xml:space="preserve">the </w:t>
      </w:r>
      <w:r w:rsidR="00B92960">
        <w:t xml:space="preserve">publication of the </w:t>
      </w:r>
      <w:r w:rsidR="00AF73E4" w:rsidRPr="00AD23D0">
        <w:rPr>
          <w:i/>
          <w:iCs/>
        </w:rPr>
        <w:t>Dialogues</w:t>
      </w:r>
      <w:r w:rsidR="009B044E" w:rsidRPr="00AD23D0">
        <w:t>.</w:t>
      </w:r>
      <w:r w:rsidR="00BB05E3" w:rsidRPr="00AD23D0">
        <w:t xml:space="preserve"> </w:t>
      </w:r>
    </w:p>
    <w:p w14:paraId="71FC1B6A" w14:textId="50ADC72B" w:rsidR="00631790" w:rsidRDefault="00631790" w:rsidP="00631790">
      <w:pPr>
        <w:spacing w:line="360" w:lineRule="auto"/>
        <w:jc w:val="both"/>
      </w:pPr>
      <w:r>
        <w:tab/>
      </w:r>
      <w:r w:rsidR="00DB1054" w:rsidRPr="00AD23D0">
        <w:t>The</w:t>
      </w:r>
      <w:r>
        <w:t>se</w:t>
      </w:r>
      <w:r w:rsidR="00DB1054" w:rsidRPr="00AD23D0">
        <w:t xml:space="preserve"> </w:t>
      </w:r>
      <w:r>
        <w:t>considerations</w:t>
      </w:r>
      <w:r w:rsidR="00DB1054" w:rsidRPr="00AD23D0">
        <w:t xml:space="preserve"> relating to the </w:t>
      </w:r>
      <w:r w:rsidR="00B92960">
        <w:t xml:space="preserve">difficulties that Hume faced regarding the </w:t>
      </w:r>
      <w:r w:rsidR="00DB1054" w:rsidRPr="00AD23D0">
        <w:t xml:space="preserve">publication of </w:t>
      </w:r>
      <w:r w:rsidR="00B92960">
        <w:t>the</w:t>
      </w:r>
      <w:r w:rsidR="00DB1054" w:rsidRPr="00AD23D0">
        <w:t xml:space="preserve"> </w:t>
      </w:r>
      <w:r w:rsidR="00DB1054" w:rsidRPr="00AD23D0">
        <w:rPr>
          <w:i/>
          <w:iCs/>
        </w:rPr>
        <w:t>Dialogues</w:t>
      </w:r>
      <w:r>
        <w:t xml:space="preserve"> </w:t>
      </w:r>
      <w:r w:rsidR="00DB1054" w:rsidRPr="00AD23D0">
        <w:t>present contemporary readers of Hume</w:t>
      </w:r>
      <w:r w:rsidR="00856216">
        <w:t xml:space="preserve"> with a significant problem of interpretation</w:t>
      </w:r>
      <w:r>
        <w:t xml:space="preserve">. </w:t>
      </w:r>
      <w:r w:rsidR="00DB1054" w:rsidRPr="00AD23D0">
        <w:t xml:space="preserve">How, given these conditions of repression and coercion, should we interpret Hume’s work (e.g. the </w:t>
      </w:r>
      <w:r w:rsidR="00DB1054" w:rsidRPr="00AD23D0">
        <w:rPr>
          <w:i/>
          <w:iCs/>
        </w:rPr>
        <w:t>Dialogues</w:t>
      </w:r>
      <w:r w:rsidR="00DB1054" w:rsidRPr="00AD23D0">
        <w:t>)</w:t>
      </w:r>
      <w:r w:rsidR="000320F2" w:rsidRPr="00AD23D0">
        <w:t xml:space="preserve">, given that </w:t>
      </w:r>
      <w:r w:rsidR="00DB1054" w:rsidRPr="00AD23D0">
        <w:t>“prudence” and care was obviously required by any author who hoped to advance views</w:t>
      </w:r>
      <w:r w:rsidR="000320F2" w:rsidRPr="00AD23D0">
        <w:t xml:space="preserve"> of the kind </w:t>
      </w:r>
      <w:r w:rsidR="00265A1C" w:rsidRPr="00AD23D0">
        <w:t xml:space="preserve">that </w:t>
      </w:r>
      <w:r w:rsidR="000320F2" w:rsidRPr="00AD23D0">
        <w:t>Hume presents</w:t>
      </w:r>
      <w:r w:rsidR="00DB1054" w:rsidRPr="00AD23D0">
        <w:t xml:space="preserve">? </w:t>
      </w:r>
    </w:p>
    <w:p w14:paraId="069BF78B" w14:textId="0B15B8E3" w:rsidR="00C0239A" w:rsidRPr="00AD23D0" w:rsidRDefault="00631790" w:rsidP="0074006D">
      <w:pPr>
        <w:spacing w:line="360" w:lineRule="auto"/>
        <w:jc w:val="both"/>
      </w:pPr>
      <w:r>
        <w:tab/>
      </w:r>
      <w:r w:rsidR="006D5F13" w:rsidRPr="00AD23D0">
        <w:t xml:space="preserve">In the </w:t>
      </w:r>
      <w:r w:rsidR="006D5F13" w:rsidRPr="00AD23D0">
        <w:rPr>
          <w:i/>
          <w:iCs/>
        </w:rPr>
        <w:t>Dialogues</w:t>
      </w:r>
      <w:r w:rsidR="006D5F13" w:rsidRPr="00AD23D0">
        <w:t xml:space="preserve"> Hume presents and examines two arguments for the existence of God and his particular attributes. They are the argument from design (or the argument </w:t>
      </w:r>
      <w:r w:rsidR="006D5F13" w:rsidRPr="00AD23D0">
        <w:rPr>
          <w:i/>
          <w:iCs/>
        </w:rPr>
        <w:t>a posteriori</w:t>
      </w:r>
      <w:r w:rsidR="006D5F13" w:rsidRPr="00AD23D0">
        <w:t xml:space="preserve">) and the cosmological argument (or argument </w:t>
      </w:r>
      <w:r w:rsidR="006D5F13" w:rsidRPr="00AD23D0">
        <w:rPr>
          <w:i/>
          <w:iCs/>
        </w:rPr>
        <w:t>a priori</w:t>
      </w:r>
      <w:r w:rsidR="006D5F13" w:rsidRPr="00AD23D0">
        <w:t xml:space="preserve">). Both these arguments were widely accepted and defended by theologians and philosophers in Hume’s </w:t>
      </w:r>
      <w:r w:rsidR="002A790F" w:rsidRPr="00AD23D0">
        <w:t>context,</w:t>
      </w:r>
      <w:r w:rsidR="006D5F13" w:rsidRPr="00AD23D0">
        <w:t xml:space="preserve"> and </w:t>
      </w:r>
      <w:r w:rsidR="009D5023" w:rsidRPr="00AD23D0">
        <w:t xml:space="preserve">they continue to command support </w:t>
      </w:r>
      <w:r w:rsidR="006D5F13" w:rsidRPr="00AD23D0">
        <w:t>among theists.</w:t>
      </w:r>
      <w:r w:rsidR="006D432B" w:rsidRPr="00AD23D0">
        <w:rPr>
          <w:rStyle w:val="FootnoteReference"/>
        </w:rPr>
        <w:footnoteReference w:id="3"/>
      </w:r>
      <w:r w:rsidR="006D5F13" w:rsidRPr="00AD23D0">
        <w:t xml:space="preserve"> </w:t>
      </w:r>
      <w:r w:rsidR="009D5023" w:rsidRPr="005D68DE">
        <w:t xml:space="preserve">The </w:t>
      </w:r>
      <w:r w:rsidR="009D5023" w:rsidRPr="005D68DE">
        <w:rPr>
          <w:i/>
          <w:iCs/>
        </w:rPr>
        <w:t>Dialogues</w:t>
      </w:r>
      <w:r w:rsidR="009D5023" w:rsidRPr="005D68DE">
        <w:t xml:space="preserve"> pays particular attention to the </w:t>
      </w:r>
      <w:r w:rsidR="0074006D" w:rsidRPr="005D68DE">
        <w:t xml:space="preserve">design </w:t>
      </w:r>
      <w:r w:rsidR="009D5023" w:rsidRPr="005D68DE">
        <w:t xml:space="preserve">argument </w:t>
      </w:r>
      <w:r w:rsidR="0074006D" w:rsidRPr="005D68DE">
        <w:t xml:space="preserve">(or argument </w:t>
      </w:r>
      <w:r w:rsidR="0074006D" w:rsidRPr="005D68DE">
        <w:rPr>
          <w:i/>
          <w:iCs/>
        </w:rPr>
        <w:t>a posteriori</w:t>
      </w:r>
      <w:r w:rsidR="0074006D" w:rsidRPr="005D68DE">
        <w:t>)</w:t>
      </w:r>
      <w:r w:rsidR="008B7F08">
        <w:t xml:space="preserve">, which </w:t>
      </w:r>
      <w:r w:rsidR="009D5023" w:rsidRPr="005D68DE">
        <w:t>is presented</w:t>
      </w:r>
      <w:r w:rsidR="008B7F08">
        <w:t xml:space="preserve"> and defended </w:t>
      </w:r>
      <w:r w:rsidR="009D5023" w:rsidRPr="005D68DE">
        <w:t xml:space="preserve">by </w:t>
      </w:r>
      <w:r w:rsidR="004B7E46" w:rsidRPr="005D68DE">
        <w:t>‘Cleanthes’</w:t>
      </w:r>
      <w:r w:rsidR="009D5023" w:rsidRPr="005D68DE">
        <w:t xml:space="preserve"> in Part II</w:t>
      </w:r>
      <w:r w:rsidR="008B7F08">
        <w:t xml:space="preserve">, and goes on to </w:t>
      </w:r>
      <w:r w:rsidR="009D5023" w:rsidRPr="005D68DE">
        <w:t>occup</w:t>
      </w:r>
      <w:r w:rsidR="008B7F08">
        <w:t>y</w:t>
      </w:r>
      <w:r w:rsidR="009D5023" w:rsidRPr="005D68DE">
        <w:t xml:space="preserve"> the </w:t>
      </w:r>
      <w:r w:rsidR="009D5023" w:rsidRPr="005D68DE">
        <w:rPr>
          <w:i/>
          <w:iCs/>
        </w:rPr>
        <w:t>Dialogues</w:t>
      </w:r>
      <w:r w:rsidR="009D5023" w:rsidRPr="005D68DE">
        <w:t xml:space="preserve"> until the end of Part VIII.</w:t>
      </w:r>
      <w:r w:rsidR="004703B7">
        <w:rPr>
          <w:rStyle w:val="FootnoteReference"/>
        </w:rPr>
        <w:footnoteReference w:id="4"/>
      </w:r>
      <w:r>
        <w:t xml:space="preserve"> </w:t>
      </w:r>
      <w:r w:rsidR="009D5023" w:rsidRPr="00AD23D0">
        <w:t xml:space="preserve"> </w:t>
      </w:r>
      <w:r w:rsidR="00974AB9" w:rsidRPr="00AD23D0">
        <w:t xml:space="preserve">Although Hume </w:t>
      </w:r>
      <w:r>
        <w:t>regards</w:t>
      </w:r>
      <w:r w:rsidR="00974AB9" w:rsidRPr="00AD23D0">
        <w:t xml:space="preserve"> the argument from design as the principal argument for “divine existence”, </w:t>
      </w:r>
      <w:r>
        <w:t>he</w:t>
      </w:r>
      <w:r w:rsidR="00974AB9" w:rsidRPr="00AD23D0">
        <w:t xml:space="preserve"> also devotes all of Part IX to an examination of the cosmological argument. In the context of the </w:t>
      </w:r>
      <w:r w:rsidR="00974AB9" w:rsidRPr="00AD23D0">
        <w:rPr>
          <w:i/>
          <w:iCs/>
        </w:rPr>
        <w:t>Dialogues</w:t>
      </w:r>
      <w:r w:rsidR="00974AB9" w:rsidRPr="00AD23D0">
        <w:t xml:space="preserve"> the proponent and defender of this argument is </w:t>
      </w:r>
      <w:r w:rsidR="009E24F7">
        <w:t>‘</w:t>
      </w:r>
      <w:proofErr w:type="spellStart"/>
      <w:r w:rsidR="001077CC">
        <w:t>Demea</w:t>
      </w:r>
      <w:proofErr w:type="spellEnd"/>
      <w:r w:rsidR="009E24F7">
        <w:t>’</w:t>
      </w:r>
      <w:r w:rsidR="00974AB9" w:rsidRPr="00AD23D0">
        <w:t xml:space="preserve">. </w:t>
      </w:r>
      <w:r w:rsidR="006D432B" w:rsidRPr="00AD23D0">
        <w:t xml:space="preserve">The cosmological </w:t>
      </w:r>
      <w:r w:rsidR="00902B17" w:rsidRPr="00AD23D0">
        <w:t>argument</w:t>
      </w:r>
      <w:r w:rsidR="00713BEF" w:rsidRPr="00AD23D0">
        <w:t xml:space="preserve">, or what Hume and his contemporaries refer to as the argument </w:t>
      </w:r>
      <w:r w:rsidR="00713BEF" w:rsidRPr="00AD23D0">
        <w:rPr>
          <w:i/>
          <w:iCs/>
        </w:rPr>
        <w:t>a priori</w:t>
      </w:r>
      <w:r w:rsidR="00713BEF" w:rsidRPr="00AD23D0">
        <w:t xml:space="preserve">, </w:t>
      </w:r>
      <w:r w:rsidR="009E24F7">
        <w:t xml:space="preserve">continued to </w:t>
      </w:r>
      <w:r w:rsidR="00713BEF" w:rsidRPr="00AD23D0">
        <w:t>enjoy</w:t>
      </w:r>
      <w:r w:rsidR="003F13E4">
        <w:t xml:space="preserve"> </w:t>
      </w:r>
      <w:r w:rsidR="00713BEF" w:rsidRPr="00AD23D0">
        <w:t>considerable prestige and support</w:t>
      </w:r>
      <w:r w:rsidR="009E24F7">
        <w:t xml:space="preserve"> well into the second half of the 18</w:t>
      </w:r>
      <w:r w:rsidR="009E24F7" w:rsidRPr="009E24F7">
        <w:rPr>
          <w:vertAlign w:val="superscript"/>
        </w:rPr>
        <w:t>th</w:t>
      </w:r>
      <w:r w:rsidR="009E24F7">
        <w:t xml:space="preserve"> century</w:t>
      </w:r>
      <w:r w:rsidR="00713BEF" w:rsidRPr="00AD23D0">
        <w:t>.</w:t>
      </w:r>
      <w:r w:rsidR="00713BEF" w:rsidRPr="00AD23D0">
        <w:rPr>
          <w:rStyle w:val="FootnoteReference"/>
        </w:rPr>
        <w:footnoteReference w:id="5"/>
      </w:r>
    </w:p>
    <w:p w14:paraId="0E1F39CA" w14:textId="10A43C0E" w:rsidR="00FA404C" w:rsidRDefault="00F823D3" w:rsidP="00EA2350">
      <w:pPr>
        <w:spacing w:line="360" w:lineRule="auto"/>
        <w:jc w:val="both"/>
      </w:pPr>
      <w:r w:rsidRPr="00AD23D0">
        <w:tab/>
        <w:t xml:space="preserve">Having considered, and criticized, the argument from design and the cosmological argument, the </w:t>
      </w:r>
      <w:r w:rsidRPr="00AD23D0">
        <w:rPr>
          <w:i/>
          <w:iCs/>
        </w:rPr>
        <w:t>Dialogues</w:t>
      </w:r>
      <w:r w:rsidRPr="00AD23D0">
        <w:t xml:space="preserve"> turns its attention to the problem of evil (Parts X and XI). The problem </w:t>
      </w:r>
      <w:r w:rsidRPr="00AD23D0">
        <w:lastRenderedPageBreak/>
        <w:t>of evil</w:t>
      </w:r>
      <w:r w:rsidR="008B7F08">
        <w:t>, as presented primarily by ‘Philo</w:t>
      </w:r>
      <w:proofErr w:type="gramStart"/>
      <w:r w:rsidR="008B7F08">
        <w:t xml:space="preserve">’, </w:t>
      </w:r>
      <w:r w:rsidRPr="00AD23D0">
        <w:t xml:space="preserve"> lays</w:t>
      </w:r>
      <w:proofErr w:type="gramEnd"/>
      <w:r w:rsidRPr="00AD23D0">
        <w:t xml:space="preserve"> the foundation for an argument </w:t>
      </w:r>
      <w:r w:rsidRPr="00AD23D0">
        <w:rPr>
          <w:i/>
          <w:iCs/>
        </w:rPr>
        <w:t>against</w:t>
      </w:r>
      <w:r w:rsidRPr="00AD23D0">
        <w:t xml:space="preserve"> the existence of God, at least any God with an orthodox set of attributes.</w:t>
      </w:r>
      <w:r w:rsidR="003244B2" w:rsidRPr="00AD23D0">
        <w:t xml:space="preserve"> </w:t>
      </w:r>
      <w:r w:rsidR="00086F52" w:rsidRPr="00AD23D0">
        <w:t xml:space="preserve">The fourth and final argument that the </w:t>
      </w:r>
      <w:r w:rsidR="00086F52" w:rsidRPr="00AD23D0">
        <w:rPr>
          <w:i/>
          <w:iCs/>
        </w:rPr>
        <w:t>Dialogues</w:t>
      </w:r>
      <w:r w:rsidR="00086F52" w:rsidRPr="00AD23D0">
        <w:t xml:space="preserve"> takes up concerns the relationship between religion and morality. </w:t>
      </w:r>
      <w:r w:rsidR="004D3385" w:rsidRPr="00AD23D0">
        <w:t xml:space="preserve">By the time this issue arises, </w:t>
      </w:r>
      <w:proofErr w:type="spellStart"/>
      <w:r w:rsidR="001077CC">
        <w:t>Demea</w:t>
      </w:r>
      <w:proofErr w:type="spellEnd"/>
      <w:r w:rsidR="004D3385" w:rsidRPr="00AD23D0">
        <w:t xml:space="preserve"> has departed, </w:t>
      </w:r>
      <w:r w:rsidR="00873E9E">
        <w:t xml:space="preserve">which </w:t>
      </w:r>
      <w:r w:rsidR="004D3385" w:rsidRPr="00AD23D0">
        <w:t>leav</w:t>
      </w:r>
      <w:r w:rsidR="00873E9E">
        <w:t>es</w:t>
      </w:r>
      <w:r w:rsidR="004D3385" w:rsidRPr="00AD23D0">
        <w:t xml:space="preserve"> the discussion between </w:t>
      </w:r>
      <w:r w:rsidR="004B7E46">
        <w:t>Cleanthes</w:t>
      </w:r>
      <w:r w:rsidR="004D3385" w:rsidRPr="00AD23D0">
        <w:t xml:space="preserve"> and </w:t>
      </w:r>
      <w:r w:rsidR="004B7E46">
        <w:t>Philo</w:t>
      </w:r>
      <w:r w:rsidR="004D3385" w:rsidRPr="00AD23D0">
        <w:t xml:space="preserve">. The positions that they defend are directly opposed. </w:t>
      </w:r>
      <w:r w:rsidR="004B7E46">
        <w:t>Cleanthes</w:t>
      </w:r>
      <w:r w:rsidR="004D3385" w:rsidRPr="00AD23D0">
        <w:t xml:space="preserve"> defends the view that religion and, in particular, the doctrine of a future state, is a necessary “security to morals”. “Religion, however corrupted”, Cleanthes maintains, “is still better than no religion at all” (D, 12.10/219; EU, 11.28-</w:t>
      </w:r>
      <w:r w:rsidR="00FE39A2" w:rsidRPr="00AD23D0">
        <w:t xml:space="preserve">9/147; EM, 9.14/279). Against this </w:t>
      </w:r>
      <w:r w:rsidR="004B7E46">
        <w:t>Philo</w:t>
      </w:r>
      <w:r w:rsidR="00FE39A2" w:rsidRPr="00AD23D0">
        <w:t xml:space="preserve"> argues that religion, at best, provides unsteady and unreliable support for morality and, more commonly, it has a corrupting and pernicious influence on human conduct (D, 12.11-32/220-7). </w:t>
      </w:r>
    </w:p>
    <w:p w14:paraId="0C797623" w14:textId="77777777" w:rsidR="00EA2350" w:rsidRDefault="00EA2350" w:rsidP="00EA2350">
      <w:pPr>
        <w:spacing w:line="360" w:lineRule="auto"/>
        <w:jc w:val="both"/>
      </w:pPr>
    </w:p>
    <w:p w14:paraId="0C1CA3FF" w14:textId="4DE7D436" w:rsidR="00B11929" w:rsidRDefault="00EA2350" w:rsidP="00AD23D0">
      <w:pPr>
        <w:spacing w:line="360" w:lineRule="auto"/>
        <w:jc w:val="center"/>
      </w:pPr>
      <w:r>
        <w:t>**</w:t>
      </w:r>
    </w:p>
    <w:p w14:paraId="751BE627" w14:textId="77777777" w:rsidR="00EA2350" w:rsidRPr="00AD23D0" w:rsidRDefault="00EA2350" w:rsidP="00AD23D0">
      <w:pPr>
        <w:spacing w:line="360" w:lineRule="auto"/>
        <w:jc w:val="center"/>
      </w:pPr>
    </w:p>
    <w:p w14:paraId="03CCB12E" w14:textId="40AF3065" w:rsidR="00703641" w:rsidRDefault="005A1A68" w:rsidP="00AD23D0">
      <w:pPr>
        <w:spacing w:line="360" w:lineRule="auto"/>
        <w:jc w:val="both"/>
      </w:pPr>
      <w:r>
        <w:tab/>
        <w:t xml:space="preserve">One question that may be asked is why Hume uses the dialogue format to consider and assess these arguments and positions? </w:t>
      </w:r>
      <w:r w:rsidR="004D0545">
        <w:t>A few</w:t>
      </w:r>
      <w:r w:rsidR="003F13E4">
        <w:t xml:space="preserve"> </w:t>
      </w:r>
      <w:r>
        <w:t xml:space="preserve">points </w:t>
      </w:r>
      <w:r w:rsidR="00EA2350">
        <w:t>may</w:t>
      </w:r>
      <w:r>
        <w:t xml:space="preserve"> be </w:t>
      </w:r>
      <w:r w:rsidR="007B2D36">
        <w:t xml:space="preserve">noted in relation </w:t>
      </w:r>
      <w:r w:rsidR="006C6BCE">
        <w:t xml:space="preserve">to </w:t>
      </w:r>
      <w:r w:rsidR="007B2D36">
        <w:t>this matter</w:t>
      </w:r>
      <w:r>
        <w:t xml:space="preserve">. </w:t>
      </w:r>
      <w:r w:rsidR="003C2696">
        <w:t>F</w:t>
      </w:r>
      <w:r>
        <w:t>irst</w:t>
      </w:r>
      <w:r w:rsidR="003C2696">
        <w:t xml:space="preserve">, </w:t>
      </w:r>
      <w:r w:rsidR="00C2042F">
        <w:t>Hume’s use of the dialogue format follows established practice.</w:t>
      </w:r>
      <w:r w:rsidR="004D0545">
        <w:rPr>
          <w:rStyle w:val="FootnoteReference"/>
        </w:rPr>
        <w:footnoteReference w:id="6"/>
      </w:r>
      <w:r w:rsidR="00C2042F">
        <w:t xml:space="preserve"> I</w:t>
      </w:r>
      <w:r>
        <w:t>t i</w:t>
      </w:r>
      <w:r w:rsidR="004D0545">
        <w:t xml:space="preserve">s </w:t>
      </w:r>
      <w:r>
        <w:t xml:space="preserve">widely </w:t>
      </w:r>
      <w:r w:rsidR="00B11929">
        <w:t>recognized</w:t>
      </w:r>
      <w:r w:rsidR="004D0545">
        <w:t>, for example,</w:t>
      </w:r>
      <w:r>
        <w:t xml:space="preserve"> that Hume’s </w:t>
      </w:r>
      <w:r w:rsidRPr="005A1A68">
        <w:rPr>
          <w:i/>
          <w:iCs/>
        </w:rPr>
        <w:t>Dialogues</w:t>
      </w:r>
      <w:r>
        <w:t xml:space="preserve"> is modelled after Cicero’s </w:t>
      </w:r>
      <w:r w:rsidRPr="005A1A68">
        <w:rPr>
          <w:i/>
          <w:iCs/>
        </w:rPr>
        <w:t>De Natura Decorum</w:t>
      </w:r>
      <w:r>
        <w:t xml:space="preserve"> in a number of respects.</w:t>
      </w:r>
      <w:r>
        <w:rPr>
          <w:rStyle w:val="FootnoteReference"/>
        </w:rPr>
        <w:footnoteReference w:id="7"/>
      </w:r>
      <w:r>
        <w:t xml:space="preserve"> </w:t>
      </w:r>
      <w:r w:rsidR="00B11929">
        <w:t>Beyond this</w:t>
      </w:r>
      <w:r>
        <w:t xml:space="preserve">, </w:t>
      </w:r>
      <w:r w:rsidR="00B11929">
        <w:t xml:space="preserve">the dialogue format was </w:t>
      </w:r>
      <w:r w:rsidR="00C2042F">
        <w:t xml:space="preserve">also </w:t>
      </w:r>
      <w:r w:rsidR="00B11929">
        <w:t>adopted by a number of</w:t>
      </w:r>
      <w:r>
        <w:t xml:space="preserve"> modern philosophers who presented their views on religion in </w:t>
      </w:r>
      <w:r w:rsidR="00B11929">
        <w:t>this</w:t>
      </w:r>
      <w:r>
        <w:t xml:space="preserve"> form</w:t>
      </w:r>
      <w:r w:rsidR="00B11929">
        <w:t>,</w:t>
      </w:r>
      <w:r>
        <w:t xml:space="preserve"> </w:t>
      </w:r>
      <w:r w:rsidR="003504FF">
        <w:t>in works that Hume was almost certainly entirely familiar with.</w:t>
      </w:r>
      <w:r w:rsidR="004A59F4">
        <w:rPr>
          <w:rStyle w:val="FootnoteReference"/>
        </w:rPr>
        <w:footnoteReference w:id="8"/>
      </w:r>
      <w:r w:rsidR="003504FF">
        <w:t xml:space="preserve"> </w:t>
      </w:r>
      <w:r w:rsidR="004D0545">
        <w:t>Second, the dialogues format allowed Hume to camouflage</w:t>
      </w:r>
      <w:r w:rsidR="00064ADE">
        <w:t xml:space="preserve"> and conceal</w:t>
      </w:r>
      <w:r w:rsidR="004D0545">
        <w:t xml:space="preserve">, to </w:t>
      </w:r>
      <w:r w:rsidR="004D0545">
        <w:lastRenderedPageBreak/>
        <w:t xml:space="preserve">some extent, his own identity and commitments. This provides a certain degree of protection given the climate that his work was published in. </w:t>
      </w:r>
      <w:r w:rsidR="005D6CCD">
        <w:t>Mo</w:t>
      </w:r>
      <w:r w:rsidR="004D0545">
        <w:t>re</w:t>
      </w:r>
      <w:r w:rsidR="005D6CCD">
        <w:t xml:space="preserve"> importantly, however, o</w:t>
      </w:r>
      <w:r w:rsidR="00703641">
        <w:t xml:space="preserve">ne of Hume’s fundamental concerns in the </w:t>
      </w:r>
      <w:r w:rsidR="00703641" w:rsidRPr="00703641">
        <w:rPr>
          <w:i/>
          <w:iCs/>
        </w:rPr>
        <w:t>Dialogues</w:t>
      </w:r>
      <w:r w:rsidR="00703641">
        <w:t xml:space="preserve"> is to give a fair and accurate account of the various views and arguments under consideration. </w:t>
      </w:r>
      <w:r w:rsidR="000A4A0C">
        <w:t>Whatever side of this debate Hume may have been partial to, he was anxious to allow the reader to arrive at her own conclusion on the basis of a fair, accurate</w:t>
      </w:r>
      <w:r w:rsidR="0013564D">
        <w:t>,</w:t>
      </w:r>
      <w:r w:rsidR="000A4A0C">
        <w:t xml:space="preserve"> and impartial presentation of the relevant arguments.</w:t>
      </w:r>
      <w:r w:rsidR="00064ADE">
        <w:rPr>
          <w:rStyle w:val="FootnoteReference"/>
        </w:rPr>
        <w:footnoteReference w:id="9"/>
      </w:r>
    </w:p>
    <w:p w14:paraId="0FB610AE" w14:textId="422CA84E" w:rsidR="00776505" w:rsidRDefault="000A4A0C" w:rsidP="00AD23D0">
      <w:pPr>
        <w:spacing w:line="360" w:lineRule="auto"/>
        <w:jc w:val="both"/>
      </w:pPr>
      <w:r>
        <w:tab/>
        <w:t>An obvious upshot of these conflicting considerations</w:t>
      </w:r>
      <w:r w:rsidR="00866B97">
        <w:t xml:space="preserve"> is that Hume’s own commitments are not always easy to discern or decide</w:t>
      </w:r>
      <w:r w:rsidR="00696B6C">
        <w:t>. One way to approach this is to ask</w:t>
      </w:r>
      <w:r w:rsidR="00FE76B9">
        <w:t xml:space="preserve">: Who speaks for Hume in the </w:t>
      </w:r>
      <w:r w:rsidR="00FE76B9" w:rsidRPr="00FE76B9">
        <w:rPr>
          <w:i/>
          <w:iCs/>
        </w:rPr>
        <w:t>Dialogues</w:t>
      </w:r>
      <w:r w:rsidR="00FE76B9">
        <w:t xml:space="preserve">? There are any number of responses to this </w:t>
      </w:r>
      <w:r w:rsidR="00D878AD">
        <w:t>question,</w:t>
      </w:r>
      <w:r w:rsidR="00FE76B9">
        <w:t xml:space="preserve"> but the two most convincing discussions are provided by Kemp Smith and Gaskin. Although their answer to this question is qualified in various ways, both agree “that Philo, from start to finish represents Hume”.</w:t>
      </w:r>
      <w:r w:rsidR="00FE76B9">
        <w:rPr>
          <w:rStyle w:val="FootnoteReference"/>
        </w:rPr>
        <w:footnoteReference w:id="10"/>
      </w:r>
      <w:r w:rsidR="00FE76B9">
        <w:t xml:space="preserve"> </w:t>
      </w:r>
      <w:r w:rsidR="00696B6C">
        <w:t>Nevertheless, e</w:t>
      </w:r>
      <w:r w:rsidR="00776505">
        <w:t xml:space="preserve">ven if we agree with Kemp Smith and Gaskin that Philo serves as Hume’s principal spokesperson in the </w:t>
      </w:r>
      <w:r w:rsidR="00776505" w:rsidRPr="00776505">
        <w:rPr>
          <w:i/>
          <w:iCs/>
        </w:rPr>
        <w:t>Dialogues</w:t>
      </w:r>
      <w:r w:rsidR="00776505">
        <w:t xml:space="preserve">, this still leaves us with a large problem that has also been widely debated. That is, what is Philo’s final view about this matter? In regard to this issue, there is no obvious or uncontroversial answer to be given. For our present purposes what can be said, which might command wide but not universal </w:t>
      </w:r>
      <w:r w:rsidR="00EA0EDB">
        <w:t>agreement, is that Philo’s views are consistently and firmly irreligious.</w:t>
      </w:r>
      <w:r w:rsidR="00EA0EDB">
        <w:rPr>
          <w:rStyle w:val="FootnoteReference"/>
        </w:rPr>
        <w:footnoteReference w:id="11"/>
      </w:r>
      <w:r w:rsidR="00EA0EDB">
        <w:t xml:space="preserve"> </w:t>
      </w:r>
      <w:r w:rsidR="00064ADE">
        <w:t>It remains</w:t>
      </w:r>
      <w:r w:rsidR="00B47DA8">
        <w:t xml:space="preserve"> </w:t>
      </w:r>
      <w:r w:rsidR="00FB76B0">
        <w:t>un</w:t>
      </w:r>
      <w:r w:rsidR="00B47DA8">
        <w:t>clear, however, what exactly this commits Philo (</w:t>
      </w:r>
      <w:r w:rsidR="0013564D">
        <w:t>and/</w:t>
      </w:r>
      <w:r w:rsidR="00B47DA8">
        <w:t>or Hume) to.</w:t>
      </w:r>
      <w:r w:rsidR="00D53FA2">
        <w:t xml:space="preserve"> T</w:t>
      </w:r>
      <w:r w:rsidR="00B47DA8">
        <w:t>h</w:t>
      </w:r>
      <w:r w:rsidR="00566AC9">
        <w:t>ere are th</w:t>
      </w:r>
      <w:r w:rsidR="00B47DA8">
        <w:t xml:space="preserve">ree </w:t>
      </w:r>
      <w:r w:rsidR="00566AC9">
        <w:t xml:space="preserve">basic </w:t>
      </w:r>
      <w:r w:rsidR="00B47DA8">
        <w:t>options</w:t>
      </w:r>
      <w:r w:rsidR="00D53FA2">
        <w:t xml:space="preserve"> </w:t>
      </w:r>
      <w:r w:rsidR="00566AC9">
        <w:t>available to us</w:t>
      </w:r>
      <w:r w:rsidR="00B47DA8">
        <w:t xml:space="preserve">, all of which can be provided with considerable support (and all of which have been defended by various eminent Hume scholars). Described in succinct terms the relevant options are: some form of attenuated theism or deism; or agnosticism; or atheism. Each one of these options is itself open to variable accounts and interpretation and allow for some </w:t>
      </w:r>
      <w:r w:rsidR="00B47DA8">
        <w:lastRenderedPageBreak/>
        <w:t>overlap.</w:t>
      </w:r>
      <w:r w:rsidR="004C1B29">
        <w:t xml:space="preserve"> </w:t>
      </w:r>
      <w:r w:rsidR="00B47DA8">
        <w:t>What they all share, nevertheless, is a systematic scepticism (and hostility) to orthodox religion</w:t>
      </w:r>
      <w:r w:rsidR="004C1B29">
        <w:t xml:space="preserve"> or “superstition” of any kind.</w:t>
      </w:r>
    </w:p>
    <w:p w14:paraId="4AD319CF" w14:textId="31374EA3" w:rsidR="004C1B29" w:rsidRDefault="004C1B29" w:rsidP="00AD23D0">
      <w:pPr>
        <w:spacing w:line="360" w:lineRule="auto"/>
        <w:jc w:val="both"/>
      </w:pPr>
      <w:r>
        <w:tab/>
      </w:r>
      <w:r w:rsidR="00566AC9" w:rsidRPr="00585E6A">
        <w:t>Finally, t</w:t>
      </w:r>
      <w:r w:rsidRPr="00585E6A">
        <w:t xml:space="preserve">wo further questions may also be briefly </w:t>
      </w:r>
      <w:r w:rsidR="00566AC9" w:rsidRPr="00585E6A">
        <w:t>considered</w:t>
      </w:r>
      <w:r w:rsidRPr="00585E6A">
        <w:t>.</w:t>
      </w:r>
      <w:r w:rsidR="00184BB4" w:rsidRPr="00585E6A">
        <w:t xml:space="preserve"> The first is how does Hume’s </w:t>
      </w:r>
      <w:r w:rsidR="00184BB4" w:rsidRPr="00585E6A">
        <w:rPr>
          <w:i/>
          <w:iCs/>
        </w:rPr>
        <w:t>Dialogues</w:t>
      </w:r>
      <w:r w:rsidR="00184BB4" w:rsidRPr="00585E6A">
        <w:t xml:space="preserve"> relate to his other writings and are his other writings</w:t>
      </w:r>
      <w:r w:rsidR="00184BB4">
        <w:t xml:space="preserve"> of any relevance when interpreting the </w:t>
      </w:r>
      <w:r w:rsidR="00184BB4" w:rsidRPr="00184BB4">
        <w:rPr>
          <w:i/>
          <w:iCs/>
        </w:rPr>
        <w:t>Dialogues</w:t>
      </w:r>
      <w:r w:rsidR="00184BB4">
        <w:t xml:space="preserve">? It is evident that Hume’s concerns in the </w:t>
      </w:r>
      <w:r w:rsidR="00184BB4" w:rsidRPr="00B67002">
        <w:rPr>
          <w:i/>
          <w:iCs/>
        </w:rPr>
        <w:t>Dialogues</w:t>
      </w:r>
      <w:r w:rsidR="00184BB4">
        <w:t xml:space="preserve"> are intimately linked with his other writings, since many of the arguments in the </w:t>
      </w:r>
      <w:r w:rsidR="00184BB4" w:rsidRPr="00B67002">
        <w:rPr>
          <w:i/>
          <w:iCs/>
        </w:rPr>
        <w:t>Dialogues</w:t>
      </w:r>
      <w:r w:rsidR="00184BB4">
        <w:t xml:space="preserve"> are drawn from or elaborate upon arguments presented in his earlier works. </w:t>
      </w:r>
      <w:r w:rsidR="00566AC9">
        <w:t>T</w:t>
      </w:r>
      <w:r w:rsidR="00B67002" w:rsidRPr="00B67002">
        <w:t>his is</w:t>
      </w:r>
      <w:r w:rsidR="00566AC9">
        <w:t>, perhaps,</w:t>
      </w:r>
      <w:r w:rsidR="00B67002" w:rsidRPr="00B67002">
        <w:t xml:space="preserve"> most apparent in </w:t>
      </w:r>
      <w:r w:rsidR="00763ECA">
        <w:t>the discussions</w:t>
      </w:r>
      <w:r w:rsidR="00B67002">
        <w:t xml:space="preserve"> presented in EU, </w:t>
      </w:r>
      <w:r w:rsidR="0096435E">
        <w:t>10</w:t>
      </w:r>
      <w:r w:rsidR="00B67002">
        <w:t xml:space="preserve"> and </w:t>
      </w:r>
      <w:r w:rsidR="0096435E">
        <w:t>11</w:t>
      </w:r>
      <w:r w:rsidR="00B67002">
        <w:t xml:space="preserve">, as well as in his </w:t>
      </w:r>
      <w:r w:rsidR="00B67002" w:rsidRPr="00B67002">
        <w:rPr>
          <w:i/>
          <w:iCs/>
        </w:rPr>
        <w:t>Natural History of Religion</w:t>
      </w:r>
      <w:r w:rsidR="00B67002">
        <w:t xml:space="preserve">. </w:t>
      </w:r>
      <w:r w:rsidR="00CB4FDD">
        <w:t xml:space="preserve">About this there is little disagreement among </w:t>
      </w:r>
      <w:r w:rsidR="00763ECA">
        <w:t>Hume scholars.</w:t>
      </w:r>
      <w:r w:rsidR="00566AC9">
        <w:t xml:space="preserve"> </w:t>
      </w:r>
      <w:r w:rsidR="00CB4FDD">
        <w:t>There remain</w:t>
      </w:r>
      <w:r w:rsidR="00763ECA">
        <w:t>, nevertheless,</w:t>
      </w:r>
      <w:r w:rsidR="00B67002">
        <w:t xml:space="preserve"> some matters </w:t>
      </w:r>
      <w:r w:rsidR="00763ECA">
        <w:t>of</w:t>
      </w:r>
      <w:r w:rsidR="00CB4FDD">
        <w:t xml:space="preserve"> significant </w:t>
      </w:r>
      <w:r w:rsidR="00763ECA">
        <w:t xml:space="preserve">- if not fundamental - </w:t>
      </w:r>
      <w:r w:rsidR="00CB4FDD">
        <w:t>disagreement</w:t>
      </w:r>
      <w:r w:rsidR="00B67002">
        <w:t xml:space="preserve">. Briefly stated, there are two quite different understandings of how Hume’s interest in religion emerges and develops in his philosophy considered as a whole. </w:t>
      </w:r>
      <w:r w:rsidR="00566AC9">
        <w:t>The</w:t>
      </w:r>
      <w:r w:rsidR="00B67002">
        <w:t xml:space="preserve"> first </w:t>
      </w:r>
      <w:r w:rsidR="00566AC9">
        <w:t xml:space="preserve">view, which was dominant until recently, is that Hume’s </w:t>
      </w:r>
      <w:r w:rsidR="00566AC9" w:rsidRPr="00566AC9">
        <w:rPr>
          <w:i/>
          <w:iCs/>
        </w:rPr>
        <w:t>Treatise</w:t>
      </w:r>
      <w:r w:rsidR="00566AC9">
        <w:t xml:space="preserve"> has</w:t>
      </w:r>
      <w:r w:rsidR="00B67002">
        <w:t xml:space="preserve"> little or nothing to say about religion.</w:t>
      </w:r>
      <w:r w:rsidR="00B67002">
        <w:rPr>
          <w:rStyle w:val="FootnoteReference"/>
        </w:rPr>
        <w:footnoteReference w:id="12"/>
      </w:r>
      <w:r w:rsidR="00CB4FDD">
        <w:t xml:space="preserve"> What brief remarks </w:t>
      </w:r>
      <w:r w:rsidR="00763ECA">
        <w:t>Hum</w:t>
      </w:r>
      <w:r w:rsidR="00CB4FDD">
        <w:t xml:space="preserve">e did have on this subject, it was argued, had been removed (i.e. “castrated”) from the </w:t>
      </w:r>
      <w:r w:rsidR="00CB4FDD" w:rsidRPr="00CB4FDD">
        <w:rPr>
          <w:i/>
          <w:iCs/>
        </w:rPr>
        <w:t>Treatise</w:t>
      </w:r>
      <w:r w:rsidR="00CB4FDD">
        <w:t xml:space="preserve"> and only later inserted into the works that followed.</w:t>
      </w:r>
      <w:r w:rsidR="00763ECA">
        <w:rPr>
          <w:rStyle w:val="FootnoteReference"/>
        </w:rPr>
        <w:footnoteReference w:id="13"/>
      </w:r>
      <w:r w:rsidR="00CB4FDD">
        <w:t xml:space="preserve">  </w:t>
      </w:r>
      <w:r w:rsidR="00763ECA">
        <w:t>In opposition to this account, the alternative view</w:t>
      </w:r>
      <w:r w:rsidR="00566AC9">
        <w:t>,</w:t>
      </w:r>
      <w:r w:rsidR="00763ECA">
        <w:t xml:space="preserve"> </w:t>
      </w:r>
      <w:r w:rsidR="00566AC9">
        <w:t>which is</w:t>
      </w:r>
      <w:r w:rsidR="00763ECA">
        <w:t xml:space="preserve"> increasingly accepted</w:t>
      </w:r>
      <w:r w:rsidR="00566AC9">
        <w:t xml:space="preserve">, is </w:t>
      </w:r>
      <w:r w:rsidR="00763ECA">
        <w:t xml:space="preserve">that the </w:t>
      </w:r>
      <w:r w:rsidR="00763ECA" w:rsidRPr="00763ECA">
        <w:rPr>
          <w:i/>
          <w:iCs/>
        </w:rPr>
        <w:t>Treatise</w:t>
      </w:r>
      <w:r w:rsidR="00763ECA">
        <w:t xml:space="preserve"> is deeply and systematically concerned with matters and problems of religion - as was obvious to Hume’s own contemporaries.</w:t>
      </w:r>
      <w:r w:rsidR="00763ECA">
        <w:rPr>
          <w:rStyle w:val="FootnoteReference"/>
        </w:rPr>
        <w:footnoteReference w:id="14"/>
      </w:r>
      <w:r w:rsidR="00763ECA">
        <w:t xml:space="preserve">  </w:t>
      </w:r>
      <w:r w:rsidR="008E0A5D">
        <w:t>According to th</w:t>
      </w:r>
      <w:r w:rsidR="00566AC9">
        <w:t>is</w:t>
      </w:r>
      <w:r w:rsidR="008E0A5D">
        <w:t xml:space="preserve"> </w:t>
      </w:r>
      <w:r w:rsidR="00566AC9">
        <w:t>“</w:t>
      </w:r>
      <w:r w:rsidR="008E0A5D">
        <w:t>irreligious</w:t>
      </w:r>
      <w:r w:rsidR="00566AC9">
        <w:t>”</w:t>
      </w:r>
      <w:r w:rsidR="008E0A5D">
        <w:t xml:space="preserve"> interpretation, Hume’s </w:t>
      </w:r>
      <w:r w:rsidR="008E0A5D" w:rsidRPr="001111D7">
        <w:rPr>
          <w:i/>
          <w:iCs/>
        </w:rPr>
        <w:lastRenderedPageBreak/>
        <w:t>Treatise</w:t>
      </w:r>
      <w:r w:rsidR="008E0A5D">
        <w:t xml:space="preserve"> lays the foundation for much of Hume’s subsequent philosophical trajectory in his later works. </w:t>
      </w:r>
      <w:r w:rsidR="00585E6A">
        <w:t>T</w:t>
      </w:r>
      <w:r w:rsidR="008E0A5D">
        <w:t>here is</w:t>
      </w:r>
      <w:r w:rsidR="00585E6A">
        <w:t>, on this view,</w:t>
      </w:r>
      <w:r w:rsidR="008E0A5D">
        <w:t xml:space="preserve"> no radical discontinuity between the </w:t>
      </w:r>
      <w:r w:rsidR="004D6460" w:rsidRPr="004D6460">
        <w:rPr>
          <w:i/>
          <w:iCs/>
        </w:rPr>
        <w:t>T</w:t>
      </w:r>
      <w:r w:rsidR="008E0A5D" w:rsidRPr="004D6460">
        <w:rPr>
          <w:i/>
          <w:iCs/>
        </w:rPr>
        <w:t>reatise</w:t>
      </w:r>
      <w:r w:rsidR="008E0A5D">
        <w:t xml:space="preserve"> and Hume’s later writings in respect of his irreligious concerns and objectives.</w:t>
      </w:r>
      <w:r w:rsidR="00164A6A">
        <w:t xml:space="preserve"> On the contrary, Hume’s concerns with problems of religion </w:t>
      </w:r>
      <w:r w:rsidR="00164A6A" w:rsidRPr="00164A6A">
        <w:rPr>
          <w:i/>
          <w:iCs/>
        </w:rPr>
        <w:t>begin</w:t>
      </w:r>
      <w:r w:rsidR="00164A6A">
        <w:t xml:space="preserve"> with the </w:t>
      </w:r>
      <w:r w:rsidR="00164A6A" w:rsidRPr="00164A6A">
        <w:rPr>
          <w:i/>
          <w:iCs/>
        </w:rPr>
        <w:t>Treatise</w:t>
      </w:r>
      <w:r w:rsidR="00164A6A">
        <w:t xml:space="preserve"> and carry on through his entire philosophy, running from the </w:t>
      </w:r>
      <w:r w:rsidR="00164A6A" w:rsidRPr="00164A6A">
        <w:rPr>
          <w:i/>
          <w:iCs/>
        </w:rPr>
        <w:t>Enquiries</w:t>
      </w:r>
      <w:r w:rsidR="00164A6A">
        <w:t xml:space="preserve"> to the </w:t>
      </w:r>
      <w:r w:rsidR="00164A6A" w:rsidRPr="00164A6A">
        <w:rPr>
          <w:i/>
          <w:iCs/>
        </w:rPr>
        <w:t>Natural History of Religion</w:t>
      </w:r>
      <w:r w:rsidR="00164A6A">
        <w:t xml:space="preserve">, and finishing with the (posthumously published) </w:t>
      </w:r>
      <w:r w:rsidR="00164A6A" w:rsidRPr="00164A6A">
        <w:rPr>
          <w:i/>
          <w:iCs/>
        </w:rPr>
        <w:t>Dialogues</w:t>
      </w:r>
      <w:r w:rsidR="00164A6A">
        <w:t>.</w:t>
      </w:r>
    </w:p>
    <w:p w14:paraId="6B00A637" w14:textId="16B8D3DF" w:rsidR="000A4A0C" w:rsidRDefault="00364F9D" w:rsidP="008E545C">
      <w:pPr>
        <w:spacing w:line="360" w:lineRule="auto"/>
        <w:jc w:val="both"/>
      </w:pPr>
      <w:r>
        <w:tab/>
      </w:r>
      <w:r w:rsidRPr="00585E6A">
        <w:t>The second question</w:t>
      </w:r>
      <w:r w:rsidR="00FB76B0">
        <w:t>, which</w:t>
      </w:r>
      <w:r w:rsidRPr="00585E6A">
        <w:t xml:space="preserve"> is closely related to the first</w:t>
      </w:r>
      <w:r w:rsidR="00FB76B0">
        <w:t>,</w:t>
      </w:r>
      <w:r w:rsidR="00566AC9" w:rsidRPr="00585E6A">
        <w:t xml:space="preserve"> concerns</w:t>
      </w:r>
      <w:r w:rsidRPr="00585E6A">
        <w:t xml:space="preserve"> the relevant background historical context in which these arguments and debates should be understood? </w:t>
      </w:r>
      <w:r w:rsidR="001111D7" w:rsidRPr="00585E6A">
        <w:t>The relevant background debate concerning the existence of God and related religious doctrines</w:t>
      </w:r>
      <w:r w:rsidR="001111D7">
        <w:t xml:space="preserve"> (e.g. immortality of the soul and a future state) could be described as the “main debate” among </w:t>
      </w:r>
      <w:r w:rsidR="00636049">
        <w:t>17</w:t>
      </w:r>
      <w:r w:rsidR="00636049" w:rsidRPr="00636049">
        <w:rPr>
          <w:vertAlign w:val="superscript"/>
        </w:rPr>
        <w:t>th</w:t>
      </w:r>
      <w:r w:rsidR="00636049">
        <w:t xml:space="preserve"> and 18</w:t>
      </w:r>
      <w:r w:rsidR="00636049" w:rsidRPr="00636049">
        <w:rPr>
          <w:vertAlign w:val="superscript"/>
        </w:rPr>
        <w:t>th</w:t>
      </w:r>
      <w:r w:rsidR="00636049">
        <w:t xml:space="preserve"> century philosophers. That debate centred heavily around the “atheistic” philosophies of Hobbes and Spinoza, and the various responses that </w:t>
      </w:r>
      <w:r w:rsidR="004D6460">
        <w:t>this generated</w:t>
      </w:r>
      <w:r w:rsidR="00636049">
        <w:t xml:space="preserve">. </w:t>
      </w:r>
      <w:r w:rsidR="004D6460">
        <w:t>Until recently</w:t>
      </w:r>
      <w:r w:rsidR="00636049">
        <w:t xml:space="preserve"> the significance of Hobbes and Spinoza for Hume’s philosophy was largely overlooked or ignored</w:t>
      </w:r>
      <w:r w:rsidR="007064AE">
        <w:t xml:space="preserve"> (as per the orthodox </w:t>
      </w:r>
      <w:r w:rsidR="00015060">
        <w:t xml:space="preserve">or </w:t>
      </w:r>
      <w:r w:rsidR="007064AE">
        <w:t>established interpretation</w:t>
      </w:r>
      <w:r w:rsidR="00015060">
        <w:t xml:space="preserve"> of Hume belonging to the “British Empiricist” tradition</w:t>
      </w:r>
      <w:r w:rsidR="007064AE">
        <w:t>)</w:t>
      </w:r>
      <w:r w:rsidR="00636049">
        <w:t>.</w:t>
      </w:r>
      <w:r w:rsidR="00636049">
        <w:rPr>
          <w:rStyle w:val="FootnoteReference"/>
        </w:rPr>
        <w:footnoteReference w:id="15"/>
      </w:r>
      <w:r w:rsidR="00636049">
        <w:t xml:space="preserve">  </w:t>
      </w:r>
      <w:r w:rsidR="007064AE">
        <w:t xml:space="preserve">This includes their relevance for Hume’s philosophy of religion and for his </w:t>
      </w:r>
      <w:r w:rsidR="007064AE" w:rsidRPr="007064AE">
        <w:rPr>
          <w:i/>
          <w:iCs/>
        </w:rPr>
        <w:t>Dialogues</w:t>
      </w:r>
      <w:r w:rsidR="007064AE">
        <w:t xml:space="preserve"> in particular.</w:t>
      </w:r>
      <w:r w:rsidR="007064AE">
        <w:rPr>
          <w:rStyle w:val="FootnoteReference"/>
        </w:rPr>
        <w:footnoteReference w:id="16"/>
      </w:r>
      <w:r w:rsidR="007064AE">
        <w:t xml:space="preserve"> This situation has changed substantially over the past decade or so. As noted, the irreligious interpretation emphasizes the importance of both Hobbes and Spinoza, not only for Hume’s philosophy in the </w:t>
      </w:r>
      <w:r w:rsidR="007064AE" w:rsidRPr="007064AE">
        <w:rPr>
          <w:i/>
          <w:iCs/>
        </w:rPr>
        <w:t>Treatise</w:t>
      </w:r>
      <w:r w:rsidR="007064AE">
        <w:t xml:space="preserve">, but for his philosophy as a whole, including the </w:t>
      </w:r>
      <w:r w:rsidR="007064AE" w:rsidRPr="007064AE">
        <w:rPr>
          <w:i/>
          <w:iCs/>
        </w:rPr>
        <w:t>Dialogues</w:t>
      </w:r>
      <w:r w:rsidR="007064AE">
        <w:t>.</w:t>
      </w:r>
      <w:r w:rsidR="008E545C">
        <w:t xml:space="preserve"> A number of recent studies have emphasized this aspect of Hume’s philosophy of religion, particularly as it concerns the </w:t>
      </w:r>
      <w:r w:rsidR="008E545C" w:rsidRPr="00D00D3F">
        <w:rPr>
          <w:i/>
          <w:iCs/>
        </w:rPr>
        <w:t>Dialogues</w:t>
      </w:r>
      <w:r w:rsidR="008E545C">
        <w:t>.</w:t>
      </w:r>
      <w:r w:rsidR="00D00D3F">
        <w:rPr>
          <w:rStyle w:val="FootnoteReference"/>
        </w:rPr>
        <w:footnoteReference w:id="17"/>
      </w:r>
      <w:r w:rsidR="007064AE">
        <w:t xml:space="preserve"> </w:t>
      </w:r>
      <w:r w:rsidR="008E545C">
        <w:t xml:space="preserve">Although these studies vary in detail and in emphasis, </w:t>
      </w:r>
      <w:r w:rsidR="008E545C">
        <w:lastRenderedPageBreak/>
        <w:t xml:space="preserve">they are all broadly consistent with the irreligious interpretation of Hume’s philosophy, at least as it concerns the </w:t>
      </w:r>
      <w:r w:rsidR="008E545C" w:rsidRPr="008E545C">
        <w:rPr>
          <w:i/>
          <w:iCs/>
        </w:rPr>
        <w:t>Dialogues</w:t>
      </w:r>
      <w:r w:rsidR="004D6460">
        <w:t xml:space="preserve">, </w:t>
      </w:r>
      <w:r w:rsidR="008E545C">
        <w:t>and accept that Hobbes, Spinoza, and the atheistic tradition lie at the heart of much of Hume’s thought on this subject.</w:t>
      </w:r>
    </w:p>
    <w:p w14:paraId="7AD598A0" w14:textId="77777777" w:rsidR="008F368C" w:rsidRDefault="008F368C" w:rsidP="008E545C">
      <w:pPr>
        <w:spacing w:line="360" w:lineRule="auto"/>
        <w:jc w:val="both"/>
      </w:pPr>
    </w:p>
    <w:p w14:paraId="5CEBB12E" w14:textId="5E36D170" w:rsidR="008E545C" w:rsidRPr="004A59F4" w:rsidRDefault="008E545C" w:rsidP="008E545C">
      <w:pPr>
        <w:spacing w:line="360" w:lineRule="auto"/>
        <w:jc w:val="center"/>
      </w:pPr>
      <w:r>
        <w:t>***</w:t>
      </w:r>
      <w:r w:rsidR="002251C1">
        <w:t>*</w:t>
      </w:r>
    </w:p>
    <w:p w14:paraId="7008889B" w14:textId="77777777" w:rsidR="000C338D" w:rsidRDefault="0020049E" w:rsidP="000C338D">
      <w:pPr>
        <w:spacing w:line="360" w:lineRule="auto"/>
        <w:jc w:val="both"/>
      </w:pPr>
      <w:r>
        <w:tab/>
      </w:r>
      <w:r w:rsidR="000C338D">
        <w:t xml:space="preserve">The papers in this collection do not require any summary account. The authors and titles speak well for themselves. However, a brief overview of the structure of this collection may be of some help for the reader. This collection is divided into two Parts. </w:t>
      </w:r>
      <w:r w:rsidR="000C338D" w:rsidRPr="007C48DE">
        <w:t xml:space="preserve">Part One is focused on the </w:t>
      </w:r>
      <w:r w:rsidR="000C338D" w:rsidRPr="007C48DE">
        <w:rPr>
          <w:i/>
          <w:iCs/>
        </w:rPr>
        <w:t>Dialogues</w:t>
      </w:r>
      <w:r w:rsidR="000C338D">
        <w:t xml:space="preserve"> </w:t>
      </w:r>
      <w:r w:rsidR="000C338D" w:rsidRPr="007C48DE">
        <w:t>and</w:t>
      </w:r>
      <w:r w:rsidR="000C338D">
        <w:t>, consistent with the text,</w:t>
      </w:r>
      <w:r w:rsidR="000C338D" w:rsidRPr="007C48DE">
        <w:t xml:space="preserve"> </w:t>
      </w:r>
      <w:r w:rsidR="000C338D">
        <w:t>pay</w:t>
      </w:r>
      <w:r w:rsidR="000C338D" w:rsidRPr="007C48DE">
        <w:t xml:space="preserve">s particular attention to the design argument. The contributions by Daniel O’Brien, Graham Oppy, and Thomas Holden address various aspects of Hume’s critique of the design argument. The two essays that follow both consider Hume’s arguments in the </w:t>
      </w:r>
      <w:r w:rsidR="000C338D" w:rsidRPr="007C48DE">
        <w:rPr>
          <w:i/>
          <w:iCs/>
        </w:rPr>
        <w:t>Dialogues</w:t>
      </w:r>
      <w:r w:rsidR="000C338D" w:rsidRPr="007C48DE">
        <w:t xml:space="preserve"> in relation to two other thinkers of historical significance. Kelly Clark considers Hume’s philosophy of religion in relation to Thomas Reid (one of Hume’s most eminent critics among his own contemporaries and a significant philosopher in his own right), while John Beatty considers in what way Charles Darwin was influenced by his reading of Hume’s </w:t>
      </w:r>
      <w:r w:rsidR="000C338D" w:rsidRPr="007C48DE">
        <w:rPr>
          <w:i/>
          <w:iCs/>
        </w:rPr>
        <w:t>Dialogues</w:t>
      </w:r>
      <w:r w:rsidR="000C338D" w:rsidRPr="007C48DE">
        <w:t>.</w:t>
      </w:r>
      <w:r w:rsidR="000C338D">
        <w:t xml:space="preserve"> The next contribution, by Angela Coventry, takes up Hume’s critique of the cosmological argument in D, 9. Following it, Robin Le </w:t>
      </w:r>
      <w:proofErr w:type="spellStart"/>
      <w:r w:rsidR="000C338D">
        <w:t>Poidevin</w:t>
      </w:r>
      <w:proofErr w:type="spellEnd"/>
      <w:r w:rsidR="000C338D">
        <w:t xml:space="preserve"> offers an analysis of Hume’s discussion of the problem of evil as found in D, 10 and 11. The last three essays in Part One are all concerned, in different ways, with a range of issues, rather than any of the specific arguments that we have described. Kevin Meeker examines the relationship between sceptical attitudes and religious belief in the </w:t>
      </w:r>
      <w:r w:rsidR="000C338D" w:rsidRPr="00C47CF5">
        <w:rPr>
          <w:i/>
          <w:iCs/>
        </w:rPr>
        <w:t>Dialogues</w:t>
      </w:r>
      <w:r w:rsidR="000C338D">
        <w:t xml:space="preserve">. After that, Andre Willis offers an interpretation of Hume’s </w:t>
      </w:r>
      <w:r w:rsidR="000C338D" w:rsidRPr="00C47CF5">
        <w:rPr>
          <w:i/>
          <w:iCs/>
        </w:rPr>
        <w:t xml:space="preserve">Dialogues </w:t>
      </w:r>
      <w:r w:rsidR="000C338D">
        <w:t xml:space="preserve">as viewed via the </w:t>
      </w:r>
      <w:r w:rsidR="000C338D">
        <w:lastRenderedPageBreak/>
        <w:t xml:space="preserve">lens of literary theory. </w:t>
      </w:r>
      <w:r w:rsidR="000C338D" w:rsidRPr="005B6384">
        <w:t xml:space="preserve">In the last contribution of Part One Paul Russell considers the question of “atheism” as it arises in Hume’s </w:t>
      </w:r>
      <w:r w:rsidR="000C338D" w:rsidRPr="005B6384">
        <w:rPr>
          <w:i/>
          <w:iCs/>
        </w:rPr>
        <w:t>Dialogues</w:t>
      </w:r>
      <w:r w:rsidR="000C338D" w:rsidRPr="005B6384">
        <w:t xml:space="preserve">. </w:t>
      </w:r>
    </w:p>
    <w:p w14:paraId="126D8C7C" w14:textId="5B62A66B" w:rsidR="000C338D" w:rsidRDefault="000C338D" w:rsidP="000C338D">
      <w:pPr>
        <w:spacing w:line="360" w:lineRule="auto"/>
        <w:jc w:val="both"/>
      </w:pPr>
      <w:r>
        <w:tab/>
        <w:t xml:space="preserve">Part Two of this collection is composed of four additional essays that delve into Hume’s other writings on religion. The works primarily concerned here are: the first </w:t>
      </w:r>
      <w:r w:rsidRPr="004C03F4">
        <w:rPr>
          <w:i/>
          <w:iCs/>
        </w:rPr>
        <w:t>Enquiry</w:t>
      </w:r>
      <w:r>
        <w:t xml:space="preserve"> (1748), the </w:t>
      </w:r>
      <w:r w:rsidRPr="004C03F4">
        <w:rPr>
          <w:i/>
          <w:iCs/>
        </w:rPr>
        <w:t>Natural History of Religion</w:t>
      </w:r>
      <w:r>
        <w:t xml:space="preserve"> (1757); and Hume’s two “suppressed” essays on suicide and the immortality of the soul. Jennifer </w:t>
      </w:r>
      <w:proofErr w:type="spellStart"/>
      <w:r w:rsidRPr="00EF3FF8">
        <w:rPr>
          <w:color w:val="000000"/>
        </w:rPr>
        <w:t>Maru</w:t>
      </w:r>
      <w:r>
        <w:rPr>
          <w:color w:val="000000"/>
        </w:rPr>
        <w:t>š</w:t>
      </w:r>
      <w:r w:rsidRPr="00EF3FF8">
        <w:rPr>
          <w:color w:val="000000"/>
        </w:rPr>
        <w:t>i</w:t>
      </w:r>
      <w:r>
        <w:rPr>
          <w:color w:val="000000"/>
        </w:rPr>
        <w:t>ć</w:t>
      </w:r>
      <w:proofErr w:type="spellEnd"/>
      <w:r>
        <w:t xml:space="preserve"> examines Hume’s discussion in EU, 11 which, she argues, is an attempt to sketch a method for natural theology and show the limits of what natural theology can establish. Following this, Peter </w:t>
      </w:r>
      <w:proofErr w:type="spellStart"/>
      <w:r>
        <w:t>Millican’s</w:t>
      </w:r>
      <w:proofErr w:type="spellEnd"/>
      <w:r>
        <w:t xml:space="preserve"> essay assesses the cogency of Hume’s famous argument against testimony for miracles (EU, 10). In his contribution </w:t>
      </w:r>
      <w:proofErr w:type="spellStart"/>
      <w:r>
        <w:t>Amyas</w:t>
      </w:r>
      <w:proofErr w:type="spellEnd"/>
      <w:r>
        <w:t xml:space="preserve"> Merivale considers Hume’s views in his </w:t>
      </w:r>
      <w:r w:rsidRPr="00B46672">
        <w:rPr>
          <w:i/>
          <w:iCs/>
        </w:rPr>
        <w:t>Natural History of Religion</w:t>
      </w:r>
      <w:r>
        <w:t xml:space="preserve"> and, in the final essay</w:t>
      </w:r>
      <w:r w:rsidR="008B7F08">
        <w:t>,</w:t>
      </w:r>
      <w:r w:rsidR="00FB76B0">
        <w:t xml:space="preserve"> </w:t>
      </w:r>
      <w:r>
        <w:t xml:space="preserve">Willem </w:t>
      </w:r>
      <w:proofErr w:type="spellStart"/>
      <w:r>
        <w:t>Lemmens</w:t>
      </w:r>
      <w:proofErr w:type="spellEnd"/>
      <w:r>
        <w:t xml:space="preserve"> reconstructs the argument of Hume’s two suppressed essays, on suicide and the immortality of the soul. </w:t>
      </w:r>
    </w:p>
    <w:p w14:paraId="129C092D" w14:textId="0FB3335D" w:rsidR="007036BB" w:rsidRPr="00EE2509" w:rsidRDefault="007036BB" w:rsidP="000C338D">
      <w:pPr>
        <w:spacing w:line="360" w:lineRule="auto"/>
        <w:jc w:val="both"/>
      </w:pPr>
    </w:p>
    <w:sectPr w:rsidR="007036BB" w:rsidRPr="00EE2509">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1D85" w14:textId="77777777" w:rsidR="00DF6A86" w:rsidRDefault="00DF6A86" w:rsidP="00DB1054">
      <w:r>
        <w:separator/>
      </w:r>
    </w:p>
  </w:endnote>
  <w:endnote w:type="continuationSeparator" w:id="0">
    <w:p w14:paraId="10553C0F" w14:textId="77777777" w:rsidR="00DF6A86" w:rsidRDefault="00DF6A86" w:rsidP="00DB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887435"/>
      <w:docPartObj>
        <w:docPartGallery w:val="Page Numbers (Bottom of Page)"/>
        <w:docPartUnique/>
      </w:docPartObj>
    </w:sdtPr>
    <w:sdtContent>
      <w:p w14:paraId="3A32B02D" w14:textId="46C0B3A5" w:rsidR="00164095" w:rsidRDefault="00164095" w:rsidP="00993F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FD673" w14:textId="77777777" w:rsidR="00164095" w:rsidRDefault="00164095" w:rsidP="001640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12094"/>
      <w:docPartObj>
        <w:docPartGallery w:val="Page Numbers (Bottom of Page)"/>
        <w:docPartUnique/>
      </w:docPartObj>
    </w:sdtPr>
    <w:sdtContent>
      <w:p w14:paraId="60B48D21" w14:textId="14C7E991" w:rsidR="00164095" w:rsidRDefault="00164095" w:rsidP="00993F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F0DF55" w14:textId="77777777" w:rsidR="00164095" w:rsidRDefault="00164095" w:rsidP="001640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94F6" w14:textId="77777777" w:rsidR="00DF6A86" w:rsidRDefault="00DF6A86" w:rsidP="00DB1054">
      <w:r>
        <w:separator/>
      </w:r>
    </w:p>
  </w:footnote>
  <w:footnote w:type="continuationSeparator" w:id="0">
    <w:p w14:paraId="2968921D" w14:textId="77777777" w:rsidR="00DF6A86" w:rsidRDefault="00DF6A86" w:rsidP="00DB1054">
      <w:r>
        <w:continuationSeparator/>
      </w:r>
    </w:p>
  </w:footnote>
  <w:footnote w:id="1">
    <w:p w14:paraId="4DD07199" w14:textId="49E352E8" w:rsidR="00536E6E" w:rsidRPr="00064ADE" w:rsidRDefault="00536E6E" w:rsidP="00064ADE">
      <w:pPr>
        <w:pStyle w:val="FootnoteText"/>
        <w:spacing w:line="360" w:lineRule="auto"/>
        <w:ind w:left="426" w:hanging="426"/>
        <w:jc w:val="both"/>
        <w:rPr>
          <w:sz w:val="24"/>
          <w:szCs w:val="24"/>
        </w:rPr>
      </w:pPr>
      <w:r w:rsidRPr="00064ADE">
        <w:rPr>
          <w:rStyle w:val="FootnoteReference"/>
          <w:sz w:val="24"/>
          <w:szCs w:val="24"/>
        </w:rPr>
        <w:footnoteRef/>
      </w:r>
      <w:r w:rsidRPr="00064ADE">
        <w:rPr>
          <w:sz w:val="24"/>
          <w:szCs w:val="24"/>
        </w:rPr>
        <w:t xml:space="preserve">  For a lively account of Smith’s refusal to publish the </w:t>
      </w:r>
      <w:r w:rsidRPr="00064ADE">
        <w:rPr>
          <w:i/>
          <w:iCs/>
          <w:sz w:val="24"/>
          <w:szCs w:val="24"/>
        </w:rPr>
        <w:t>Dialogues</w:t>
      </w:r>
      <w:r w:rsidRPr="00064ADE">
        <w:rPr>
          <w:sz w:val="24"/>
          <w:szCs w:val="24"/>
        </w:rPr>
        <w:t xml:space="preserve"> see Rasmussen, </w:t>
      </w:r>
      <w:r w:rsidRPr="00064ADE">
        <w:rPr>
          <w:i/>
          <w:iCs/>
          <w:sz w:val="24"/>
          <w:szCs w:val="24"/>
        </w:rPr>
        <w:t>The Infidel and the Professor</w:t>
      </w:r>
      <w:r w:rsidRPr="00064ADE">
        <w:rPr>
          <w:sz w:val="24"/>
          <w:szCs w:val="24"/>
        </w:rPr>
        <w:t>, Chap 10.</w:t>
      </w:r>
    </w:p>
  </w:footnote>
  <w:footnote w:id="2">
    <w:p w14:paraId="50A2DAF0" w14:textId="781CF6E9" w:rsidR="009B044E" w:rsidRPr="00064ADE" w:rsidRDefault="009B044E" w:rsidP="00064ADE">
      <w:pPr>
        <w:pStyle w:val="FootnoteText"/>
        <w:spacing w:line="360" w:lineRule="auto"/>
        <w:jc w:val="both"/>
        <w:rPr>
          <w:sz w:val="24"/>
          <w:szCs w:val="24"/>
        </w:rPr>
      </w:pPr>
      <w:r w:rsidRPr="00064ADE">
        <w:rPr>
          <w:rStyle w:val="FootnoteReference"/>
          <w:sz w:val="24"/>
          <w:szCs w:val="24"/>
        </w:rPr>
        <w:footnoteRef/>
      </w:r>
      <w:r w:rsidRPr="00064ADE">
        <w:rPr>
          <w:sz w:val="24"/>
          <w:szCs w:val="24"/>
        </w:rPr>
        <w:t xml:space="preserve">  </w:t>
      </w:r>
      <w:r w:rsidR="007036BB" w:rsidRPr="00064ADE">
        <w:rPr>
          <w:sz w:val="24"/>
          <w:szCs w:val="24"/>
        </w:rPr>
        <w:t xml:space="preserve">Hume, </w:t>
      </w:r>
      <w:r w:rsidRPr="00064ADE">
        <w:rPr>
          <w:sz w:val="24"/>
          <w:szCs w:val="24"/>
        </w:rPr>
        <w:t>LET, II, 323</w:t>
      </w:r>
      <w:r w:rsidR="0081729B" w:rsidRPr="00064ADE">
        <w:rPr>
          <w:sz w:val="24"/>
          <w:szCs w:val="24"/>
        </w:rPr>
        <w:t xml:space="preserve">/ </w:t>
      </w:r>
      <w:r w:rsidRPr="00064ADE">
        <w:rPr>
          <w:sz w:val="24"/>
          <w:szCs w:val="24"/>
        </w:rPr>
        <w:t>#525.</w:t>
      </w:r>
      <w:r w:rsidR="00AF73E4" w:rsidRPr="00064ADE">
        <w:rPr>
          <w:sz w:val="24"/>
          <w:szCs w:val="24"/>
        </w:rPr>
        <w:t xml:space="preserve"> (Dated June 8, 1776.)</w:t>
      </w:r>
    </w:p>
  </w:footnote>
  <w:footnote w:id="3">
    <w:p w14:paraId="43574877" w14:textId="33E5588B" w:rsidR="006D432B" w:rsidRPr="00064ADE" w:rsidRDefault="006D432B" w:rsidP="00064ADE">
      <w:pPr>
        <w:pStyle w:val="NoSpacing"/>
        <w:spacing w:line="360" w:lineRule="auto"/>
        <w:ind w:left="284" w:hanging="284"/>
        <w:jc w:val="both"/>
        <w:rPr>
          <w:kern w:val="0"/>
          <w:lang w:val="en-GB"/>
        </w:rPr>
      </w:pPr>
      <w:r w:rsidRPr="00064ADE">
        <w:rPr>
          <w:rStyle w:val="FootnoteReference"/>
        </w:rPr>
        <w:footnoteRef/>
      </w:r>
      <w:r w:rsidRPr="00064ADE">
        <w:t xml:space="preserve">  For an illuminating account of the background debate that Hume was engaged in see </w:t>
      </w:r>
      <w:proofErr w:type="spellStart"/>
      <w:r w:rsidRPr="00064ADE">
        <w:t>Hurlbutt</w:t>
      </w:r>
      <w:proofErr w:type="spellEnd"/>
      <w:r w:rsidRPr="00064ADE">
        <w:t xml:space="preserve">, </w:t>
      </w:r>
      <w:r w:rsidRPr="00064ADE">
        <w:rPr>
          <w:i/>
          <w:iCs/>
        </w:rPr>
        <w:t xml:space="preserve">Hume, </w:t>
      </w:r>
      <w:proofErr w:type="spellStart"/>
      <w:r w:rsidRPr="00064ADE">
        <w:rPr>
          <w:i/>
          <w:iCs/>
        </w:rPr>
        <w:t>Netwon</w:t>
      </w:r>
      <w:proofErr w:type="spellEnd"/>
      <w:r w:rsidRPr="00064ADE">
        <w:rPr>
          <w:i/>
          <w:iCs/>
        </w:rPr>
        <w:t xml:space="preserve"> &amp; the Design Argument</w:t>
      </w:r>
      <w:r w:rsidRPr="00064ADE">
        <w:t xml:space="preserve">, esp. </w:t>
      </w:r>
      <w:proofErr w:type="spellStart"/>
      <w:r w:rsidRPr="00064ADE">
        <w:t>Chps</w:t>
      </w:r>
      <w:proofErr w:type="spellEnd"/>
      <w:r w:rsidRPr="00064ADE">
        <w:t>. 2 and 3</w:t>
      </w:r>
      <w:r w:rsidR="00993EEF" w:rsidRPr="00064ADE">
        <w:rPr>
          <w:kern w:val="0"/>
          <w:lang w:val="en-GB"/>
        </w:rPr>
        <w:t>.</w:t>
      </w:r>
    </w:p>
  </w:footnote>
  <w:footnote w:id="4">
    <w:p w14:paraId="68817BEA" w14:textId="5EABE331" w:rsidR="004703B7" w:rsidRDefault="004703B7" w:rsidP="004703B7">
      <w:pPr>
        <w:pStyle w:val="NoSpacing"/>
        <w:spacing w:line="360" w:lineRule="auto"/>
        <w:ind w:left="284" w:hanging="284"/>
        <w:jc w:val="both"/>
      </w:pPr>
      <w:r>
        <w:rPr>
          <w:rStyle w:val="FootnoteReference"/>
        </w:rPr>
        <w:footnoteRef/>
      </w:r>
      <w:r>
        <w:t xml:space="preserve">  </w:t>
      </w:r>
      <w:r w:rsidR="002F0119">
        <w:t xml:space="preserve"> Many of the most i</w:t>
      </w:r>
      <w:r>
        <w:t xml:space="preserve">mportant statements of the design argument that Hume </w:t>
      </w:r>
      <w:r w:rsidR="002F0119">
        <w:t>was</w:t>
      </w:r>
      <w:r>
        <w:t xml:space="preserve"> </w:t>
      </w:r>
      <w:r w:rsidR="002F0119">
        <w:t xml:space="preserve">responding to came from </w:t>
      </w:r>
      <w:r>
        <w:t xml:space="preserve">figures who were closely associated with latitudinarian and “Newtonian” </w:t>
      </w:r>
      <w:r w:rsidR="00262B98">
        <w:t xml:space="preserve">theology and </w:t>
      </w:r>
      <w:r>
        <w:t xml:space="preserve">science </w:t>
      </w:r>
      <w:r w:rsidR="002F0119">
        <w:t xml:space="preserve">(e.g., </w:t>
      </w:r>
      <w:r w:rsidR="002F0119" w:rsidRPr="00220F23">
        <w:t>Henry More, Ralph Cudworth</w:t>
      </w:r>
      <w:r w:rsidR="002F0119">
        <w:t>,</w:t>
      </w:r>
      <w:r w:rsidR="002F0119" w:rsidRPr="00220F23">
        <w:t xml:space="preserve"> John Ray, Richard Bentley, George Cheyne, William </w:t>
      </w:r>
      <w:proofErr w:type="spellStart"/>
      <w:r w:rsidR="002F0119" w:rsidRPr="00220F23">
        <w:t>Derham</w:t>
      </w:r>
      <w:proofErr w:type="spellEnd"/>
      <w:r w:rsidR="002F0119" w:rsidRPr="00220F23">
        <w:t>, and Colin Maclaurin</w:t>
      </w:r>
      <w:r w:rsidR="002F0119">
        <w:t>)</w:t>
      </w:r>
      <w:r w:rsidR="002F0119" w:rsidRPr="00220F23">
        <w:t xml:space="preserve">. The fundamental task that they all shared was to show that science </w:t>
      </w:r>
      <w:r w:rsidR="002F0119" w:rsidRPr="00220F23">
        <w:rPr>
          <w:i/>
          <w:iCs/>
        </w:rPr>
        <w:t>supported</w:t>
      </w:r>
      <w:r w:rsidR="002F0119" w:rsidRPr="00220F23">
        <w:t xml:space="preserve"> religion and was not antagonistic to its doctrines and assumptions.</w:t>
      </w:r>
    </w:p>
  </w:footnote>
  <w:footnote w:id="5">
    <w:p w14:paraId="4DE03201" w14:textId="16DAB75E" w:rsidR="00713BEF" w:rsidRPr="00064ADE" w:rsidRDefault="00713BEF" w:rsidP="00317D27">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w:t>
      </w:r>
      <w:r w:rsidR="009E24F7" w:rsidRPr="00064ADE">
        <w:rPr>
          <w:sz w:val="24"/>
          <w:szCs w:val="24"/>
        </w:rPr>
        <w:t>The</w:t>
      </w:r>
      <w:r w:rsidR="0074006D" w:rsidRPr="00064ADE">
        <w:rPr>
          <w:sz w:val="24"/>
          <w:szCs w:val="24"/>
        </w:rPr>
        <w:t xml:space="preserve"> most prominent and notable champions </w:t>
      </w:r>
      <w:r w:rsidR="009E24F7" w:rsidRPr="00064ADE">
        <w:rPr>
          <w:sz w:val="24"/>
          <w:szCs w:val="24"/>
        </w:rPr>
        <w:t xml:space="preserve">of the cosmological argument </w:t>
      </w:r>
      <w:r w:rsidR="0074006D" w:rsidRPr="00064ADE">
        <w:rPr>
          <w:sz w:val="24"/>
          <w:szCs w:val="24"/>
        </w:rPr>
        <w:t>were John Locke and Samuel Clarke – both of whom were hugely influential figures at this time</w:t>
      </w:r>
      <w:r w:rsidR="00116D52" w:rsidRPr="00064ADE">
        <w:rPr>
          <w:sz w:val="24"/>
          <w:szCs w:val="24"/>
        </w:rPr>
        <w:t>.</w:t>
      </w:r>
    </w:p>
  </w:footnote>
  <w:footnote w:id="6">
    <w:p w14:paraId="0C047FA4" w14:textId="01FC90D4" w:rsidR="004D0545" w:rsidRPr="00064ADE" w:rsidRDefault="004D0545" w:rsidP="00064ADE">
      <w:pPr>
        <w:pStyle w:val="NoSpacing"/>
        <w:spacing w:line="360" w:lineRule="auto"/>
        <w:ind w:left="284" w:hanging="284"/>
        <w:jc w:val="both"/>
      </w:pPr>
      <w:r w:rsidRPr="00064ADE">
        <w:rPr>
          <w:rStyle w:val="FootnoteReference"/>
        </w:rPr>
        <w:footnoteRef/>
      </w:r>
      <w:r w:rsidRPr="00064ADE">
        <w:t xml:space="preserve">  Hume had already employed the dialogue format </w:t>
      </w:r>
      <w:r w:rsidR="0036442D" w:rsidRPr="00064ADE">
        <w:t>i</w:t>
      </w:r>
      <w:r w:rsidRPr="00064ADE">
        <w:t xml:space="preserve">n the first </w:t>
      </w:r>
      <w:r w:rsidRPr="00064ADE">
        <w:rPr>
          <w:i/>
          <w:iCs/>
        </w:rPr>
        <w:t>Enquiry,</w:t>
      </w:r>
      <w:r w:rsidRPr="00064ADE">
        <w:t xml:space="preserve"> where the topic of the credibility and value of religion is considered, with particular reference to the design argument and the doctrine of a future state (EU, 11.6-30/ 134-48).</w:t>
      </w:r>
    </w:p>
  </w:footnote>
  <w:footnote w:id="7">
    <w:p w14:paraId="069A26F4" w14:textId="74E40E15" w:rsidR="005A1A68" w:rsidRPr="00064ADE" w:rsidRDefault="005A1A68"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w:t>
      </w:r>
      <w:proofErr w:type="gramStart"/>
      <w:r w:rsidRPr="00064ADE">
        <w:rPr>
          <w:sz w:val="24"/>
          <w:szCs w:val="24"/>
        </w:rPr>
        <w:t>Thus</w:t>
      </w:r>
      <w:proofErr w:type="gramEnd"/>
      <w:r w:rsidRPr="00064ADE">
        <w:rPr>
          <w:sz w:val="24"/>
          <w:szCs w:val="24"/>
        </w:rPr>
        <w:t xml:space="preserve"> Kemp Smith says: “Many of the main features in the outward structure of the </w:t>
      </w:r>
      <w:r w:rsidRPr="00064ADE">
        <w:rPr>
          <w:i/>
          <w:iCs/>
          <w:sz w:val="24"/>
          <w:szCs w:val="24"/>
        </w:rPr>
        <w:t xml:space="preserve">Dialogues </w:t>
      </w:r>
      <w:r w:rsidRPr="00064ADE">
        <w:rPr>
          <w:sz w:val="24"/>
          <w:szCs w:val="24"/>
        </w:rPr>
        <w:t xml:space="preserve">were suggested to Hume by Cicero’s </w:t>
      </w:r>
      <w:r w:rsidRPr="00064ADE">
        <w:rPr>
          <w:i/>
          <w:iCs/>
          <w:sz w:val="24"/>
          <w:szCs w:val="24"/>
        </w:rPr>
        <w:t>De Natura Decorum</w:t>
      </w:r>
      <w:r w:rsidRPr="00064ADE">
        <w:rPr>
          <w:sz w:val="24"/>
          <w:szCs w:val="24"/>
        </w:rPr>
        <w:t>. He borrowed much more from it than merely the dialogue form</w:t>
      </w:r>
      <w:r w:rsidR="004A59F4" w:rsidRPr="00064ADE">
        <w:rPr>
          <w:sz w:val="24"/>
          <w:szCs w:val="24"/>
        </w:rPr>
        <w:t>.</w:t>
      </w:r>
      <w:r w:rsidRPr="00064ADE">
        <w:rPr>
          <w:sz w:val="24"/>
          <w:szCs w:val="24"/>
        </w:rPr>
        <w:t xml:space="preserve">” [“Introduction”, 60]. In a similar vein Gaskin suggests that </w:t>
      </w:r>
      <w:r w:rsidRPr="00064ADE">
        <w:rPr>
          <w:i/>
          <w:iCs/>
          <w:sz w:val="24"/>
          <w:szCs w:val="24"/>
        </w:rPr>
        <w:t>De Natura Decorum</w:t>
      </w:r>
      <w:r w:rsidRPr="00064ADE">
        <w:rPr>
          <w:sz w:val="24"/>
          <w:szCs w:val="24"/>
        </w:rPr>
        <w:t xml:space="preserve"> “is Hume’s philosophical model” </w:t>
      </w:r>
      <w:r w:rsidR="00033E76" w:rsidRPr="00064ADE">
        <w:rPr>
          <w:sz w:val="24"/>
          <w:szCs w:val="24"/>
        </w:rPr>
        <w:t>(</w:t>
      </w:r>
      <w:r w:rsidRPr="00064ADE">
        <w:rPr>
          <w:sz w:val="24"/>
          <w:szCs w:val="24"/>
        </w:rPr>
        <w:t>“Introduction</w:t>
      </w:r>
      <w:r w:rsidR="00CC7D3C" w:rsidRPr="00064ADE">
        <w:rPr>
          <w:sz w:val="24"/>
          <w:szCs w:val="24"/>
        </w:rPr>
        <w:t>”</w:t>
      </w:r>
      <w:r w:rsidRPr="00064ADE">
        <w:rPr>
          <w:sz w:val="24"/>
          <w:szCs w:val="24"/>
        </w:rPr>
        <w:t>, xx-xxi</w:t>
      </w:r>
      <w:r w:rsidR="00033E76" w:rsidRPr="00064ADE">
        <w:rPr>
          <w:sz w:val="24"/>
          <w:szCs w:val="24"/>
        </w:rPr>
        <w:t>)</w:t>
      </w:r>
      <w:r w:rsidRPr="00064ADE">
        <w:rPr>
          <w:sz w:val="24"/>
          <w:szCs w:val="24"/>
        </w:rPr>
        <w:t>.</w:t>
      </w:r>
    </w:p>
  </w:footnote>
  <w:footnote w:id="8">
    <w:p w14:paraId="139891EB" w14:textId="58B5C740" w:rsidR="004A59F4" w:rsidRPr="00064ADE" w:rsidRDefault="004A59F4" w:rsidP="00064ADE">
      <w:pPr>
        <w:spacing w:line="360" w:lineRule="auto"/>
        <w:ind w:left="284" w:hanging="284"/>
        <w:jc w:val="both"/>
      </w:pPr>
      <w:r w:rsidRPr="00064ADE">
        <w:rPr>
          <w:rStyle w:val="FootnoteReference"/>
        </w:rPr>
        <w:footnoteRef/>
      </w:r>
      <w:r w:rsidRPr="00064ADE">
        <w:t xml:space="preserve">  This includes, among others, </w:t>
      </w:r>
      <w:r w:rsidR="005972C2" w:rsidRPr="00064ADE">
        <w:t xml:space="preserve">works by </w:t>
      </w:r>
      <w:r w:rsidRPr="00064ADE">
        <w:t xml:space="preserve">Henry More </w:t>
      </w:r>
      <w:r w:rsidR="005972C2" w:rsidRPr="00064ADE">
        <w:t>[</w:t>
      </w:r>
      <w:r w:rsidRPr="00064ADE">
        <w:rPr>
          <w:i/>
          <w:iCs/>
        </w:rPr>
        <w:t>Divine Dialogues</w:t>
      </w:r>
      <w:r w:rsidR="005972C2" w:rsidRPr="00064ADE">
        <w:t xml:space="preserve">, </w:t>
      </w:r>
      <w:r w:rsidRPr="00064ADE">
        <w:t>1668</w:t>
      </w:r>
      <w:r w:rsidR="005972C2" w:rsidRPr="00064ADE">
        <w:t>]</w:t>
      </w:r>
      <w:r w:rsidRPr="00064ADE">
        <w:t xml:space="preserve">, Nicholas Malebranche’s </w:t>
      </w:r>
      <w:r w:rsidR="005972C2" w:rsidRPr="00064ADE">
        <w:t>[</w:t>
      </w:r>
      <w:r w:rsidRPr="00064ADE">
        <w:rPr>
          <w:i/>
          <w:iCs/>
        </w:rPr>
        <w:t>Dialogues on Metaphysics and Religion</w:t>
      </w:r>
      <w:r w:rsidR="005972C2" w:rsidRPr="00064ADE">
        <w:t xml:space="preserve">, </w:t>
      </w:r>
      <w:r w:rsidRPr="00064ADE">
        <w:t>1688</w:t>
      </w:r>
      <w:r w:rsidR="005D6CCD" w:rsidRPr="00064ADE">
        <w:t>]</w:t>
      </w:r>
      <w:r w:rsidRPr="00064ADE">
        <w:t xml:space="preserve">, and George Berkeley </w:t>
      </w:r>
      <w:r w:rsidR="005D6CCD" w:rsidRPr="00064ADE">
        <w:t>[</w:t>
      </w:r>
      <w:r w:rsidRPr="00064ADE">
        <w:rPr>
          <w:i/>
          <w:iCs/>
        </w:rPr>
        <w:t>Three Dialogues</w:t>
      </w:r>
      <w:r w:rsidR="005D6CCD" w:rsidRPr="00064ADE">
        <w:t xml:space="preserve">, </w:t>
      </w:r>
      <w:r w:rsidRPr="00064ADE">
        <w:t>1713</w:t>
      </w:r>
      <w:r w:rsidR="005D6CCD" w:rsidRPr="00064ADE">
        <w:t xml:space="preserve">; </w:t>
      </w:r>
      <w:r w:rsidRPr="00064ADE">
        <w:t xml:space="preserve">and </w:t>
      </w:r>
      <w:proofErr w:type="spellStart"/>
      <w:proofErr w:type="gramStart"/>
      <w:r w:rsidRPr="00064ADE">
        <w:rPr>
          <w:i/>
          <w:iCs/>
        </w:rPr>
        <w:t>Alciphron</w:t>
      </w:r>
      <w:proofErr w:type="spellEnd"/>
      <w:r w:rsidRPr="00064ADE">
        <w:t xml:space="preserve"> </w:t>
      </w:r>
      <w:r w:rsidR="005D6CCD" w:rsidRPr="00064ADE">
        <w:t>,</w:t>
      </w:r>
      <w:proofErr w:type="gramEnd"/>
      <w:r w:rsidR="005D6CCD" w:rsidRPr="00064ADE">
        <w:t xml:space="preserve"> </w:t>
      </w:r>
      <w:r w:rsidRPr="00064ADE">
        <w:t>1732</w:t>
      </w:r>
      <w:r w:rsidR="005D6CCD" w:rsidRPr="00064ADE">
        <w:t>]</w:t>
      </w:r>
      <w:r w:rsidRPr="00064ADE">
        <w:t>.</w:t>
      </w:r>
      <w:r w:rsidR="00F24FAB" w:rsidRPr="00064ADE">
        <w:t xml:space="preserve"> </w:t>
      </w:r>
    </w:p>
  </w:footnote>
  <w:footnote w:id="9">
    <w:p w14:paraId="1BE0674A" w14:textId="698E4045" w:rsidR="00064ADE" w:rsidRPr="00064ADE" w:rsidRDefault="00064ADE" w:rsidP="00064ADE">
      <w:pPr>
        <w:pStyle w:val="NoSpacing"/>
        <w:spacing w:line="360" w:lineRule="auto"/>
        <w:ind w:left="284" w:hanging="284"/>
        <w:jc w:val="both"/>
      </w:pPr>
      <w:r w:rsidRPr="00064ADE">
        <w:rPr>
          <w:rStyle w:val="FootnoteReference"/>
        </w:rPr>
        <w:footnoteRef/>
      </w:r>
      <w:r w:rsidRPr="00064ADE">
        <w:t xml:space="preserve">  </w:t>
      </w:r>
      <w:r>
        <w:t>Related to this, s</w:t>
      </w:r>
      <w:r w:rsidRPr="00064ADE">
        <w:t xml:space="preserve">ee Hume’s </w:t>
      </w:r>
      <w:r>
        <w:t>letter to his friend Gilbert Elliot, where he remarks that the sceptical views of Philo are more “natural” to him and that it is Cleanthes’ defence of the design argument that he needs help with (LET, I, 153-7/ #72).</w:t>
      </w:r>
    </w:p>
  </w:footnote>
  <w:footnote w:id="10">
    <w:p w14:paraId="0FD3E004" w14:textId="6CED4D7B" w:rsidR="00FE76B9" w:rsidRPr="00064ADE" w:rsidRDefault="00FE76B9" w:rsidP="00064ADE">
      <w:pPr>
        <w:pStyle w:val="NoSpacing"/>
        <w:spacing w:line="360" w:lineRule="auto"/>
        <w:ind w:left="284" w:hanging="284"/>
        <w:jc w:val="both"/>
      </w:pPr>
      <w:r w:rsidRPr="00064ADE">
        <w:rPr>
          <w:rStyle w:val="FootnoteReference"/>
        </w:rPr>
        <w:footnoteRef/>
      </w:r>
      <w:r w:rsidRPr="00064ADE">
        <w:t xml:space="preserve">  Kemp Smith, “Introduction”, 59. Gaskin reviews the evidence that Kemp Smith provides in support of this claim, followed by </w:t>
      </w:r>
      <w:r w:rsidR="0096435E" w:rsidRPr="00064ADE">
        <w:t>an account</w:t>
      </w:r>
      <w:r w:rsidRPr="00064ADE">
        <w:t xml:space="preserve"> of some of Kemp Smith’s critics. Gaskin concludes that he finds it “difficult to see that Kemp Smith’s position has been disturbed in any serious way” (</w:t>
      </w:r>
      <w:r w:rsidRPr="00064ADE">
        <w:rPr>
          <w:i/>
          <w:iCs/>
        </w:rPr>
        <w:t>Hume’s Philosophy of Religion</w:t>
      </w:r>
      <w:r w:rsidRPr="00064ADE">
        <w:t>, 209-18).</w:t>
      </w:r>
      <w:r w:rsidR="00B213FA" w:rsidRPr="00064ADE">
        <w:t xml:space="preserve"> </w:t>
      </w:r>
      <w:proofErr w:type="spellStart"/>
      <w:r w:rsidR="00B213FA" w:rsidRPr="00064ADE">
        <w:t>Mossner</w:t>
      </w:r>
      <w:proofErr w:type="spellEnd"/>
      <w:r w:rsidR="00B213FA" w:rsidRPr="00064ADE">
        <w:t xml:space="preserve"> also endorses this view: “Religion of Hume”, 653.</w:t>
      </w:r>
    </w:p>
  </w:footnote>
  <w:footnote w:id="11">
    <w:p w14:paraId="5BAE9884" w14:textId="32A0ED8B" w:rsidR="00EA0EDB" w:rsidRPr="00064ADE" w:rsidRDefault="00EA0EDB" w:rsidP="00064ADE">
      <w:pPr>
        <w:pStyle w:val="FootnoteText"/>
        <w:spacing w:line="360" w:lineRule="auto"/>
        <w:jc w:val="both"/>
        <w:rPr>
          <w:sz w:val="24"/>
          <w:szCs w:val="24"/>
        </w:rPr>
      </w:pPr>
      <w:r w:rsidRPr="00064ADE">
        <w:rPr>
          <w:rStyle w:val="FootnoteReference"/>
          <w:sz w:val="24"/>
          <w:szCs w:val="24"/>
        </w:rPr>
        <w:footnoteRef/>
      </w:r>
      <w:r w:rsidRPr="00064ADE">
        <w:rPr>
          <w:sz w:val="24"/>
          <w:szCs w:val="24"/>
        </w:rPr>
        <w:t xml:space="preserve">  My own contribution (</w:t>
      </w:r>
      <w:proofErr w:type="spellStart"/>
      <w:r w:rsidRPr="00064ADE">
        <w:rPr>
          <w:sz w:val="24"/>
          <w:szCs w:val="24"/>
        </w:rPr>
        <w:t>Chp</w:t>
      </w:r>
      <w:proofErr w:type="spellEnd"/>
      <w:r w:rsidRPr="00064ADE">
        <w:rPr>
          <w:sz w:val="24"/>
          <w:szCs w:val="24"/>
        </w:rPr>
        <w:t>. 10) elaborates on and defends this claim.</w:t>
      </w:r>
    </w:p>
  </w:footnote>
  <w:footnote w:id="12">
    <w:p w14:paraId="1A4BE41D" w14:textId="049CBA89" w:rsidR="00B67002" w:rsidRPr="00064ADE" w:rsidRDefault="00B67002"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See, e.g., Gaskin, </w:t>
      </w:r>
      <w:r w:rsidRPr="00064ADE">
        <w:rPr>
          <w:i/>
          <w:iCs/>
          <w:sz w:val="24"/>
          <w:szCs w:val="24"/>
        </w:rPr>
        <w:t>Hume’s Philosophy of Religion</w:t>
      </w:r>
      <w:r w:rsidRPr="00064ADE">
        <w:rPr>
          <w:sz w:val="24"/>
          <w:szCs w:val="24"/>
        </w:rPr>
        <w:t xml:space="preserve">, where it is argued that Hume’s </w:t>
      </w:r>
      <w:r w:rsidRPr="00064ADE">
        <w:rPr>
          <w:i/>
          <w:iCs/>
          <w:sz w:val="24"/>
          <w:szCs w:val="24"/>
        </w:rPr>
        <w:t>Treatise</w:t>
      </w:r>
      <w:r w:rsidRPr="00064ADE">
        <w:rPr>
          <w:sz w:val="24"/>
          <w:szCs w:val="24"/>
        </w:rPr>
        <w:t xml:space="preserve"> “is not overtly concerned with religion’ (p. 1). In a similar vein, David Norton</w:t>
      </w:r>
      <w:r w:rsidR="00EE3DE7" w:rsidRPr="00064ADE">
        <w:rPr>
          <w:sz w:val="24"/>
          <w:szCs w:val="24"/>
        </w:rPr>
        <w:t xml:space="preserve"> remarks: “Hume’s trenchant critique of religion is found principally in his </w:t>
      </w:r>
      <w:r w:rsidR="00EE3DE7" w:rsidRPr="00064ADE">
        <w:rPr>
          <w:i/>
          <w:iCs/>
          <w:sz w:val="24"/>
          <w:szCs w:val="24"/>
        </w:rPr>
        <w:t>Enquiry concerning Human Understanding</w:t>
      </w:r>
      <w:r w:rsidR="00EE3DE7" w:rsidRPr="00064ADE">
        <w:rPr>
          <w:sz w:val="24"/>
          <w:szCs w:val="24"/>
        </w:rPr>
        <w:t xml:space="preserve">, </w:t>
      </w:r>
      <w:r w:rsidR="00EE3DE7" w:rsidRPr="00064ADE">
        <w:rPr>
          <w:i/>
          <w:iCs/>
          <w:sz w:val="24"/>
          <w:szCs w:val="24"/>
        </w:rPr>
        <w:t>Natural History of Religion</w:t>
      </w:r>
      <w:r w:rsidR="00EE3DE7" w:rsidRPr="00064ADE">
        <w:rPr>
          <w:sz w:val="24"/>
          <w:szCs w:val="24"/>
        </w:rPr>
        <w:t xml:space="preserve">, and </w:t>
      </w:r>
      <w:r w:rsidR="00EE3DE7" w:rsidRPr="00064ADE">
        <w:rPr>
          <w:i/>
          <w:iCs/>
          <w:sz w:val="24"/>
          <w:szCs w:val="24"/>
        </w:rPr>
        <w:t>Dialogues</w:t>
      </w:r>
      <w:r w:rsidR="00EE3DE7" w:rsidRPr="00064ADE">
        <w:rPr>
          <w:sz w:val="24"/>
          <w:szCs w:val="24"/>
        </w:rPr>
        <w:t>...” (</w:t>
      </w:r>
      <w:r w:rsidR="00EE3DE7" w:rsidRPr="00064ADE">
        <w:rPr>
          <w:i/>
          <w:iCs/>
          <w:sz w:val="24"/>
          <w:szCs w:val="24"/>
        </w:rPr>
        <w:t>David Hume</w:t>
      </w:r>
      <w:r w:rsidR="00EE3DE7" w:rsidRPr="00064ADE">
        <w:rPr>
          <w:sz w:val="24"/>
          <w:szCs w:val="24"/>
        </w:rPr>
        <w:t>, 15).</w:t>
      </w:r>
    </w:p>
  </w:footnote>
  <w:footnote w:id="13">
    <w:p w14:paraId="4D39D524" w14:textId="2BDDD983" w:rsidR="00763ECA" w:rsidRPr="00064ADE" w:rsidRDefault="00763ECA"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Hume’s most influential biographer, E.C. </w:t>
      </w:r>
      <w:proofErr w:type="spellStart"/>
      <w:r w:rsidRPr="00064ADE">
        <w:rPr>
          <w:sz w:val="24"/>
          <w:szCs w:val="24"/>
        </w:rPr>
        <w:t>Mos</w:t>
      </w:r>
      <w:r w:rsidR="00D84FC8" w:rsidRPr="00064ADE">
        <w:rPr>
          <w:sz w:val="24"/>
          <w:szCs w:val="24"/>
        </w:rPr>
        <w:t>s</w:t>
      </w:r>
      <w:r w:rsidRPr="00064ADE">
        <w:rPr>
          <w:sz w:val="24"/>
          <w:szCs w:val="24"/>
        </w:rPr>
        <w:t>ner</w:t>
      </w:r>
      <w:proofErr w:type="spellEnd"/>
      <w:r w:rsidRPr="00064ADE">
        <w:rPr>
          <w:sz w:val="24"/>
          <w:szCs w:val="24"/>
        </w:rPr>
        <w:t xml:space="preserve">, has claimed, for example, that Hume was careful to purge the </w:t>
      </w:r>
      <w:r w:rsidRPr="00064ADE">
        <w:rPr>
          <w:i/>
          <w:iCs/>
          <w:sz w:val="24"/>
          <w:szCs w:val="24"/>
        </w:rPr>
        <w:t>Treatise</w:t>
      </w:r>
      <w:r w:rsidRPr="00064ADE">
        <w:rPr>
          <w:sz w:val="24"/>
          <w:szCs w:val="24"/>
        </w:rPr>
        <w:t xml:space="preserve"> of anything that could be taken as a contribution to the theological debates that were raging at this time (i.e. the 1730s). According to </w:t>
      </w:r>
      <w:proofErr w:type="spellStart"/>
      <w:r w:rsidRPr="00064ADE">
        <w:rPr>
          <w:sz w:val="24"/>
          <w:szCs w:val="24"/>
        </w:rPr>
        <w:t>Mossner</w:t>
      </w:r>
      <w:proofErr w:type="spellEnd"/>
      <w:r w:rsidRPr="00064ADE">
        <w:rPr>
          <w:sz w:val="24"/>
          <w:szCs w:val="24"/>
        </w:rPr>
        <w:t xml:space="preserve">, Hume did not “apply his philosophical tenets to religion” until he published the first </w:t>
      </w:r>
      <w:r w:rsidRPr="00064ADE">
        <w:rPr>
          <w:i/>
          <w:iCs/>
          <w:sz w:val="24"/>
          <w:szCs w:val="24"/>
        </w:rPr>
        <w:t>Enquiry</w:t>
      </w:r>
      <w:r w:rsidRPr="00064ADE">
        <w:rPr>
          <w:sz w:val="24"/>
          <w:szCs w:val="24"/>
        </w:rPr>
        <w:t xml:space="preserve"> in 1748 (</w:t>
      </w:r>
      <w:proofErr w:type="spellStart"/>
      <w:r w:rsidRPr="00064ADE">
        <w:rPr>
          <w:sz w:val="24"/>
          <w:szCs w:val="24"/>
        </w:rPr>
        <w:t>Mossner</w:t>
      </w:r>
      <w:proofErr w:type="spellEnd"/>
      <w:r w:rsidRPr="00064ADE">
        <w:rPr>
          <w:sz w:val="24"/>
          <w:szCs w:val="24"/>
        </w:rPr>
        <w:t xml:space="preserve">, </w:t>
      </w:r>
      <w:r w:rsidR="00E87918" w:rsidRPr="00064ADE">
        <w:rPr>
          <w:i/>
          <w:iCs/>
          <w:sz w:val="24"/>
          <w:szCs w:val="24"/>
        </w:rPr>
        <w:t>Life of Hume</w:t>
      </w:r>
      <w:r w:rsidR="00E87918" w:rsidRPr="00064ADE">
        <w:rPr>
          <w:sz w:val="24"/>
          <w:szCs w:val="24"/>
        </w:rPr>
        <w:t>,</w:t>
      </w:r>
      <w:r w:rsidRPr="00064ADE">
        <w:rPr>
          <w:sz w:val="24"/>
          <w:szCs w:val="24"/>
        </w:rPr>
        <w:t xml:space="preserve"> 112-3, 319).</w:t>
      </w:r>
    </w:p>
  </w:footnote>
  <w:footnote w:id="14">
    <w:p w14:paraId="267F29B3" w14:textId="2EAA9D69" w:rsidR="00763ECA" w:rsidRPr="00064ADE" w:rsidRDefault="00763ECA"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This view is defended, at length</w:t>
      </w:r>
      <w:r w:rsidR="008E0A5D" w:rsidRPr="00064ADE">
        <w:rPr>
          <w:sz w:val="24"/>
          <w:szCs w:val="24"/>
        </w:rPr>
        <w:t>,</w:t>
      </w:r>
      <w:r w:rsidRPr="00064ADE">
        <w:rPr>
          <w:sz w:val="24"/>
          <w:szCs w:val="24"/>
        </w:rPr>
        <w:t xml:space="preserve"> in Russell, </w:t>
      </w:r>
      <w:r w:rsidRPr="00064ADE">
        <w:rPr>
          <w:i/>
          <w:iCs/>
          <w:sz w:val="24"/>
          <w:szCs w:val="24"/>
        </w:rPr>
        <w:t>Riddle</w:t>
      </w:r>
      <w:r w:rsidRPr="00064ADE">
        <w:rPr>
          <w:sz w:val="24"/>
          <w:szCs w:val="24"/>
        </w:rPr>
        <w:t>; and also in Russell, “Hume</w:t>
      </w:r>
      <w:r w:rsidR="008E0A5D" w:rsidRPr="00064ADE">
        <w:rPr>
          <w:sz w:val="24"/>
          <w:szCs w:val="24"/>
        </w:rPr>
        <w:t>’s Philosophy of</w:t>
      </w:r>
      <w:r w:rsidRPr="00064ADE">
        <w:rPr>
          <w:sz w:val="24"/>
          <w:szCs w:val="24"/>
        </w:rPr>
        <w:t xml:space="preserve"> Irreligion”. It should be noted that Hume’s irreligious intentions in the </w:t>
      </w:r>
      <w:r w:rsidRPr="00064ADE">
        <w:rPr>
          <w:i/>
          <w:iCs/>
          <w:sz w:val="24"/>
          <w:szCs w:val="24"/>
        </w:rPr>
        <w:t>Treatise</w:t>
      </w:r>
      <w:r w:rsidRPr="00064ADE">
        <w:rPr>
          <w:sz w:val="24"/>
          <w:szCs w:val="24"/>
        </w:rPr>
        <w:t xml:space="preserve"> were obvious to his own contemporaries </w:t>
      </w:r>
      <w:r w:rsidR="008E0A5D" w:rsidRPr="00064ADE">
        <w:rPr>
          <w:sz w:val="24"/>
          <w:szCs w:val="24"/>
        </w:rPr>
        <w:t xml:space="preserve">well </w:t>
      </w:r>
      <w:r w:rsidRPr="00064ADE">
        <w:rPr>
          <w:sz w:val="24"/>
          <w:szCs w:val="24"/>
        </w:rPr>
        <w:t xml:space="preserve">before any of his later works were published. This </w:t>
      </w:r>
      <w:r w:rsidR="00F77243" w:rsidRPr="00064ADE">
        <w:rPr>
          <w:sz w:val="24"/>
          <w:szCs w:val="24"/>
        </w:rPr>
        <w:t xml:space="preserve">is </w:t>
      </w:r>
      <w:r w:rsidRPr="00064ADE">
        <w:rPr>
          <w:sz w:val="24"/>
          <w:szCs w:val="24"/>
        </w:rPr>
        <w:t xml:space="preserve">particularly apparent both in the early reviews of the </w:t>
      </w:r>
      <w:r w:rsidRPr="00064ADE">
        <w:rPr>
          <w:i/>
          <w:iCs/>
          <w:sz w:val="24"/>
          <w:szCs w:val="24"/>
        </w:rPr>
        <w:t>Treatise</w:t>
      </w:r>
      <w:r w:rsidRPr="00064ADE">
        <w:rPr>
          <w:sz w:val="24"/>
          <w:szCs w:val="24"/>
        </w:rPr>
        <w:t xml:space="preserve"> and in the controversy that erupted when Hume </w:t>
      </w:r>
      <w:r w:rsidR="008E0A5D" w:rsidRPr="00064ADE">
        <w:rPr>
          <w:sz w:val="24"/>
          <w:szCs w:val="24"/>
        </w:rPr>
        <w:t xml:space="preserve">(unsuccessfully) </w:t>
      </w:r>
      <w:r w:rsidRPr="00064ADE">
        <w:rPr>
          <w:sz w:val="24"/>
          <w:szCs w:val="24"/>
        </w:rPr>
        <w:t>applied for the Chair of Philosoph</w:t>
      </w:r>
      <w:r w:rsidR="008E0A5D" w:rsidRPr="00064ADE">
        <w:rPr>
          <w:sz w:val="24"/>
          <w:szCs w:val="24"/>
        </w:rPr>
        <w:t xml:space="preserve">y at Edinburgh University in 1745 (i.e. three years before his first </w:t>
      </w:r>
      <w:r w:rsidR="008E0A5D" w:rsidRPr="00064ADE">
        <w:rPr>
          <w:i/>
          <w:iCs/>
          <w:sz w:val="24"/>
          <w:szCs w:val="24"/>
        </w:rPr>
        <w:t>Enquiry</w:t>
      </w:r>
      <w:r w:rsidR="008E0A5D" w:rsidRPr="00064ADE">
        <w:rPr>
          <w:sz w:val="24"/>
          <w:szCs w:val="24"/>
        </w:rPr>
        <w:t xml:space="preserve"> was published).</w:t>
      </w:r>
    </w:p>
  </w:footnote>
  <w:footnote w:id="15">
    <w:p w14:paraId="43E79CE9" w14:textId="475BE1DD" w:rsidR="00636049" w:rsidRPr="00064ADE" w:rsidRDefault="00636049"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On the importance of Hobbes, Spinoza</w:t>
      </w:r>
      <w:r w:rsidR="00015060">
        <w:rPr>
          <w:sz w:val="24"/>
          <w:szCs w:val="24"/>
        </w:rPr>
        <w:t>,</w:t>
      </w:r>
      <w:r w:rsidRPr="00064ADE">
        <w:rPr>
          <w:sz w:val="24"/>
          <w:szCs w:val="24"/>
        </w:rPr>
        <w:t xml:space="preserve"> and the atheistic tradition for understanding Hume’s </w:t>
      </w:r>
      <w:r w:rsidR="007064AE" w:rsidRPr="00064ADE">
        <w:rPr>
          <w:sz w:val="24"/>
          <w:szCs w:val="24"/>
        </w:rPr>
        <w:t xml:space="preserve">fundamental irreligious intentions see Russell, </w:t>
      </w:r>
      <w:r w:rsidR="007064AE" w:rsidRPr="00064ADE">
        <w:rPr>
          <w:i/>
          <w:iCs/>
          <w:sz w:val="24"/>
          <w:szCs w:val="24"/>
        </w:rPr>
        <w:t>Riddle</w:t>
      </w:r>
      <w:r w:rsidR="007064AE" w:rsidRPr="00064ADE">
        <w:rPr>
          <w:sz w:val="24"/>
          <w:szCs w:val="24"/>
        </w:rPr>
        <w:t xml:space="preserve">, </w:t>
      </w:r>
      <w:proofErr w:type="spellStart"/>
      <w:r w:rsidR="007064AE" w:rsidRPr="00064ADE">
        <w:rPr>
          <w:sz w:val="24"/>
          <w:szCs w:val="24"/>
        </w:rPr>
        <w:t>Chps</w:t>
      </w:r>
      <w:proofErr w:type="spellEnd"/>
      <w:r w:rsidR="007064AE" w:rsidRPr="00064ADE">
        <w:rPr>
          <w:sz w:val="24"/>
          <w:szCs w:val="24"/>
        </w:rPr>
        <w:t>. 3,5,8,18 (esp. pp. 52-7, 86-8, 92-8, 275-8, 288-9)</w:t>
      </w:r>
      <w:r w:rsidR="00585E6A" w:rsidRPr="00064ADE">
        <w:rPr>
          <w:sz w:val="24"/>
          <w:szCs w:val="24"/>
        </w:rPr>
        <w:t>; also,</w:t>
      </w:r>
      <w:r w:rsidR="007064AE" w:rsidRPr="00064ADE">
        <w:rPr>
          <w:sz w:val="24"/>
          <w:szCs w:val="24"/>
        </w:rPr>
        <w:t xml:space="preserve"> Russell, “Hume’s Philosophy of Irreligion”, esp. pp. 458-64</w:t>
      </w:r>
      <w:r w:rsidR="00AC48E9" w:rsidRPr="00064ADE">
        <w:rPr>
          <w:sz w:val="24"/>
          <w:szCs w:val="24"/>
        </w:rPr>
        <w:t>.</w:t>
      </w:r>
    </w:p>
  </w:footnote>
  <w:footnote w:id="16">
    <w:p w14:paraId="0A33452A" w14:textId="2E069690" w:rsidR="007064AE" w:rsidRPr="00064ADE" w:rsidRDefault="007064AE"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We find, for example, that Hobbes and Spinoza, and the debates associated with them, go almost entirely unnoticed in Gaskin’s </w:t>
      </w:r>
      <w:r w:rsidRPr="00064ADE">
        <w:rPr>
          <w:i/>
          <w:iCs/>
          <w:sz w:val="24"/>
          <w:szCs w:val="24"/>
        </w:rPr>
        <w:t>Hume’s Philosophy of Religion</w:t>
      </w:r>
      <w:r w:rsidRPr="00064ADE">
        <w:rPr>
          <w:sz w:val="24"/>
          <w:szCs w:val="24"/>
        </w:rPr>
        <w:t>. Hobbes is not mentioned by Kemp Smith and Spinoza is mentioned once, with reference to Bayle (“Introduction”, 80).</w:t>
      </w:r>
    </w:p>
  </w:footnote>
  <w:footnote w:id="17">
    <w:p w14:paraId="1FE53B63" w14:textId="70056A42" w:rsidR="00D00D3F" w:rsidRPr="00064ADE" w:rsidRDefault="00D00D3F" w:rsidP="00064ADE">
      <w:pPr>
        <w:pStyle w:val="FootnoteText"/>
        <w:spacing w:line="360" w:lineRule="auto"/>
        <w:ind w:left="284" w:hanging="284"/>
        <w:jc w:val="both"/>
        <w:rPr>
          <w:sz w:val="24"/>
          <w:szCs w:val="24"/>
        </w:rPr>
      </w:pPr>
      <w:r w:rsidRPr="00064ADE">
        <w:rPr>
          <w:rStyle w:val="FootnoteReference"/>
          <w:sz w:val="24"/>
          <w:szCs w:val="24"/>
        </w:rPr>
        <w:footnoteRef/>
      </w:r>
      <w:r w:rsidRPr="00064ADE">
        <w:rPr>
          <w:sz w:val="24"/>
          <w:szCs w:val="24"/>
        </w:rPr>
        <w:t xml:space="preserve">  </w:t>
      </w:r>
      <w:r w:rsidR="003D5EF8">
        <w:rPr>
          <w:sz w:val="24"/>
          <w:szCs w:val="24"/>
        </w:rPr>
        <w:t>Apart from the works by Russell (as cited in note 15 above), t</w:t>
      </w:r>
      <w:r w:rsidRPr="00064ADE">
        <w:rPr>
          <w:sz w:val="24"/>
          <w:szCs w:val="24"/>
        </w:rPr>
        <w:t xml:space="preserve">he importance of Hobbes and Spinoza for Hume’s philosophy of religion is </w:t>
      </w:r>
      <w:r w:rsidR="003D5EF8">
        <w:rPr>
          <w:sz w:val="24"/>
          <w:szCs w:val="24"/>
        </w:rPr>
        <w:t xml:space="preserve">also </w:t>
      </w:r>
      <w:r w:rsidRPr="00064ADE">
        <w:rPr>
          <w:sz w:val="24"/>
          <w:szCs w:val="24"/>
        </w:rPr>
        <w:t xml:space="preserve">touched on in Bailey and O’Brien, </w:t>
      </w:r>
      <w:r w:rsidRPr="00064ADE">
        <w:rPr>
          <w:i/>
          <w:iCs/>
          <w:sz w:val="24"/>
          <w:szCs w:val="24"/>
        </w:rPr>
        <w:t>Hume’s Critique of Religion</w:t>
      </w:r>
      <w:r w:rsidRPr="00064ADE">
        <w:rPr>
          <w:sz w:val="24"/>
          <w:szCs w:val="24"/>
        </w:rPr>
        <w:t xml:space="preserve"> (esp. </w:t>
      </w:r>
      <w:proofErr w:type="spellStart"/>
      <w:r w:rsidRPr="00064ADE">
        <w:rPr>
          <w:sz w:val="24"/>
          <w:szCs w:val="24"/>
        </w:rPr>
        <w:t>Chp</w:t>
      </w:r>
      <w:proofErr w:type="spellEnd"/>
      <w:r w:rsidRPr="00064ADE">
        <w:rPr>
          <w:sz w:val="24"/>
          <w:szCs w:val="24"/>
        </w:rPr>
        <w:t>. 3). More recently, Kraal defends the view “that the end result of Hume’s thought is some form of Hobbesian theism”, which was widely regarded by Hume’s contemporaries as paradigmatic “atheism” (</w:t>
      </w:r>
      <w:r w:rsidRPr="00064ADE">
        <w:rPr>
          <w:i/>
          <w:iCs/>
          <w:sz w:val="24"/>
          <w:szCs w:val="24"/>
        </w:rPr>
        <w:t>Problem of God in David Hume</w:t>
      </w:r>
      <w:r w:rsidRPr="00064ADE">
        <w:rPr>
          <w:sz w:val="24"/>
          <w:szCs w:val="24"/>
        </w:rPr>
        <w:t xml:space="preserve">, 45-50). Along similar lines, Thomas Holden suggests that in the </w:t>
      </w:r>
      <w:r w:rsidRPr="00064ADE">
        <w:rPr>
          <w:i/>
          <w:iCs/>
          <w:sz w:val="24"/>
          <w:szCs w:val="24"/>
        </w:rPr>
        <w:t>Dialogues</w:t>
      </w:r>
      <w:r w:rsidRPr="00064ADE">
        <w:rPr>
          <w:sz w:val="24"/>
          <w:szCs w:val="24"/>
        </w:rPr>
        <w:t xml:space="preserve"> Hume (Philo) arrived at an “exclusively expressivist understanding of talk about the divine attributes” which is modelled after Hobbes (“Philo’s Reversal”, 224-6).</w:t>
      </w:r>
      <w:r w:rsidR="000E68A2" w:rsidRPr="00064ADE">
        <w:rPr>
          <w:sz w:val="24"/>
          <w:szCs w:val="24"/>
        </w:rPr>
        <w:t xml:space="preserve"> With regard to Spinoza’s relevance to Hume’s </w:t>
      </w:r>
      <w:r w:rsidR="000E68A2" w:rsidRPr="00064ADE">
        <w:rPr>
          <w:i/>
          <w:iCs/>
          <w:sz w:val="24"/>
          <w:szCs w:val="24"/>
        </w:rPr>
        <w:t>Dialogues</w:t>
      </w:r>
      <w:r w:rsidR="000E68A2" w:rsidRPr="00064ADE">
        <w:rPr>
          <w:sz w:val="24"/>
          <w:szCs w:val="24"/>
        </w:rPr>
        <w:t>, Kenneth Williford has recently argued “that Hume’s Philo sympathetically articulates and conditionally defends views that are clearly ‘</w:t>
      </w:r>
      <w:proofErr w:type="spellStart"/>
      <w:r w:rsidR="000E68A2" w:rsidRPr="00064ADE">
        <w:rPr>
          <w:sz w:val="24"/>
          <w:szCs w:val="24"/>
        </w:rPr>
        <w:t>Spinozistic</w:t>
      </w:r>
      <w:proofErr w:type="spellEnd"/>
      <w:r w:rsidR="000E68A2" w:rsidRPr="00064ADE">
        <w:rPr>
          <w:sz w:val="24"/>
          <w:szCs w:val="24"/>
        </w:rPr>
        <w:t xml:space="preserve">’” (“Philo, </w:t>
      </w:r>
      <w:proofErr w:type="spellStart"/>
      <w:r w:rsidR="000E68A2" w:rsidRPr="00064ADE">
        <w:rPr>
          <w:sz w:val="24"/>
          <w:szCs w:val="24"/>
        </w:rPr>
        <w:t>Strato</w:t>
      </w:r>
      <w:proofErr w:type="spellEnd"/>
      <w:r w:rsidR="000E68A2" w:rsidRPr="00064ADE">
        <w:rPr>
          <w:sz w:val="24"/>
          <w:szCs w:val="24"/>
        </w:rPr>
        <w:t xml:space="preserve">, and Spinoza”, 306).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54"/>
    <w:rsid w:val="000100B1"/>
    <w:rsid w:val="00015060"/>
    <w:rsid w:val="00021A92"/>
    <w:rsid w:val="00021C73"/>
    <w:rsid w:val="000320F2"/>
    <w:rsid w:val="00033E76"/>
    <w:rsid w:val="00035BF9"/>
    <w:rsid w:val="00056E1A"/>
    <w:rsid w:val="00064ADE"/>
    <w:rsid w:val="00065A14"/>
    <w:rsid w:val="00081BBD"/>
    <w:rsid w:val="00086F52"/>
    <w:rsid w:val="00087B60"/>
    <w:rsid w:val="000A4A0C"/>
    <w:rsid w:val="000C338D"/>
    <w:rsid w:val="000E68A2"/>
    <w:rsid w:val="000E7B57"/>
    <w:rsid w:val="000F002B"/>
    <w:rsid w:val="001077CC"/>
    <w:rsid w:val="001111D7"/>
    <w:rsid w:val="0011309F"/>
    <w:rsid w:val="00116D52"/>
    <w:rsid w:val="00131735"/>
    <w:rsid w:val="0013564D"/>
    <w:rsid w:val="00147A82"/>
    <w:rsid w:val="001579C4"/>
    <w:rsid w:val="00164095"/>
    <w:rsid w:val="00164A6A"/>
    <w:rsid w:val="00184BB4"/>
    <w:rsid w:val="001A2DD3"/>
    <w:rsid w:val="001A6944"/>
    <w:rsid w:val="001B1361"/>
    <w:rsid w:val="001B195A"/>
    <w:rsid w:val="001B3DF1"/>
    <w:rsid w:val="001C0A4B"/>
    <w:rsid w:val="001E21AE"/>
    <w:rsid w:val="0020049E"/>
    <w:rsid w:val="00220F23"/>
    <w:rsid w:val="002251C1"/>
    <w:rsid w:val="00237747"/>
    <w:rsid w:val="00252BB6"/>
    <w:rsid w:val="00260429"/>
    <w:rsid w:val="00262B98"/>
    <w:rsid w:val="00265A1C"/>
    <w:rsid w:val="002778AE"/>
    <w:rsid w:val="002861F1"/>
    <w:rsid w:val="002A46E4"/>
    <w:rsid w:val="002A790F"/>
    <w:rsid w:val="002C0808"/>
    <w:rsid w:val="002C2514"/>
    <w:rsid w:val="002C3245"/>
    <w:rsid w:val="002C4E5D"/>
    <w:rsid w:val="002F0119"/>
    <w:rsid w:val="00301F8B"/>
    <w:rsid w:val="00302DCE"/>
    <w:rsid w:val="00317D27"/>
    <w:rsid w:val="003244B2"/>
    <w:rsid w:val="003306A2"/>
    <w:rsid w:val="003504FF"/>
    <w:rsid w:val="0036442D"/>
    <w:rsid w:val="00364F9D"/>
    <w:rsid w:val="0038241F"/>
    <w:rsid w:val="003960FA"/>
    <w:rsid w:val="003A4138"/>
    <w:rsid w:val="003C2696"/>
    <w:rsid w:val="003D0917"/>
    <w:rsid w:val="003D5EF8"/>
    <w:rsid w:val="003E3259"/>
    <w:rsid w:val="003E499B"/>
    <w:rsid w:val="003F13E4"/>
    <w:rsid w:val="004012C7"/>
    <w:rsid w:val="004128BB"/>
    <w:rsid w:val="00413B78"/>
    <w:rsid w:val="0042201D"/>
    <w:rsid w:val="004368F9"/>
    <w:rsid w:val="00447F95"/>
    <w:rsid w:val="0045055F"/>
    <w:rsid w:val="00457CA1"/>
    <w:rsid w:val="004617B7"/>
    <w:rsid w:val="004703B7"/>
    <w:rsid w:val="00484CE5"/>
    <w:rsid w:val="004A45A3"/>
    <w:rsid w:val="004A59F4"/>
    <w:rsid w:val="004B7E46"/>
    <w:rsid w:val="004C00F2"/>
    <w:rsid w:val="004C03F4"/>
    <w:rsid w:val="004C1B29"/>
    <w:rsid w:val="004C6639"/>
    <w:rsid w:val="004D0545"/>
    <w:rsid w:val="004D3385"/>
    <w:rsid w:val="004D6460"/>
    <w:rsid w:val="00536E6E"/>
    <w:rsid w:val="00540836"/>
    <w:rsid w:val="00551813"/>
    <w:rsid w:val="00566AC9"/>
    <w:rsid w:val="00585E6A"/>
    <w:rsid w:val="00595B69"/>
    <w:rsid w:val="005972C2"/>
    <w:rsid w:val="005A1A68"/>
    <w:rsid w:val="005A445F"/>
    <w:rsid w:val="005B2536"/>
    <w:rsid w:val="005B6384"/>
    <w:rsid w:val="005D68DE"/>
    <w:rsid w:val="005D6CCD"/>
    <w:rsid w:val="00607973"/>
    <w:rsid w:val="00607A2E"/>
    <w:rsid w:val="00610294"/>
    <w:rsid w:val="00631790"/>
    <w:rsid w:val="00633496"/>
    <w:rsid w:val="00636049"/>
    <w:rsid w:val="00636919"/>
    <w:rsid w:val="00645A50"/>
    <w:rsid w:val="00696B6C"/>
    <w:rsid w:val="006C6BCE"/>
    <w:rsid w:val="006D432B"/>
    <w:rsid w:val="006D5F13"/>
    <w:rsid w:val="00703641"/>
    <w:rsid w:val="007036BB"/>
    <w:rsid w:val="007064AE"/>
    <w:rsid w:val="00713BEF"/>
    <w:rsid w:val="0071769F"/>
    <w:rsid w:val="007360D0"/>
    <w:rsid w:val="0074006D"/>
    <w:rsid w:val="00752D9C"/>
    <w:rsid w:val="0076024A"/>
    <w:rsid w:val="00763ECA"/>
    <w:rsid w:val="00766927"/>
    <w:rsid w:val="00776505"/>
    <w:rsid w:val="00777B6A"/>
    <w:rsid w:val="007A3019"/>
    <w:rsid w:val="007A47CC"/>
    <w:rsid w:val="007B2D36"/>
    <w:rsid w:val="007B44AE"/>
    <w:rsid w:val="007D3A03"/>
    <w:rsid w:val="007F76A8"/>
    <w:rsid w:val="00803892"/>
    <w:rsid w:val="0081298C"/>
    <w:rsid w:val="0081729B"/>
    <w:rsid w:val="008326DA"/>
    <w:rsid w:val="00856216"/>
    <w:rsid w:val="00857E60"/>
    <w:rsid w:val="00866B97"/>
    <w:rsid w:val="00872408"/>
    <w:rsid w:val="00873E9E"/>
    <w:rsid w:val="008767A4"/>
    <w:rsid w:val="00876DA0"/>
    <w:rsid w:val="00882BFD"/>
    <w:rsid w:val="00896888"/>
    <w:rsid w:val="008A13FD"/>
    <w:rsid w:val="008B7F08"/>
    <w:rsid w:val="008C02CD"/>
    <w:rsid w:val="008E0265"/>
    <w:rsid w:val="008E0A5D"/>
    <w:rsid w:val="008E545C"/>
    <w:rsid w:val="008F0663"/>
    <w:rsid w:val="008F08C3"/>
    <w:rsid w:val="008F368C"/>
    <w:rsid w:val="008F6D4D"/>
    <w:rsid w:val="00902B17"/>
    <w:rsid w:val="00904065"/>
    <w:rsid w:val="00907026"/>
    <w:rsid w:val="00907E55"/>
    <w:rsid w:val="009256D7"/>
    <w:rsid w:val="00956A85"/>
    <w:rsid w:val="0096435E"/>
    <w:rsid w:val="00974AB9"/>
    <w:rsid w:val="00993EEF"/>
    <w:rsid w:val="009B044E"/>
    <w:rsid w:val="009B1906"/>
    <w:rsid w:val="009C2D9A"/>
    <w:rsid w:val="009C43A4"/>
    <w:rsid w:val="009D5023"/>
    <w:rsid w:val="009D51D5"/>
    <w:rsid w:val="009E24F7"/>
    <w:rsid w:val="009F209A"/>
    <w:rsid w:val="009F68CD"/>
    <w:rsid w:val="00A06A04"/>
    <w:rsid w:val="00A13FAB"/>
    <w:rsid w:val="00A27F26"/>
    <w:rsid w:val="00A327A6"/>
    <w:rsid w:val="00A407E8"/>
    <w:rsid w:val="00A57639"/>
    <w:rsid w:val="00A8185D"/>
    <w:rsid w:val="00A86056"/>
    <w:rsid w:val="00A90311"/>
    <w:rsid w:val="00AB67FC"/>
    <w:rsid w:val="00AC48E9"/>
    <w:rsid w:val="00AD23D0"/>
    <w:rsid w:val="00AD6990"/>
    <w:rsid w:val="00AE0021"/>
    <w:rsid w:val="00AE6667"/>
    <w:rsid w:val="00AE680D"/>
    <w:rsid w:val="00AF59D7"/>
    <w:rsid w:val="00AF73E4"/>
    <w:rsid w:val="00B04950"/>
    <w:rsid w:val="00B11929"/>
    <w:rsid w:val="00B213FA"/>
    <w:rsid w:val="00B41DE7"/>
    <w:rsid w:val="00B47DA8"/>
    <w:rsid w:val="00B51217"/>
    <w:rsid w:val="00B67002"/>
    <w:rsid w:val="00B86B36"/>
    <w:rsid w:val="00B87FC2"/>
    <w:rsid w:val="00B92960"/>
    <w:rsid w:val="00BB05E3"/>
    <w:rsid w:val="00BC3FAD"/>
    <w:rsid w:val="00BC4526"/>
    <w:rsid w:val="00BD6884"/>
    <w:rsid w:val="00C0239A"/>
    <w:rsid w:val="00C02F6C"/>
    <w:rsid w:val="00C2042F"/>
    <w:rsid w:val="00C247FD"/>
    <w:rsid w:val="00C47CF5"/>
    <w:rsid w:val="00C54671"/>
    <w:rsid w:val="00C56A4D"/>
    <w:rsid w:val="00C63938"/>
    <w:rsid w:val="00C92768"/>
    <w:rsid w:val="00CA37B5"/>
    <w:rsid w:val="00CB4FDD"/>
    <w:rsid w:val="00CC0B4F"/>
    <w:rsid w:val="00CC6A79"/>
    <w:rsid w:val="00CC7D3C"/>
    <w:rsid w:val="00CE36EE"/>
    <w:rsid w:val="00CE3E30"/>
    <w:rsid w:val="00CE6A87"/>
    <w:rsid w:val="00CF0411"/>
    <w:rsid w:val="00CF64C7"/>
    <w:rsid w:val="00D00D3F"/>
    <w:rsid w:val="00D13866"/>
    <w:rsid w:val="00D15DE2"/>
    <w:rsid w:val="00D2648C"/>
    <w:rsid w:val="00D53FA2"/>
    <w:rsid w:val="00D6419F"/>
    <w:rsid w:val="00D725C6"/>
    <w:rsid w:val="00D84FC8"/>
    <w:rsid w:val="00D8544B"/>
    <w:rsid w:val="00D878AD"/>
    <w:rsid w:val="00DB1054"/>
    <w:rsid w:val="00DC1673"/>
    <w:rsid w:val="00DC39A7"/>
    <w:rsid w:val="00DC5F87"/>
    <w:rsid w:val="00DD2CC0"/>
    <w:rsid w:val="00DF6A86"/>
    <w:rsid w:val="00E13ED4"/>
    <w:rsid w:val="00E32D63"/>
    <w:rsid w:val="00E50B53"/>
    <w:rsid w:val="00E602D0"/>
    <w:rsid w:val="00E805D7"/>
    <w:rsid w:val="00E87918"/>
    <w:rsid w:val="00EA0EDB"/>
    <w:rsid w:val="00EA2350"/>
    <w:rsid w:val="00EE2509"/>
    <w:rsid w:val="00EE3DE7"/>
    <w:rsid w:val="00EF59A5"/>
    <w:rsid w:val="00F22550"/>
    <w:rsid w:val="00F24FAB"/>
    <w:rsid w:val="00F433CF"/>
    <w:rsid w:val="00F60F4E"/>
    <w:rsid w:val="00F77243"/>
    <w:rsid w:val="00F823D3"/>
    <w:rsid w:val="00FA404C"/>
    <w:rsid w:val="00FB197A"/>
    <w:rsid w:val="00FB76B0"/>
    <w:rsid w:val="00FE39A2"/>
    <w:rsid w:val="00FE76B9"/>
    <w:rsid w:val="00FF57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4589B9"/>
  <w15:chartTrackingRefBased/>
  <w15:docId w15:val="{E3E274A2-55C4-0943-B148-E8A2EC4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0EDB"/>
    <w:rPr>
      <w:kern w:val="10"/>
      <w:sz w:val="22"/>
      <w:szCs w:val="20"/>
    </w:rPr>
  </w:style>
  <w:style w:type="character" w:customStyle="1" w:styleId="FootnoteTextChar">
    <w:name w:val="Footnote Text Char"/>
    <w:basedOn w:val="DefaultParagraphFont"/>
    <w:link w:val="FootnoteText"/>
    <w:uiPriority w:val="99"/>
    <w:semiHidden/>
    <w:rsid w:val="00EA0EDB"/>
    <w:rPr>
      <w:kern w:val="10"/>
      <w:sz w:val="22"/>
      <w:szCs w:val="20"/>
    </w:rPr>
  </w:style>
  <w:style w:type="character" w:styleId="FootnoteReference">
    <w:name w:val="footnote reference"/>
    <w:basedOn w:val="DefaultParagraphFont"/>
    <w:uiPriority w:val="99"/>
    <w:semiHidden/>
    <w:unhideWhenUsed/>
    <w:rsid w:val="00DB1054"/>
    <w:rPr>
      <w:vertAlign w:val="superscript"/>
    </w:rPr>
  </w:style>
  <w:style w:type="paragraph" w:styleId="Footer">
    <w:name w:val="footer"/>
    <w:basedOn w:val="Normal"/>
    <w:link w:val="FooterChar"/>
    <w:uiPriority w:val="99"/>
    <w:unhideWhenUsed/>
    <w:rsid w:val="00164095"/>
    <w:pPr>
      <w:tabs>
        <w:tab w:val="center" w:pos="4513"/>
        <w:tab w:val="right" w:pos="9026"/>
      </w:tabs>
    </w:pPr>
  </w:style>
  <w:style w:type="character" w:customStyle="1" w:styleId="FooterChar">
    <w:name w:val="Footer Char"/>
    <w:basedOn w:val="DefaultParagraphFont"/>
    <w:link w:val="Footer"/>
    <w:uiPriority w:val="99"/>
    <w:rsid w:val="00164095"/>
  </w:style>
  <w:style w:type="character" w:styleId="PageNumber">
    <w:name w:val="page number"/>
    <w:basedOn w:val="DefaultParagraphFont"/>
    <w:uiPriority w:val="99"/>
    <w:semiHidden/>
    <w:unhideWhenUsed/>
    <w:rsid w:val="00164095"/>
  </w:style>
  <w:style w:type="paragraph" w:styleId="NoSpacing">
    <w:name w:val="No Spacing"/>
    <w:uiPriority w:val="1"/>
    <w:qFormat/>
    <w:rsid w:val="0063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2031</Words>
  <Characters>11073</Characters>
  <Application>Microsoft Office Word</Application>
  <DocSecurity>0</DocSecurity>
  <Lines>158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Russell</cp:lastModifiedBy>
  <cp:revision>2</cp:revision>
  <cp:lastPrinted>2024-04-27T19:07:00Z</cp:lastPrinted>
  <dcterms:created xsi:type="dcterms:W3CDTF">2024-04-30T06:31:00Z</dcterms:created>
  <dcterms:modified xsi:type="dcterms:W3CDTF">2024-04-30T06:31:00Z</dcterms:modified>
</cp:coreProperties>
</file>