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C1" w:rsidRPr="007912C1" w:rsidRDefault="007912C1" w:rsidP="0049098E">
      <w:pPr>
        <w:jc w:val="both"/>
        <w:rPr>
          <w:rFonts w:ascii="Century Schoolbook" w:hAnsi="Century Schoolbook"/>
          <w:i/>
          <w:sz w:val="22"/>
          <w:szCs w:val="22"/>
          <w:lang w:val="en-GB"/>
        </w:rPr>
      </w:pPr>
      <w:r w:rsidRPr="007912C1">
        <w:rPr>
          <w:rFonts w:ascii="Century Schoolbook" w:hAnsi="Century Schoolbook"/>
          <w:i/>
          <w:sz w:val="22"/>
          <w:szCs w:val="22"/>
          <w:lang w:val="en-GB"/>
        </w:rPr>
        <w:t xml:space="preserve">Note: This is the author’s post-print version of an article published in the Journal of Medical Ethics (Online First in 2016).  The final publication is available via BMJ at </w:t>
      </w:r>
      <w:hyperlink r:id="rId7" w:tgtFrame="_new" w:history="1">
        <w:r w:rsidRPr="007912C1">
          <w:rPr>
            <w:rStyle w:val="Hyperlink"/>
            <w:rFonts w:ascii="Century Schoolbook" w:hAnsi="Century Schoolbook"/>
            <w:i/>
            <w:color w:val="2A6EBB"/>
            <w:sz w:val="22"/>
            <w:szCs w:val="22"/>
            <w:shd w:val="clear" w:color="auto" w:fill="FFFFFF"/>
          </w:rPr>
          <w:t>http://dx.doi.org/10.1136/medethics-2015-103345</w:t>
        </w:r>
      </w:hyperlink>
      <w:r w:rsidRPr="007912C1">
        <w:rPr>
          <w:rFonts w:ascii="Century Schoolbook" w:hAnsi="Century Schoolbook"/>
          <w:i/>
          <w:sz w:val="22"/>
          <w:szCs w:val="22"/>
        </w:rPr>
        <w:t xml:space="preserve"> .</w:t>
      </w:r>
      <w:r>
        <w:rPr>
          <w:rFonts w:ascii="Century Schoolbook" w:hAnsi="Century Schoolbook"/>
          <w:i/>
          <w:sz w:val="22"/>
          <w:szCs w:val="22"/>
        </w:rPr>
        <w:t xml:space="preserve">  It is one of a series of commentaries on Moore and Donnelly, “The job of ethics committees”, also currently Online First at JME.</w:t>
      </w:r>
      <w:bookmarkStart w:id="0" w:name="_GoBack"/>
      <w:bookmarkEnd w:id="0"/>
    </w:p>
    <w:p w:rsidR="007912C1" w:rsidRPr="007912C1" w:rsidRDefault="007912C1" w:rsidP="0049098E">
      <w:pPr>
        <w:jc w:val="both"/>
        <w:rPr>
          <w:rFonts w:ascii="Century Schoolbook" w:hAnsi="Century Schoolbook"/>
          <w:sz w:val="32"/>
          <w:szCs w:val="32"/>
          <w:lang w:val="en-GB"/>
        </w:rPr>
      </w:pPr>
    </w:p>
    <w:p w:rsidR="00FB41DE" w:rsidRDefault="00915EC6" w:rsidP="0049098E">
      <w:pPr>
        <w:jc w:val="both"/>
        <w:rPr>
          <w:rFonts w:ascii="Century Schoolbook" w:hAnsi="Century Schoolbook"/>
          <w:sz w:val="32"/>
          <w:szCs w:val="32"/>
          <w:lang w:val="en-GB"/>
        </w:rPr>
      </w:pPr>
      <w:r w:rsidRPr="007912C1">
        <w:rPr>
          <w:rFonts w:ascii="Century Schoolbook" w:hAnsi="Century Schoolbook"/>
          <w:sz w:val="32"/>
          <w:szCs w:val="32"/>
          <w:lang w:val="en-GB"/>
        </w:rPr>
        <w:t>Code-</w:t>
      </w:r>
      <w:r w:rsidR="00664881" w:rsidRPr="007912C1">
        <w:rPr>
          <w:rFonts w:ascii="Century Schoolbook" w:hAnsi="Century Schoolbook"/>
          <w:sz w:val="32"/>
          <w:szCs w:val="32"/>
          <w:lang w:val="en-GB"/>
        </w:rPr>
        <w:t xml:space="preserve">consistent ethics </w:t>
      </w:r>
      <w:proofErr w:type="gramStart"/>
      <w:r w:rsidR="00664881" w:rsidRPr="007912C1">
        <w:rPr>
          <w:rFonts w:ascii="Century Schoolbook" w:hAnsi="Century Schoolbook"/>
          <w:sz w:val="32"/>
          <w:szCs w:val="32"/>
          <w:lang w:val="en-GB"/>
        </w:rPr>
        <w:t>review:</w:t>
      </w:r>
      <w:proofErr w:type="gramEnd"/>
      <w:r w:rsidR="00664881" w:rsidRPr="007912C1">
        <w:rPr>
          <w:rFonts w:ascii="Century Schoolbook" w:hAnsi="Century Schoolbook"/>
          <w:sz w:val="32"/>
          <w:szCs w:val="32"/>
          <w:lang w:val="en-GB"/>
        </w:rPr>
        <w:t xml:space="preserve"> Defenc</w:t>
      </w:r>
      <w:r w:rsidRPr="007912C1">
        <w:rPr>
          <w:rFonts w:ascii="Century Schoolbook" w:hAnsi="Century Schoolbook"/>
          <w:sz w:val="32"/>
          <w:szCs w:val="32"/>
          <w:lang w:val="en-GB"/>
        </w:rPr>
        <w:t>e of a hybrid account</w:t>
      </w:r>
    </w:p>
    <w:p w:rsidR="007912C1" w:rsidRDefault="007912C1" w:rsidP="0049098E">
      <w:pPr>
        <w:jc w:val="both"/>
        <w:rPr>
          <w:rFonts w:ascii="Century Schoolbook" w:hAnsi="Century Schoolbook"/>
          <w:sz w:val="32"/>
          <w:szCs w:val="32"/>
          <w:lang w:val="en-GB"/>
        </w:rPr>
      </w:pPr>
    </w:p>
    <w:p w:rsidR="007912C1" w:rsidRPr="007912C1" w:rsidRDefault="007912C1" w:rsidP="0049098E">
      <w:pPr>
        <w:jc w:val="both"/>
        <w:rPr>
          <w:rFonts w:ascii="Century Schoolbook" w:hAnsi="Century Schoolbook"/>
          <w:lang w:val="en-GB"/>
        </w:rPr>
      </w:pPr>
      <w:r w:rsidRPr="007912C1">
        <w:rPr>
          <w:rFonts w:ascii="Century Schoolbook" w:hAnsi="Century Schoolbook"/>
          <w:lang w:val="en-GB"/>
        </w:rPr>
        <w:t>G. Owen Schaefer</w:t>
      </w:r>
    </w:p>
    <w:p w:rsidR="007912C1" w:rsidRPr="007912C1" w:rsidRDefault="007912C1" w:rsidP="0049098E">
      <w:pPr>
        <w:jc w:val="both"/>
        <w:rPr>
          <w:rFonts w:ascii="Century Schoolbook" w:hAnsi="Century Schoolbook"/>
          <w:lang w:val="en-GB"/>
        </w:rPr>
      </w:pPr>
      <w:r w:rsidRPr="007912C1">
        <w:rPr>
          <w:rFonts w:ascii="Century Schoolbook" w:hAnsi="Century Schoolbook"/>
          <w:lang w:val="en-GB"/>
        </w:rPr>
        <w:t>Centre for Biomedical Ethics, Yong Loo Lin School of Medicine, National University of Singapore</w:t>
      </w:r>
    </w:p>
    <w:p w:rsidR="00915EC6" w:rsidRDefault="00915EC6" w:rsidP="0049098E">
      <w:pPr>
        <w:jc w:val="both"/>
        <w:rPr>
          <w:rFonts w:ascii="Century Schoolbook" w:hAnsi="Century Schoolbook"/>
          <w:lang w:val="en-GB"/>
        </w:rPr>
      </w:pPr>
      <w:r w:rsidRPr="007912C1">
        <w:rPr>
          <w:rFonts w:ascii="Century Schoolbook" w:hAnsi="Century Schoolbook"/>
          <w:lang w:val="en-GB"/>
        </w:rPr>
        <w:tab/>
      </w:r>
    </w:p>
    <w:p w:rsidR="007912C1" w:rsidRPr="007912C1" w:rsidRDefault="007912C1" w:rsidP="0049098E">
      <w:pPr>
        <w:jc w:val="both"/>
        <w:rPr>
          <w:rFonts w:ascii="Century Schoolbook" w:hAnsi="Century Schoolbook"/>
          <w:lang w:val="en-GB"/>
        </w:rPr>
      </w:pPr>
    </w:p>
    <w:p w:rsidR="000F09E2" w:rsidRPr="007912C1" w:rsidRDefault="00915EC6" w:rsidP="0049098E">
      <w:pPr>
        <w:jc w:val="both"/>
        <w:rPr>
          <w:rFonts w:ascii="Century Schoolbook" w:hAnsi="Century Schoolbook"/>
          <w:lang w:val="en-GB"/>
        </w:rPr>
      </w:pPr>
      <w:r w:rsidRPr="007912C1">
        <w:rPr>
          <w:rFonts w:ascii="Century Schoolbook" w:hAnsi="Century Schoolbook"/>
          <w:lang w:val="en-GB"/>
        </w:rPr>
        <w:tab/>
        <w:t xml:space="preserve">It is generally unquestioned that human </w:t>
      </w:r>
      <w:proofErr w:type="gramStart"/>
      <w:r w:rsidRPr="007912C1">
        <w:rPr>
          <w:rFonts w:ascii="Century Schoolbook" w:hAnsi="Century Schoolbook"/>
          <w:lang w:val="en-GB"/>
        </w:rPr>
        <w:t>subjects</w:t>
      </w:r>
      <w:proofErr w:type="gramEnd"/>
      <w:r w:rsidRPr="007912C1">
        <w:rPr>
          <w:rFonts w:ascii="Century Schoolbook" w:hAnsi="Century Schoolbook"/>
          <w:lang w:val="en-GB"/>
        </w:rPr>
        <w:t xml:space="preserve"> research review boards should assess the ethical acceptability of protocols.  It says so right on the tin, after </w:t>
      </w:r>
      <w:proofErr w:type="gramStart"/>
      <w:r w:rsidRPr="007912C1">
        <w:rPr>
          <w:rFonts w:ascii="Century Schoolbook" w:hAnsi="Century Schoolbook"/>
          <w:lang w:val="en-GB"/>
        </w:rPr>
        <w:t>all:</w:t>
      </w:r>
      <w:proofErr w:type="gramEnd"/>
      <w:r w:rsidRPr="007912C1">
        <w:rPr>
          <w:rFonts w:ascii="Century Schoolbook" w:hAnsi="Century Schoolbook"/>
          <w:lang w:val="en-GB"/>
        </w:rPr>
        <w:t xml:space="preserve"> they are </w:t>
      </w:r>
      <w:r w:rsidR="000F09E2" w:rsidRPr="007912C1">
        <w:rPr>
          <w:rFonts w:ascii="Century Schoolbook" w:hAnsi="Century Schoolbook"/>
          <w:lang w:val="en-GB"/>
        </w:rPr>
        <w:t xml:space="preserve">explicitly called research </w:t>
      </w:r>
      <w:r w:rsidRPr="007912C1">
        <w:rPr>
          <w:rFonts w:ascii="Century Schoolbook" w:hAnsi="Century Schoolbook"/>
          <w:i/>
          <w:lang w:val="en-GB"/>
        </w:rPr>
        <w:t>ethics</w:t>
      </w:r>
      <w:r w:rsidRPr="007912C1">
        <w:rPr>
          <w:rFonts w:ascii="Century Schoolbook" w:hAnsi="Century Schoolbook"/>
          <w:lang w:val="en-GB"/>
        </w:rPr>
        <w:t xml:space="preserve"> </w:t>
      </w:r>
      <w:r w:rsidR="000F09E2" w:rsidRPr="007912C1">
        <w:rPr>
          <w:rFonts w:ascii="Century Schoolbook" w:hAnsi="Century Schoolbook"/>
          <w:lang w:val="en-GB"/>
        </w:rPr>
        <w:t>committees in the UK</w:t>
      </w:r>
      <w:r w:rsidRPr="007912C1">
        <w:rPr>
          <w:rFonts w:ascii="Century Schoolbook" w:hAnsi="Century Schoolbook"/>
          <w:lang w:val="en-GB"/>
        </w:rPr>
        <w:t xml:space="preserve">.  </w:t>
      </w:r>
      <w:proofErr w:type="gramStart"/>
      <w:r w:rsidRPr="007912C1">
        <w:rPr>
          <w:rFonts w:ascii="Century Schoolbook" w:hAnsi="Century Schoolbook"/>
          <w:lang w:val="en-GB"/>
        </w:rPr>
        <w:t>But</w:t>
      </w:r>
      <w:proofErr w:type="gramEnd"/>
      <w:r w:rsidRPr="007912C1">
        <w:rPr>
          <w:rFonts w:ascii="Century Schoolbook" w:hAnsi="Century Schoolbook"/>
          <w:lang w:val="en-GB"/>
        </w:rPr>
        <w:t xml:space="preserve"> it is precisely those sort</w:t>
      </w:r>
      <w:r w:rsidR="000F09E2" w:rsidRPr="007912C1">
        <w:rPr>
          <w:rFonts w:ascii="Century Schoolbook" w:hAnsi="Century Schoolbook"/>
          <w:lang w:val="en-GB"/>
        </w:rPr>
        <w:t>s</w:t>
      </w:r>
      <w:r w:rsidRPr="007912C1">
        <w:rPr>
          <w:rFonts w:ascii="Century Schoolbook" w:hAnsi="Century Schoolbook"/>
          <w:lang w:val="en-GB"/>
        </w:rPr>
        <w:t xml:space="preserve"> of unchallenged assumptions that should, from time to time, be assessed and critiqued, in case they are in fact unfounded.  </w:t>
      </w:r>
      <w:r w:rsidR="000F09E2" w:rsidRPr="007912C1">
        <w:rPr>
          <w:rFonts w:ascii="Century Schoolbook" w:hAnsi="Century Schoolbook"/>
          <w:lang w:val="en-GB"/>
        </w:rPr>
        <w:t xml:space="preserve">John Stuart Mill’s </w:t>
      </w:r>
      <w:r w:rsidR="005565A5" w:rsidRPr="007912C1">
        <w:rPr>
          <w:rFonts w:ascii="Century Schoolbook" w:hAnsi="Century Schoolbook"/>
          <w:lang w:val="en-GB"/>
        </w:rPr>
        <w:t>objection to suppressers of</w:t>
      </w:r>
      <w:r w:rsidR="000F09E2" w:rsidRPr="007912C1">
        <w:rPr>
          <w:rFonts w:ascii="Century Schoolbook" w:hAnsi="Century Schoolbook"/>
          <w:lang w:val="en-GB"/>
        </w:rPr>
        <w:t xml:space="preserve"> dissent</w:t>
      </w:r>
      <w:r w:rsidR="008B3460" w:rsidRPr="007912C1">
        <w:rPr>
          <w:rFonts w:ascii="Century Schoolbook" w:hAnsi="Century Schoolbook"/>
          <w:lang w:val="en-GB"/>
        </w:rPr>
        <w:t xml:space="preserve"> is instructive here: </w:t>
      </w:r>
      <w:r w:rsidR="005565A5" w:rsidRPr="007912C1">
        <w:rPr>
          <w:rFonts w:ascii="Century Schoolbook" w:hAnsi="Century Schoolbook"/>
          <w:lang w:val="en-GB"/>
        </w:rPr>
        <w:t>“If the opinion is right, they are deprived of the opportunity of exchanging error for truth: if wrong, they lose, what is almost as great a benefit, the clearer perception and livelier impression of truth, produced by its collision with error.”</w:t>
      </w:r>
      <w:r w:rsidR="005565A5" w:rsidRPr="007912C1">
        <w:rPr>
          <w:rStyle w:val="EndnoteReference"/>
          <w:rFonts w:ascii="Century Schoolbook" w:hAnsi="Century Schoolbook"/>
          <w:lang w:val="en-GB"/>
        </w:rPr>
        <w:endnoteReference w:id="1"/>
      </w:r>
    </w:p>
    <w:p w:rsidR="00915EC6" w:rsidRPr="007912C1" w:rsidRDefault="00915EC6" w:rsidP="0049098E">
      <w:pPr>
        <w:jc w:val="both"/>
        <w:rPr>
          <w:rFonts w:ascii="Century Schoolbook" w:hAnsi="Century Schoolbook"/>
          <w:lang w:val="en-GB"/>
        </w:rPr>
      </w:pPr>
      <w:r w:rsidRPr="007912C1">
        <w:rPr>
          <w:rFonts w:ascii="Century Schoolbook" w:hAnsi="Century Schoolbook"/>
          <w:lang w:val="en-GB"/>
        </w:rPr>
        <w:t>Andrew Moore and Andrew Donnelly’s compelling article, “The job of ‘ethics committees</w:t>
      </w:r>
      <w:r w:rsidR="000F09E2" w:rsidRPr="007912C1">
        <w:rPr>
          <w:rFonts w:ascii="Century Schoolbook" w:hAnsi="Century Schoolbook"/>
          <w:lang w:val="en-GB"/>
        </w:rPr>
        <w:t>’</w:t>
      </w:r>
      <w:r w:rsidRPr="007912C1">
        <w:rPr>
          <w:rFonts w:ascii="Century Schoolbook" w:hAnsi="Century Schoolbook"/>
          <w:lang w:val="en-GB"/>
        </w:rPr>
        <w:t>”, is just th</w:t>
      </w:r>
      <w:r w:rsidR="000F09E2" w:rsidRPr="007912C1">
        <w:rPr>
          <w:rFonts w:ascii="Century Schoolbook" w:hAnsi="Century Schoolbook"/>
          <w:lang w:val="en-GB"/>
        </w:rPr>
        <w:t>is sort of challenge to conventional wisdom</w:t>
      </w:r>
      <w:r w:rsidR="005563EA" w:rsidRPr="007912C1">
        <w:rPr>
          <w:rFonts w:ascii="Century Schoolbook" w:hAnsi="Century Schoolbook"/>
          <w:lang w:val="en-GB"/>
        </w:rPr>
        <w:t>, a rejection of the notion that review boards should be considering ethical matters at all</w:t>
      </w:r>
      <w:r w:rsidR="000F09E2" w:rsidRPr="007912C1">
        <w:rPr>
          <w:rFonts w:ascii="Century Schoolbook" w:hAnsi="Century Schoolbook"/>
          <w:lang w:val="en-GB"/>
        </w:rPr>
        <w:t>.</w:t>
      </w:r>
      <w:r w:rsidR="005565A5" w:rsidRPr="007912C1">
        <w:rPr>
          <w:rStyle w:val="EndnoteReference"/>
          <w:rFonts w:ascii="Century Schoolbook" w:hAnsi="Century Schoolbook"/>
          <w:lang w:val="en-GB"/>
        </w:rPr>
        <w:endnoteReference w:id="2"/>
      </w:r>
      <w:r w:rsidR="000F09E2" w:rsidRPr="007912C1">
        <w:rPr>
          <w:rFonts w:ascii="Century Schoolbook" w:hAnsi="Century Schoolbook"/>
          <w:lang w:val="en-GB"/>
        </w:rPr>
        <w:t xml:space="preserve">  If </w:t>
      </w:r>
      <w:proofErr w:type="gramStart"/>
      <w:r w:rsidR="000F09E2" w:rsidRPr="007912C1">
        <w:rPr>
          <w:rFonts w:ascii="Century Schoolbook" w:hAnsi="Century Schoolbook"/>
          <w:lang w:val="en-GB"/>
        </w:rPr>
        <w:t>true</w:t>
      </w:r>
      <w:proofErr w:type="gramEnd"/>
      <w:r w:rsidR="000F09E2" w:rsidRPr="007912C1">
        <w:rPr>
          <w:rFonts w:ascii="Century Schoolbook" w:hAnsi="Century Schoolbook"/>
          <w:lang w:val="en-GB"/>
        </w:rPr>
        <w:t xml:space="preserve">, we should be substantially reforming our research ethics policies.  </w:t>
      </w:r>
      <w:proofErr w:type="gramStart"/>
      <w:r w:rsidR="000F09E2" w:rsidRPr="007912C1">
        <w:rPr>
          <w:rFonts w:ascii="Century Schoolbook" w:hAnsi="Century Schoolbook"/>
          <w:lang w:val="en-GB"/>
        </w:rPr>
        <w:t>And</w:t>
      </w:r>
      <w:proofErr w:type="gramEnd"/>
      <w:r w:rsidR="000F09E2" w:rsidRPr="007912C1">
        <w:rPr>
          <w:rFonts w:ascii="Century Schoolbook" w:hAnsi="Century Schoolbook"/>
          <w:lang w:val="en-GB"/>
        </w:rPr>
        <w:t xml:space="preserve"> if false, </w:t>
      </w:r>
      <w:r w:rsidR="005563EA" w:rsidRPr="007912C1">
        <w:rPr>
          <w:rFonts w:ascii="Century Schoolbook" w:hAnsi="Century Schoolbook"/>
          <w:lang w:val="en-GB"/>
        </w:rPr>
        <w:t>rebuttals would</w:t>
      </w:r>
      <w:r w:rsidR="000F09E2" w:rsidRPr="007912C1">
        <w:rPr>
          <w:rFonts w:ascii="Century Schoolbook" w:hAnsi="Century Schoolbook"/>
          <w:lang w:val="en-GB"/>
        </w:rPr>
        <w:t xml:space="preserve"> </w:t>
      </w:r>
      <w:r w:rsidR="005563EA" w:rsidRPr="007912C1">
        <w:rPr>
          <w:rFonts w:ascii="Century Schoolbook" w:hAnsi="Century Schoolbook"/>
          <w:lang w:val="en-GB"/>
        </w:rPr>
        <w:t xml:space="preserve">help strengthen and ground </w:t>
      </w:r>
      <w:r w:rsidR="000F09E2" w:rsidRPr="007912C1">
        <w:rPr>
          <w:rFonts w:ascii="Century Schoolbook" w:hAnsi="Century Schoolbook"/>
          <w:lang w:val="en-GB"/>
        </w:rPr>
        <w:t xml:space="preserve">the otherwise-unquestioned assumption of the role of ethics committees.  </w:t>
      </w:r>
      <w:r w:rsidR="005565A5" w:rsidRPr="007912C1">
        <w:rPr>
          <w:rFonts w:ascii="Century Schoolbook" w:hAnsi="Century Schoolbook"/>
          <w:lang w:val="en-GB"/>
        </w:rPr>
        <w:t>As it happens</w:t>
      </w:r>
      <w:r w:rsidR="000F09E2" w:rsidRPr="007912C1">
        <w:rPr>
          <w:rFonts w:ascii="Century Schoolbook" w:hAnsi="Century Schoolbook"/>
          <w:lang w:val="en-GB"/>
        </w:rPr>
        <w:t>, I will argue that their critiques</w:t>
      </w:r>
      <w:r w:rsidR="005565A5" w:rsidRPr="007912C1">
        <w:rPr>
          <w:rFonts w:ascii="Century Schoolbook" w:hAnsi="Century Schoolbook"/>
          <w:lang w:val="en-GB"/>
        </w:rPr>
        <w:t xml:space="preserve"> </w:t>
      </w:r>
      <w:r w:rsidR="00D77CF8" w:rsidRPr="007912C1">
        <w:rPr>
          <w:rFonts w:ascii="Century Schoolbook" w:hAnsi="Century Schoolbook"/>
          <w:lang w:val="en-GB"/>
        </w:rPr>
        <w:t xml:space="preserve">fall into the second category.  While </w:t>
      </w:r>
      <w:r w:rsidR="005565A5" w:rsidRPr="007912C1">
        <w:rPr>
          <w:rFonts w:ascii="Century Schoolbook" w:hAnsi="Century Schoolbook"/>
          <w:lang w:val="en-GB"/>
        </w:rPr>
        <w:t xml:space="preserve">mistaken, </w:t>
      </w:r>
      <w:r w:rsidR="00D77CF8" w:rsidRPr="007912C1">
        <w:rPr>
          <w:rFonts w:ascii="Century Schoolbook" w:hAnsi="Century Schoolbook"/>
          <w:lang w:val="en-GB"/>
        </w:rPr>
        <w:t>they</w:t>
      </w:r>
      <w:r w:rsidR="005565A5" w:rsidRPr="007912C1">
        <w:rPr>
          <w:rFonts w:ascii="Century Schoolbook" w:hAnsi="Century Schoolbook"/>
          <w:lang w:val="en-GB"/>
        </w:rPr>
        <w:t xml:space="preserve"> present a valuable opportunity to clarify the role of ethics committees and their relationship to relevant codes.</w:t>
      </w:r>
      <w:r w:rsidR="00D77CF8" w:rsidRPr="007912C1">
        <w:rPr>
          <w:rFonts w:ascii="Century Schoolbook" w:hAnsi="Century Schoolbook"/>
          <w:lang w:val="en-GB"/>
        </w:rPr>
        <w:t xml:space="preserve">  In particular, I will defend a hybrid account where codes (those with regulatory force, in particular) have </w:t>
      </w:r>
      <w:r w:rsidR="00D77CF8" w:rsidRPr="007912C1">
        <w:rPr>
          <w:rFonts w:ascii="Century Schoolbook" w:hAnsi="Century Schoolbook"/>
          <w:lang w:val="en-GB"/>
        </w:rPr>
        <w:lastRenderedPageBreak/>
        <w:t>strict primacy, but leave significant room for review boards to make ethical judgments concerning a protocol’s acceptability.</w:t>
      </w:r>
    </w:p>
    <w:p w:rsidR="00D77CF8" w:rsidRPr="007912C1" w:rsidRDefault="00456D1B" w:rsidP="0049098E">
      <w:pPr>
        <w:jc w:val="both"/>
        <w:rPr>
          <w:rFonts w:ascii="Century Schoolbook" w:hAnsi="Century Schoolbook"/>
          <w:b/>
          <w:lang w:val="en-GB"/>
        </w:rPr>
      </w:pPr>
      <w:r w:rsidRPr="007912C1">
        <w:rPr>
          <w:rFonts w:ascii="Century Schoolbook" w:hAnsi="Century Schoolbook"/>
          <w:b/>
          <w:lang w:val="en-GB"/>
        </w:rPr>
        <w:t>A</w:t>
      </w:r>
      <w:r w:rsidR="00D77CF8" w:rsidRPr="007912C1">
        <w:rPr>
          <w:rFonts w:ascii="Century Schoolbook" w:hAnsi="Century Schoolbook"/>
          <w:b/>
          <w:lang w:val="en-GB"/>
        </w:rPr>
        <w:t xml:space="preserve"> hybrid account</w:t>
      </w:r>
    </w:p>
    <w:p w:rsidR="005563EA" w:rsidRPr="007912C1" w:rsidRDefault="00D77CF8" w:rsidP="0049098E">
      <w:pPr>
        <w:jc w:val="both"/>
        <w:rPr>
          <w:rFonts w:ascii="Century Schoolbook" w:hAnsi="Century Schoolbook"/>
          <w:lang w:val="en-GB"/>
        </w:rPr>
      </w:pPr>
      <w:r w:rsidRPr="007912C1">
        <w:rPr>
          <w:rFonts w:ascii="Century Schoolbook" w:hAnsi="Century Schoolbook"/>
          <w:lang w:val="en-GB"/>
        </w:rPr>
        <w:t xml:space="preserve">Moore and Donnelly </w:t>
      </w:r>
      <w:r w:rsidR="005563EA" w:rsidRPr="007912C1">
        <w:rPr>
          <w:rFonts w:ascii="Century Schoolbook" w:hAnsi="Century Schoolbook"/>
          <w:lang w:val="en-GB"/>
        </w:rPr>
        <w:t xml:space="preserve">argue that review boards should be solely focused on ‘code-consistency’, rejecting both </w:t>
      </w:r>
      <w:r w:rsidRPr="007912C1">
        <w:rPr>
          <w:rFonts w:ascii="Century Schoolbook" w:hAnsi="Century Schoolbook"/>
          <w:lang w:val="en-GB"/>
        </w:rPr>
        <w:t>purely ‘ethics-</w:t>
      </w:r>
      <w:r w:rsidR="005563EA" w:rsidRPr="007912C1">
        <w:rPr>
          <w:rFonts w:ascii="Century Schoolbook" w:hAnsi="Century Schoolbook"/>
          <w:lang w:val="en-GB"/>
        </w:rPr>
        <w:t>consistency’ approaches and mixed approaches where review committees assess both ethical acceptability and consistency with codes.  However, I propose an alternative sort of hybrid account that does not fall prey to their critiques, and offers significant advantages over the code-consistency approach.</w:t>
      </w:r>
      <w:r w:rsidR="00A0542A" w:rsidRPr="007912C1">
        <w:rPr>
          <w:rFonts w:ascii="Century Schoolbook" w:hAnsi="Century Schoolbook"/>
          <w:lang w:val="en-GB"/>
        </w:rPr>
        <w:t xml:space="preserve"> This proposal will focus on research ethics review.  Moore and Donnelly’s article is broader in scope, but I believe the arguments will apply mutatis mutandis to other forms of ethics review.</w:t>
      </w:r>
    </w:p>
    <w:p w:rsidR="00113DE4" w:rsidRPr="007912C1" w:rsidRDefault="005563EA" w:rsidP="0049098E">
      <w:pPr>
        <w:jc w:val="both"/>
        <w:rPr>
          <w:rFonts w:ascii="Century Schoolbook" w:hAnsi="Century Schoolbook"/>
          <w:lang w:val="en-GB"/>
        </w:rPr>
      </w:pPr>
      <w:r w:rsidRPr="007912C1">
        <w:rPr>
          <w:rFonts w:ascii="Century Schoolbook" w:hAnsi="Century Schoolbook"/>
          <w:lang w:val="en-GB"/>
        </w:rPr>
        <w:t xml:space="preserve">I would submit that </w:t>
      </w:r>
      <w:r w:rsidR="00A0542A" w:rsidRPr="007912C1">
        <w:rPr>
          <w:rFonts w:ascii="Century Schoolbook" w:hAnsi="Century Schoolbook"/>
          <w:lang w:val="en-GB"/>
        </w:rPr>
        <w:t xml:space="preserve">research </w:t>
      </w:r>
      <w:r w:rsidRPr="007912C1">
        <w:rPr>
          <w:rFonts w:ascii="Century Schoolbook" w:hAnsi="Century Schoolbook"/>
          <w:lang w:val="en-GB"/>
        </w:rPr>
        <w:t>ethi</w:t>
      </w:r>
      <w:r w:rsidR="00A0542A" w:rsidRPr="007912C1">
        <w:rPr>
          <w:rFonts w:ascii="Century Schoolbook" w:hAnsi="Century Schoolbook"/>
          <w:lang w:val="en-GB"/>
        </w:rPr>
        <w:t xml:space="preserve">cs review boards should treat relevant codes as hard side-constraints on the ethical acceptability of protocols.  This means that, when they conflict, codes should take primacy over committees’ ethical judgments.  </w:t>
      </w:r>
      <w:proofErr w:type="gramStart"/>
      <w:r w:rsidR="00A0542A" w:rsidRPr="007912C1">
        <w:rPr>
          <w:rFonts w:ascii="Century Schoolbook" w:hAnsi="Century Schoolbook"/>
          <w:lang w:val="en-GB"/>
        </w:rPr>
        <w:t>But</w:t>
      </w:r>
      <w:proofErr w:type="gramEnd"/>
      <w:r w:rsidR="00A0542A" w:rsidRPr="007912C1">
        <w:rPr>
          <w:rFonts w:ascii="Century Schoolbook" w:hAnsi="Century Schoolbook"/>
          <w:lang w:val="en-GB"/>
        </w:rPr>
        <w:t xml:space="preserve"> codes are (and should be) typically designed to delineate when a protocol must be rejected, not when it must be approved.  </w:t>
      </w:r>
    </w:p>
    <w:p w:rsidR="005563EA" w:rsidRPr="007912C1" w:rsidRDefault="00A0542A" w:rsidP="0049098E">
      <w:pPr>
        <w:jc w:val="both"/>
        <w:rPr>
          <w:rFonts w:ascii="Century Schoolbook" w:hAnsi="Century Schoolbook"/>
          <w:lang w:val="en-GB"/>
        </w:rPr>
      </w:pPr>
      <w:r w:rsidRPr="007912C1">
        <w:rPr>
          <w:rFonts w:ascii="Century Schoolbook" w:hAnsi="Century Schoolbook"/>
          <w:lang w:val="en-GB"/>
        </w:rPr>
        <w:t xml:space="preserve">As a result, </w:t>
      </w:r>
      <w:r w:rsidR="00456D1B" w:rsidRPr="007912C1">
        <w:rPr>
          <w:rFonts w:ascii="Century Schoolbook" w:hAnsi="Century Schoolbook"/>
          <w:lang w:val="en-GB"/>
        </w:rPr>
        <w:t>this approach avoids Moore and Donnelly’s objection that hybrid approaches lead to irresolvable conflicts.  C</w:t>
      </w:r>
      <w:r w:rsidRPr="007912C1">
        <w:rPr>
          <w:rFonts w:ascii="Century Schoolbook" w:hAnsi="Century Schoolbook"/>
          <w:lang w:val="en-GB"/>
        </w:rPr>
        <w:t>onflict</w:t>
      </w:r>
      <w:r w:rsidR="00537242" w:rsidRPr="007912C1">
        <w:rPr>
          <w:rFonts w:ascii="Century Schoolbook" w:hAnsi="Century Schoolbook"/>
          <w:lang w:val="en-GB"/>
        </w:rPr>
        <w:t>s</w:t>
      </w:r>
      <w:r w:rsidRPr="007912C1">
        <w:rPr>
          <w:rFonts w:ascii="Century Schoolbook" w:hAnsi="Century Schoolbook"/>
          <w:lang w:val="en-GB"/>
        </w:rPr>
        <w:t xml:space="preserve"> will only emerge when the code requires rejection (or emendation) of a protocol, but in the </w:t>
      </w:r>
      <w:r w:rsidR="00113DE4" w:rsidRPr="007912C1">
        <w:rPr>
          <w:rFonts w:ascii="Century Schoolbook" w:hAnsi="Century Schoolbook"/>
          <w:lang w:val="en-GB"/>
        </w:rPr>
        <w:t xml:space="preserve">ethical </w:t>
      </w:r>
      <w:r w:rsidRPr="007912C1">
        <w:rPr>
          <w:rFonts w:ascii="Century Schoolbook" w:hAnsi="Century Schoolbook"/>
          <w:lang w:val="en-GB"/>
        </w:rPr>
        <w:t>judgment of a committee m</w:t>
      </w:r>
      <w:r w:rsidR="00113DE4" w:rsidRPr="007912C1">
        <w:rPr>
          <w:rFonts w:ascii="Century Schoolbook" w:hAnsi="Century Schoolbook"/>
          <w:lang w:val="en-GB"/>
        </w:rPr>
        <w:t xml:space="preserve">ember it should be approved.  </w:t>
      </w:r>
      <w:r w:rsidR="00537242" w:rsidRPr="007912C1">
        <w:rPr>
          <w:rFonts w:ascii="Century Schoolbook" w:hAnsi="Century Schoolbook"/>
          <w:lang w:val="en-GB"/>
        </w:rPr>
        <w:t>This approach resolves the conflict by taking codes as ‘trumping’ the variable ethical judgments of committee members and requiring that</w:t>
      </w:r>
      <w:r w:rsidRPr="007912C1">
        <w:rPr>
          <w:rFonts w:ascii="Century Schoolbook" w:hAnsi="Century Schoolbook"/>
          <w:lang w:val="en-GB"/>
        </w:rPr>
        <w:t xml:space="preserve"> the protocol </w:t>
      </w:r>
      <w:proofErr w:type="gramStart"/>
      <w:r w:rsidRPr="007912C1">
        <w:rPr>
          <w:rFonts w:ascii="Century Schoolbook" w:hAnsi="Century Schoolbook"/>
          <w:lang w:val="en-GB"/>
        </w:rPr>
        <w:t>be rejected</w:t>
      </w:r>
      <w:proofErr w:type="gramEnd"/>
      <w:r w:rsidRPr="007912C1">
        <w:rPr>
          <w:rFonts w:ascii="Century Schoolbook" w:hAnsi="Century Schoolbook"/>
          <w:lang w:val="en-GB"/>
        </w:rPr>
        <w:t xml:space="preserve"> accordingly.  However, in a case where the code does not require rejection, but committee members believe it to be unethical</w:t>
      </w:r>
      <w:r w:rsidR="00456D1B" w:rsidRPr="007912C1">
        <w:rPr>
          <w:rFonts w:ascii="Century Schoolbook" w:hAnsi="Century Schoolbook"/>
          <w:lang w:val="en-GB"/>
        </w:rPr>
        <w:t xml:space="preserve">, </w:t>
      </w:r>
      <w:r w:rsidR="00113DE4" w:rsidRPr="007912C1">
        <w:rPr>
          <w:rFonts w:ascii="Century Schoolbook" w:hAnsi="Century Schoolbook"/>
          <w:lang w:val="en-GB"/>
        </w:rPr>
        <w:t>there is no actual conflict – since codes do not generally require approval, ethics boards can consistently reject the protocol</w:t>
      </w:r>
      <w:r w:rsidR="00456D1B" w:rsidRPr="007912C1">
        <w:rPr>
          <w:rFonts w:ascii="Century Schoolbook" w:hAnsi="Century Schoolbook"/>
          <w:lang w:val="en-GB"/>
        </w:rPr>
        <w:t xml:space="preserve">. </w:t>
      </w:r>
      <w:r w:rsidR="00113DE4" w:rsidRPr="007912C1">
        <w:rPr>
          <w:rFonts w:ascii="Century Schoolbook" w:hAnsi="Century Schoolbook"/>
          <w:lang w:val="en-GB"/>
        </w:rPr>
        <w:t xml:space="preserve"> Similar things </w:t>
      </w:r>
      <w:proofErr w:type="gramStart"/>
      <w:r w:rsidR="00113DE4" w:rsidRPr="007912C1">
        <w:rPr>
          <w:rFonts w:ascii="Century Schoolbook" w:hAnsi="Century Schoolbook"/>
          <w:lang w:val="en-GB"/>
        </w:rPr>
        <w:t>can be said</w:t>
      </w:r>
      <w:proofErr w:type="gramEnd"/>
      <w:r w:rsidR="00113DE4" w:rsidRPr="007912C1">
        <w:rPr>
          <w:rFonts w:ascii="Century Schoolbook" w:hAnsi="Century Schoolbook"/>
          <w:lang w:val="en-GB"/>
        </w:rPr>
        <w:t xml:space="preserve"> when there are ethics and code conflicts concerning appropriate review procedures – codified procedures should be implemented, but when the codes do not prohibit</w:t>
      </w:r>
      <w:r w:rsidR="00537242" w:rsidRPr="007912C1">
        <w:rPr>
          <w:rFonts w:ascii="Century Schoolbook" w:hAnsi="Century Schoolbook"/>
          <w:lang w:val="en-GB"/>
        </w:rPr>
        <w:t xml:space="preserve"> or require</w:t>
      </w:r>
      <w:r w:rsidR="00113DE4" w:rsidRPr="007912C1">
        <w:rPr>
          <w:rFonts w:ascii="Century Schoolbook" w:hAnsi="Century Schoolbook"/>
          <w:lang w:val="en-GB"/>
        </w:rPr>
        <w:t xml:space="preserve"> certain procedures, ethical considerations </w:t>
      </w:r>
      <w:r w:rsidR="00537242" w:rsidRPr="007912C1">
        <w:rPr>
          <w:rFonts w:ascii="Century Schoolbook" w:hAnsi="Century Schoolbook"/>
          <w:lang w:val="en-GB"/>
        </w:rPr>
        <w:t>may be determinative</w:t>
      </w:r>
      <w:r w:rsidR="00113DE4" w:rsidRPr="007912C1">
        <w:rPr>
          <w:rFonts w:ascii="Century Schoolbook" w:hAnsi="Century Schoolbook"/>
          <w:lang w:val="en-GB"/>
        </w:rPr>
        <w:t>.</w:t>
      </w:r>
    </w:p>
    <w:p w:rsidR="00537242" w:rsidRPr="007912C1" w:rsidRDefault="00537242" w:rsidP="0049098E">
      <w:pPr>
        <w:jc w:val="both"/>
        <w:rPr>
          <w:rFonts w:ascii="Century Schoolbook" w:hAnsi="Century Schoolbook"/>
          <w:lang w:val="en-GB"/>
        </w:rPr>
      </w:pPr>
    </w:p>
    <w:p w:rsidR="00456D1B" w:rsidRPr="007912C1" w:rsidRDefault="006B33A1" w:rsidP="0049098E">
      <w:pPr>
        <w:jc w:val="both"/>
        <w:rPr>
          <w:rFonts w:ascii="Century Schoolbook" w:hAnsi="Century Schoolbook"/>
          <w:b/>
          <w:lang w:val="en-GB"/>
        </w:rPr>
      </w:pPr>
      <w:r w:rsidRPr="007912C1">
        <w:rPr>
          <w:rFonts w:ascii="Century Schoolbook" w:hAnsi="Century Schoolbook"/>
          <w:b/>
          <w:lang w:val="en-GB"/>
        </w:rPr>
        <w:t>Avoiding objections</w:t>
      </w:r>
    </w:p>
    <w:p w:rsidR="000F09E2" w:rsidRPr="007912C1" w:rsidRDefault="00456D1B" w:rsidP="0049098E">
      <w:pPr>
        <w:jc w:val="both"/>
        <w:rPr>
          <w:rFonts w:ascii="Century Schoolbook" w:hAnsi="Century Schoolbook"/>
          <w:lang w:val="en-GB"/>
        </w:rPr>
      </w:pPr>
      <w:r w:rsidRPr="007912C1">
        <w:rPr>
          <w:rFonts w:ascii="Century Schoolbook" w:hAnsi="Century Schoolbook"/>
          <w:lang w:val="en-GB"/>
        </w:rPr>
        <w:t xml:space="preserve">Moore and Donnelly object to hybrid approaches based on both the general flaws of ‘ethics-consistency’ approaches and the particular problem of inconsistencies between codes and ethics that, they claim, </w:t>
      </w:r>
      <w:r w:rsidRPr="007912C1">
        <w:rPr>
          <w:rFonts w:ascii="Century Schoolbook" w:hAnsi="Century Schoolbook"/>
          <w:lang w:val="en-GB"/>
        </w:rPr>
        <w:lastRenderedPageBreak/>
        <w:t>make hybrid approaches untenable.</w:t>
      </w:r>
      <w:r w:rsidR="00113DE4" w:rsidRPr="007912C1">
        <w:rPr>
          <w:rFonts w:ascii="Century Schoolbook" w:hAnsi="Century Schoolbook"/>
          <w:lang w:val="en-GB"/>
        </w:rPr>
        <w:t xml:space="preserve">  I have already noted how the above approach does not actually generate inconsistencies, and will now turn to how it mitigates the further flaws of pure ethical approaches while providing further advantages of its own.</w:t>
      </w:r>
    </w:p>
    <w:p w:rsidR="00113DE4" w:rsidRPr="007912C1" w:rsidRDefault="00113DE4" w:rsidP="0049098E">
      <w:pPr>
        <w:jc w:val="both"/>
        <w:rPr>
          <w:rFonts w:ascii="Century Schoolbook" w:hAnsi="Century Schoolbook"/>
          <w:lang w:val="en-GB"/>
        </w:rPr>
      </w:pPr>
      <w:r w:rsidRPr="007912C1">
        <w:rPr>
          <w:rFonts w:ascii="Century Schoolbook" w:hAnsi="Century Schoolbook"/>
          <w:lang w:val="en-GB"/>
        </w:rPr>
        <w:t>By requiring subservience to the content of codes, the hybrid approach can maintain practicality</w:t>
      </w:r>
      <w:r w:rsidR="00300C32" w:rsidRPr="007912C1">
        <w:rPr>
          <w:rFonts w:ascii="Century Schoolbook" w:hAnsi="Century Schoolbook"/>
          <w:lang w:val="en-GB"/>
        </w:rPr>
        <w:t>,</w:t>
      </w:r>
      <w:r w:rsidRPr="007912C1">
        <w:rPr>
          <w:rFonts w:ascii="Century Schoolbook" w:hAnsi="Century Schoolbook"/>
          <w:lang w:val="en-GB"/>
        </w:rPr>
        <w:t xml:space="preserve"> publicity, and </w:t>
      </w:r>
      <w:r w:rsidR="00463513" w:rsidRPr="007912C1">
        <w:rPr>
          <w:rFonts w:ascii="Century Schoolbook" w:hAnsi="Century Schoolbook"/>
          <w:lang w:val="en-GB"/>
        </w:rPr>
        <w:t xml:space="preserve">separation of powers that Moore and Donnelly find lacking in ‘ethics-consistency’ approaches.  A solid backbone of ethical requirements for research gives committees clear requirements and standards for how to review.  The approach is public insofar as the codified requirements are explicitly delineated, and ethical discretion is itself codified by explicit delegation of judgment in particular areas; this gives researchers an adequate guide on how to design their protocols for ethical acceptability.  </w:t>
      </w:r>
      <w:proofErr w:type="gramStart"/>
      <w:r w:rsidR="00463513" w:rsidRPr="007912C1">
        <w:rPr>
          <w:rFonts w:ascii="Century Schoolbook" w:hAnsi="Century Schoolbook"/>
          <w:lang w:val="en-GB"/>
        </w:rPr>
        <w:t>And</w:t>
      </w:r>
      <w:proofErr w:type="gramEnd"/>
      <w:r w:rsidR="00463513" w:rsidRPr="007912C1">
        <w:rPr>
          <w:rFonts w:ascii="Century Schoolbook" w:hAnsi="Century Schoolbook"/>
          <w:lang w:val="en-GB"/>
        </w:rPr>
        <w:t xml:space="preserve"> it maintains separation of powers by disallowing ethics committees from overriding codified requirements.</w:t>
      </w:r>
    </w:p>
    <w:p w:rsidR="000F09E2" w:rsidRPr="007912C1" w:rsidRDefault="000F09E2" w:rsidP="0049098E">
      <w:pPr>
        <w:jc w:val="both"/>
        <w:rPr>
          <w:rFonts w:ascii="Century Schoolbook" w:hAnsi="Century Schoolbook"/>
          <w:lang w:val="en-GB"/>
        </w:rPr>
      </w:pPr>
      <w:r w:rsidRPr="007912C1">
        <w:rPr>
          <w:rFonts w:ascii="Century Schoolbook" w:hAnsi="Century Schoolbook"/>
          <w:lang w:val="en-GB"/>
        </w:rPr>
        <w:t xml:space="preserve"> </w:t>
      </w:r>
      <w:r w:rsidR="00463513" w:rsidRPr="007912C1">
        <w:rPr>
          <w:rFonts w:ascii="Century Schoolbook" w:hAnsi="Century Schoolbook"/>
          <w:lang w:val="en-GB"/>
        </w:rPr>
        <w:t xml:space="preserve">Moore and Donnelly are further concerned that ‘ethics-consistency’ approaches make ethics committees unanswerable to the state, encourages authoritarian deference to committee decisions and lead to confusions over scope.  Again, the hybrid approach maintains subservience to the </w:t>
      </w:r>
      <w:proofErr w:type="gramStart"/>
      <w:r w:rsidR="00463513" w:rsidRPr="007912C1">
        <w:rPr>
          <w:rFonts w:ascii="Century Schoolbook" w:hAnsi="Century Schoolbook"/>
          <w:lang w:val="en-GB"/>
        </w:rPr>
        <w:t>state’s</w:t>
      </w:r>
      <w:proofErr w:type="gramEnd"/>
      <w:r w:rsidR="00463513" w:rsidRPr="007912C1">
        <w:rPr>
          <w:rFonts w:ascii="Century Schoolbook" w:hAnsi="Century Schoolbook"/>
          <w:lang w:val="en-GB"/>
        </w:rPr>
        <w:t xml:space="preserve"> required codes.  It also involves no greater deference to authority than a pure </w:t>
      </w:r>
      <w:r w:rsidR="00BE2E14" w:rsidRPr="007912C1">
        <w:rPr>
          <w:rFonts w:ascii="Century Schoolbook" w:hAnsi="Century Schoolbook"/>
          <w:lang w:val="en-GB"/>
        </w:rPr>
        <w:t>‘</w:t>
      </w:r>
      <w:r w:rsidR="00463513" w:rsidRPr="007912C1">
        <w:rPr>
          <w:rFonts w:ascii="Century Schoolbook" w:hAnsi="Century Schoolbook"/>
          <w:lang w:val="en-GB"/>
        </w:rPr>
        <w:t>code-consistency</w:t>
      </w:r>
      <w:r w:rsidR="00BE2E14" w:rsidRPr="007912C1">
        <w:rPr>
          <w:rFonts w:ascii="Century Schoolbook" w:hAnsi="Century Schoolbook"/>
          <w:lang w:val="en-GB"/>
        </w:rPr>
        <w:t>’</w:t>
      </w:r>
      <w:r w:rsidR="00463513" w:rsidRPr="007912C1">
        <w:rPr>
          <w:rFonts w:ascii="Century Schoolbook" w:hAnsi="Century Schoolbook"/>
          <w:lang w:val="en-GB"/>
        </w:rPr>
        <w:t xml:space="preserve"> approach: </w:t>
      </w:r>
      <w:r w:rsidR="00BE2E14" w:rsidRPr="007912C1">
        <w:rPr>
          <w:rFonts w:ascii="Century Schoolbook" w:hAnsi="Century Schoolbook"/>
          <w:lang w:val="en-GB"/>
        </w:rPr>
        <w:t>‘</w:t>
      </w:r>
      <w:r w:rsidR="00463513" w:rsidRPr="007912C1">
        <w:rPr>
          <w:rFonts w:ascii="Century Schoolbook" w:hAnsi="Century Schoolbook"/>
          <w:lang w:val="en-GB"/>
        </w:rPr>
        <w:t>code-consistency</w:t>
      </w:r>
      <w:r w:rsidR="00BE2E14" w:rsidRPr="007912C1">
        <w:rPr>
          <w:rFonts w:ascii="Century Schoolbook" w:hAnsi="Century Schoolbook"/>
          <w:lang w:val="en-GB"/>
        </w:rPr>
        <w:t>’</w:t>
      </w:r>
      <w:r w:rsidR="00463513" w:rsidRPr="007912C1">
        <w:rPr>
          <w:rFonts w:ascii="Century Schoolbook" w:hAnsi="Century Schoolbook"/>
          <w:lang w:val="en-GB"/>
        </w:rPr>
        <w:t xml:space="preserve"> approaches risk researchers mixing up </w:t>
      </w:r>
      <w:r w:rsidR="00BE2E14" w:rsidRPr="007912C1">
        <w:rPr>
          <w:rFonts w:ascii="Century Schoolbook" w:hAnsi="Century Schoolbook"/>
          <w:lang w:val="en-GB"/>
        </w:rPr>
        <w:t>consistency</w:t>
      </w:r>
      <w:r w:rsidR="00463513" w:rsidRPr="007912C1">
        <w:rPr>
          <w:rFonts w:ascii="Century Schoolbook" w:hAnsi="Century Schoolbook"/>
          <w:lang w:val="en-GB"/>
        </w:rPr>
        <w:t xml:space="preserve"> with the code and ethi</w:t>
      </w:r>
      <w:r w:rsidR="00BE2E14" w:rsidRPr="007912C1">
        <w:rPr>
          <w:rFonts w:ascii="Century Schoolbook" w:hAnsi="Century Schoolbook"/>
          <w:lang w:val="en-GB"/>
        </w:rPr>
        <w:t>cal acceptability, just as one might mix up an ethics committee’s decision and ethical acceptability.  As for scope questions – the dangers of inconsistent interpretations of what is within the scope of ethics committees’ purview can be met by stricter guidance on how ethics committees should structure their ethical judgment.  A clear way to avoid appeal to controversial moral theories is to require appeal to overlapping consensus, as promoted by the Belmont Report.</w:t>
      </w:r>
      <w:r w:rsidR="00BE2E14" w:rsidRPr="007912C1">
        <w:rPr>
          <w:rStyle w:val="EndnoteReference"/>
          <w:rFonts w:ascii="Century Schoolbook" w:hAnsi="Century Schoolbook"/>
          <w:lang w:val="en-GB"/>
        </w:rPr>
        <w:endnoteReference w:id="3"/>
      </w:r>
    </w:p>
    <w:p w:rsidR="00BE2E14" w:rsidRPr="007912C1" w:rsidRDefault="00BE2E14" w:rsidP="0049098E">
      <w:pPr>
        <w:jc w:val="both"/>
        <w:rPr>
          <w:rFonts w:ascii="Century Schoolbook" w:hAnsi="Century Schoolbook"/>
          <w:b/>
          <w:lang w:val="en-GB"/>
        </w:rPr>
      </w:pPr>
      <w:r w:rsidRPr="007912C1">
        <w:rPr>
          <w:rFonts w:ascii="Century Schoolbook" w:hAnsi="Century Schoolbook"/>
          <w:b/>
          <w:lang w:val="en-GB"/>
        </w:rPr>
        <w:t>Further advantages of the hybrid approach</w:t>
      </w:r>
    </w:p>
    <w:p w:rsidR="00BE2E14" w:rsidRPr="007912C1" w:rsidRDefault="00BE2E14" w:rsidP="0049098E">
      <w:pPr>
        <w:jc w:val="both"/>
        <w:rPr>
          <w:rFonts w:ascii="Century Schoolbook" w:hAnsi="Century Schoolbook"/>
          <w:lang w:val="en-GB"/>
        </w:rPr>
      </w:pPr>
      <w:r w:rsidRPr="007912C1">
        <w:rPr>
          <w:rFonts w:ascii="Century Schoolbook" w:hAnsi="Century Schoolbook"/>
          <w:lang w:val="en-GB"/>
        </w:rPr>
        <w:t>Beyond meeting these objections, the hybrid approach has particular advantages over a ‘code-consistency’ approach that strongly militate in its favour.</w:t>
      </w:r>
    </w:p>
    <w:p w:rsidR="005268D1" w:rsidRPr="007912C1" w:rsidRDefault="005268D1" w:rsidP="0049098E">
      <w:pPr>
        <w:jc w:val="both"/>
        <w:rPr>
          <w:rFonts w:ascii="Century Schoolbook" w:hAnsi="Century Schoolbook"/>
          <w:lang w:val="en-GB"/>
        </w:rPr>
      </w:pPr>
      <w:r w:rsidRPr="007912C1">
        <w:rPr>
          <w:rFonts w:ascii="Century Schoolbook" w:hAnsi="Century Schoolbook"/>
          <w:lang w:val="en-GB"/>
        </w:rPr>
        <w:t>The most pressing reason to adopt the hybrid approach</w:t>
      </w:r>
      <w:r w:rsidR="00537242" w:rsidRPr="007912C1">
        <w:rPr>
          <w:rFonts w:ascii="Century Schoolbook" w:hAnsi="Century Schoolbook"/>
          <w:lang w:val="en-GB"/>
        </w:rPr>
        <w:t xml:space="preserve"> </w:t>
      </w:r>
      <w:r w:rsidRPr="007912C1">
        <w:rPr>
          <w:rFonts w:ascii="Century Schoolbook" w:hAnsi="Century Schoolbook"/>
          <w:lang w:val="en-GB"/>
        </w:rPr>
        <w:t xml:space="preserve">is that blanket rules are too insensitive to contextual considerations to make for reliable guidance without the intervention of ethical judgments.  Assessing whether a risk-benefit ratio is favourable, a payment arrangement is exploitative, a waiver of consent would adversely affect the rights of a participant, what information is germane to consent – these all require </w:t>
      </w:r>
      <w:r w:rsidRPr="007912C1">
        <w:rPr>
          <w:rFonts w:ascii="Century Schoolbook" w:hAnsi="Century Schoolbook"/>
          <w:lang w:val="en-GB"/>
        </w:rPr>
        <w:lastRenderedPageBreak/>
        <w:t xml:space="preserve">ethical assessment of features particular to the protocol and subject population that will vary from case to case.  Codes should delineate particular requirements in such domains, but it is impossible for them to account for </w:t>
      </w:r>
      <w:proofErr w:type="gramStart"/>
      <w:r w:rsidRPr="007912C1">
        <w:rPr>
          <w:rFonts w:ascii="Century Schoolbook" w:hAnsi="Century Schoolbook"/>
          <w:lang w:val="en-GB"/>
        </w:rPr>
        <w:t>each and every</w:t>
      </w:r>
      <w:proofErr w:type="gramEnd"/>
      <w:r w:rsidRPr="007912C1">
        <w:rPr>
          <w:rFonts w:ascii="Century Schoolbook" w:hAnsi="Century Schoolbook"/>
          <w:lang w:val="en-GB"/>
        </w:rPr>
        <w:t xml:space="preserve"> contingency.  Review committee discretion is necessary to account for these nuances and contextual variations.</w:t>
      </w:r>
    </w:p>
    <w:p w:rsidR="005268D1" w:rsidRPr="007912C1" w:rsidRDefault="005268D1" w:rsidP="0049098E">
      <w:pPr>
        <w:jc w:val="both"/>
        <w:rPr>
          <w:rFonts w:ascii="Century Schoolbook" w:hAnsi="Century Schoolbook"/>
          <w:lang w:val="en-GB"/>
        </w:rPr>
      </w:pPr>
      <w:r w:rsidRPr="007912C1">
        <w:rPr>
          <w:rFonts w:ascii="Century Schoolbook" w:hAnsi="Century Schoolbook"/>
          <w:lang w:val="en-GB"/>
        </w:rPr>
        <w:t xml:space="preserve">The hybrid approach is also safer than a purely code-based approach.  Because the hybrid approach requires both code-consistency and ethical acceptability, it holds researchers to a higher ethical standard than code-consistency alone.  This higher standard </w:t>
      </w:r>
      <w:r w:rsidR="006B33A1" w:rsidRPr="007912C1">
        <w:rPr>
          <w:rFonts w:ascii="Century Schoolbook" w:hAnsi="Century Schoolbook"/>
          <w:lang w:val="en-GB"/>
        </w:rPr>
        <w:t xml:space="preserve">should mean that fewer unethical research practices </w:t>
      </w:r>
      <w:proofErr w:type="gramStart"/>
      <w:r w:rsidR="006B33A1" w:rsidRPr="007912C1">
        <w:rPr>
          <w:rFonts w:ascii="Century Schoolbook" w:hAnsi="Century Schoolbook"/>
          <w:lang w:val="en-GB"/>
        </w:rPr>
        <w:t>will</w:t>
      </w:r>
      <w:proofErr w:type="gramEnd"/>
      <w:r w:rsidR="006B33A1" w:rsidRPr="007912C1">
        <w:rPr>
          <w:rFonts w:ascii="Century Schoolbook" w:hAnsi="Century Schoolbook"/>
          <w:lang w:val="en-GB"/>
        </w:rPr>
        <w:t xml:space="preserve"> take place.</w:t>
      </w:r>
    </w:p>
    <w:p w:rsidR="006B33A1" w:rsidRPr="007912C1" w:rsidRDefault="006B33A1" w:rsidP="0049098E">
      <w:pPr>
        <w:jc w:val="both"/>
        <w:rPr>
          <w:rFonts w:ascii="Century Schoolbook" w:hAnsi="Century Schoolbook"/>
          <w:lang w:val="en-GB"/>
        </w:rPr>
      </w:pPr>
      <w:r w:rsidRPr="007912C1">
        <w:rPr>
          <w:rFonts w:ascii="Century Schoolbook" w:hAnsi="Century Schoolbook"/>
          <w:lang w:val="en-GB"/>
        </w:rPr>
        <w:t xml:space="preserve">Finally, the hybrid approach is conservative – it does not require major revisions to Moore and Donnelly propose, as it is more or less a defence of current practice.  Reforms are costly to design and implement, as committees need to become </w:t>
      </w:r>
      <w:proofErr w:type="gramStart"/>
      <w:r w:rsidRPr="007912C1">
        <w:rPr>
          <w:rFonts w:ascii="Century Schoolbook" w:hAnsi="Century Schoolbook"/>
          <w:lang w:val="en-GB"/>
        </w:rPr>
        <w:t>retrained</w:t>
      </w:r>
      <w:proofErr w:type="gramEnd"/>
      <w:r w:rsidRPr="007912C1">
        <w:rPr>
          <w:rFonts w:ascii="Century Schoolbook" w:hAnsi="Century Schoolbook"/>
          <w:lang w:val="en-GB"/>
        </w:rPr>
        <w:t xml:space="preserve"> and reconstituted and researchers adapt to a new framework.  In addition, Moore and Donnelly overlook the extent to which changes will need to </w:t>
      </w:r>
      <w:proofErr w:type="gramStart"/>
      <w:r w:rsidRPr="007912C1">
        <w:rPr>
          <w:rFonts w:ascii="Century Schoolbook" w:hAnsi="Century Schoolbook"/>
          <w:lang w:val="en-GB"/>
        </w:rPr>
        <w:t>be made</w:t>
      </w:r>
      <w:proofErr w:type="gramEnd"/>
      <w:r w:rsidRPr="007912C1">
        <w:rPr>
          <w:rFonts w:ascii="Century Schoolbook" w:hAnsi="Century Schoolbook"/>
          <w:lang w:val="en-GB"/>
        </w:rPr>
        <w:t xml:space="preserve"> to codes themselves to adapt to their reforms - the significant discretion given to ethics committees at various points in codes would have to be stamped out, and likely all relevant codes substantially rewritten.</w:t>
      </w:r>
    </w:p>
    <w:p w:rsidR="006B33A1" w:rsidRPr="007912C1" w:rsidRDefault="006B33A1" w:rsidP="0049098E">
      <w:pPr>
        <w:jc w:val="both"/>
        <w:rPr>
          <w:rFonts w:ascii="Century Schoolbook" w:hAnsi="Century Schoolbook"/>
          <w:lang w:val="en-GB"/>
        </w:rPr>
      </w:pPr>
      <w:r w:rsidRPr="007912C1">
        <w:rPr>
          <w:rFonts w:ascii="Century Schoolbook" w:hAnsi="Century Schoolbook"/>
          <w:lang w:val="en-GB"/>
        </w:rPr>
        <w:t xml:space="preserve">Taken together, these considerations give us strong reason to prefer a hybrid approach to either the ‘code-consistency’ </w:t>
      </w:r>
      <w:proofErr w:type="gramStart"/>
      <w:r w:rsidRPr="007912C1">
        <w:rPr>
          <w:rFonts w:ascii="Century Schoolbook" w:hAnsi="Century Schoolbook"/>
          <w:lang w:val="en-GB"/>
        </w:rPr>
        <w:t>or ‘ethics</w:t>
      </w:r>
      <w:proofErr w:type="gramEnd"/>
      <w:r w:rsidRPr="007912C1">
        <w:rPr>
          <w:rFonts w:ascii="Century Schoolbook" w:hAnsi="Century Schoolbook"/>
          <w:lang w:val="en-GB"/>
        </w:rPr>
        <w:t xml:space="preserve">-consistency’ approaches.  We should leave room for review boards to make ethical judgments, as the whole point of research ethics codes in the first place is to ensure that research </w:t>
      </w:r>
      <w:proofErr w:type="gramStart"/>
      <w:r w:rsidRPr="007912C1">
        <w:rPr>
          <w:rFonts w:ascii="Century Schoolbook" w:hAnsi="Century Schoolbook"/>
          <w:lang w:val="en-GB"/>
        </w:rPr>
        <w:t>is conducted</w:t>
      </w:r>
      <w:proofErr w:type="gramEnd"/>
      <w:r w:rsidRPr="007912C1">
        <w:rPr>
          <w:rFonts w:ascii="Century Schoolbook" w:hAnsi="Century Schoolbook"/>
          <w:lang w:val="en-GB"/>
        </w:rPr>
        <w:t xml:space="preserve"> ethically.  </w:t>
      </w:r>
      <w:proofErr w:type="gramStart"/>
      <w:r w:rsidRPr="007912C1">
        <w:rPr>
          <w:rFonts w:ascii="Century Schoolbook" w:hAnsi="Century Schoolbook"/>
          <w:lang w:val="en-GB"/>
        </w:rPr>
        <w:t>But</w:t>
      </w:r>
      <w:proofErr w:type="gramEnd"/>
      <w:r w:rsidRPr="007912C1">
        <w:rPr>
          <w:rFonts w:ascii="Century Schoolbook" w:hAnsi="Century Schoolbook"/>
          <w:lang w:val="en-GB"/>
        </w:rPr>
        <w:t xml:space="preserve"> those judgments should be strictly subservient to the thoroughgoing requirements of duly-constituted codes, to ensure clarity of standards and consistency of review.</w:t>
      </w:r>
    </w:p>
    <w:p w:rsidR="00537242" w:rsidRPr="007912C1" w:rsidRDefault="00537242" w:rsidP="0049098E">
      <w:pPr>
        <w:jc w:val="both"/>
        <w:rPr>
          <w:rFonts w:ascii="Century Schoolbook" w:hAnsi="Century Schoolbook"/>
          <w:lang w:val="en-GB"/>
        </w:rPr>
      </w:pPr>
    </w:p>
    <w:p w:rsidR="00537242" w:rsidRPr="007912C1" w:rsidRDefault="00537242" w:rsidP="0049098E">
      <w:pPr>
        <w:jc w:val="both"/>
        <w:rPr>
          <w:rFonts w:ascii="Century Schoolbook" w:hAnsi="Century Schoolbook"/>
          <w:lang w:val="en-GB"/>
        </w:rPr>
      </w:pPr>
    </w:p>
    <w:sectPr w:rsidR="00537242" w:rsidRPr="007912C1" w:rsidSect="0049098E">
      <w:endnotePr>
        <w:numFmt w:val="decimal"/>
      </w:endnotePr>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53" w:rsidRDefault="00AE1853" w:rsidP="005565A5">
      <w:pPr>
        <w:spacing w:after="0" w:line="240" w:lineRule="auto"/>
      </w:pPr>
      <w:r>
        <w:separator/>
      </w:r>
    </w:p>
  </w:endnote>
  <w:endnote w:type="continuationSeparator" w:id="0">
    <w:p w:rsidR="00AE1853" w:rsidRDefault="00AE1853" w:rsidP="005565A5">
      <w:pPr>
        <w:spacing w:after="0" w:line="240" w:lineRule="auto"/>
      </w:pPr>
      <w:r>
        <w:continuationSeparator/>
      </w:r>
    </w:p>
  </w:endnote>
  <w:endnote w:id="1">
    <w:p w:rsidR="005565A5" w:rsidRPr="005D6EA7" w:rsidRDefault="005565A5" w:rsidP="00537242">
      <w:pPr>
        <w:pStyle w:val="NoSpacing"/>
        <w:rPr>
          <w:sz w:val="20"/>
          <w:szCs w:val="20"/>
        </w:rPr>
      </w:pPr>
      <w:r w:rsidRPr="005D6EA7">
        <w:rPr>
          <w:rStyle w:val="EndnoteReference"/>
          <w:sz w:val="20"/>
          <w:szCs w:val="20"/>
        </w:rPr>
        <w:endnoteRef/>
      </w:r>
      <w:r w:rsidRPr="005D6EA7">
        <w:rPr>
          <w:sz w:val="20"/>
          <w:szCs w:val="20"/>
        </w:rPr>
        <w:t xml:space="preserve"> </w:t>
      </w:r>
      <w:r w:rsidR="005D6EA7" w:rsidRPr="005D6EA7">
        <w:rPr>
          <w:sz w:val="20"/>
          <w:szCs w:val="20"/>
        </w:rPr>
        <w:t xml:space="preserve">Mill J. S. </w:t>
      </w:r>
      <w:r w:rsidR="005D6EA7" w:rsidRPr="005D6EA7">
        <w:rPr>
          <w:iCs/>
          <w:sz w:val="20"/>
          <w:szCs w:val="20"/>
        </w:rPr>
        <w:t>On liberty</w:t>
      </w:r>
      <w:r w:rsidR="005D6EA7" w:rsidRPr="005D6EA7">
        <w:rPr>
          <w:sz w:val="20"/>
          <w:szCs w:val="20"/>
        </w:rPr>
        <w:t>. (E. Alexander, Ed.). Peterborough, Ont.: Broadview Press. 1869/1999.</w:t>
      </w:r>
    </w:p>
  </w:endnote>
  <w:endnote w:id="2">
    <w:p w:rsidR="005565A5" w:rsidRPr="00537242" w:rsidRDefault="005565A5" w:rsidP="00537242">
      <w:pPr>
        <w:autoSpaceDE w:val="0"/>
        <w:autoSpaceDN w:val="0"/>
        <w:adjustRightInd w:val="0"/>
        <w:spacing w:after="0" w:line="240" w:lineRule="auto"/>
        <w:rPr>
          <w:sz w:val="20"/>
          <w:szCs w:val="20"/>
        </w:rPr>
      </w:pPr>
      <w:r w:rsidRPr="005D6EA7">
        <w:rPr>
          <w:rStyle w:val="EndnoteReference"/>
          <w:sz w:val="20"/>
          <w:szCs w:val="20"/>
        </w:rPr>
        <w:endnoteRef/>
      </w:r>
      <w:r w:rsidRPr="005D6EA7">
        <w:rPr>
          <w:sz w:val="20"/>
          <w:szCs w:val="20"/>
        </w:rPr>
        <w:t xml:space="preserve"> </w:t>
      </w:r>
      <w:r w:rsidR="00537242" w:rsidRPr="005D6EA7">
        <w:rPr>
          <w:sz w:val="20"/>
          <w:szCs w:val="20"/>
        </w:rPr>
        <w:t xml:space="preserve">Moore A, Donnelly </w:t>
      </w:r>
      <w:proofErr w:type="gramStart"/>
      <w:r w:rsidR="00537242" w:rsidRPr="005D6EA7">
        <w:rPr>
          <w:sz w:val="20"/>
          <w:szCs w:val="20"/>
        </w:rPr>
        <w:t>A</w:t>
      </w:r>
      <w:proofErr w:type="gramEnd"/>
      <w:r w:rsidR="00537242" w:rsidRPr="005D6EA7">
        <w:rPr>
          <w:sz w:val="20"/>
          <w:szCs w:val="20"/>
        </w:rPr>
        <w:t xml:space="preserve"> J, The job of ‘ethics committees’.  J Med Eth</w:t>
      </w:r>
      <w:r w:rsidR="007912C1">
        <w:rPr>
          <w:sz w:val="20"/>
          <w:szCs w:val="20"/>
        </w:rPr>
        <w:t>ics, Online First. 2015</w:t>
      </w:r>
      <w:r w:rsidR="00537242" w:rsidRPr="005D6EA7">
        <w:rPr>
          <w:sz w:val="20"/>
          <w:szCs w:val="20"/>
        </w:rPr>
        <w:t>.</w:t>
      </w:r>
    </w:p>
  </w:endnote>
  <w:endnote w:id="3">
    <w:p w:rsidR="00BE2E14" w:rsidRPr="00537242" w:rsidRDefault="00BE2E14">
      <w:pPr>
        <w:pStyle w:val="EndnoteText"/>
      </w:pPr>
      <w:r w:rsidRPr="00537242">
        <w:rPr>
          <w:rStyle w:val="EndnoteReference"/>
        </w:rPr>
        <w:endnoteRef/>
      </w:r>
      <w:r w:rsidRPr="00537242">
        <w:t xml:space="preserve"> </w:t>
      </w:r>
      <w:r w:rsidR="005D6EA7" w:rsidRPr="005D6EA7">
        <w:rPr>
          <w:rStyle w:val="Emphasis"/>
          <w:i w:val="0"/>
          <w:lang w:val="en"/>
        </w:rPr>
        <w:t>The Belmont Report: Ethical Guidelines for the Protection of Human Subjects</w:t>
      </w:r>
      <w:r w:rsidR="005D6EA7">
        <w:rPr>
          <w:rStyle w:val="Emphasis"/>
          <w:lang w:val="en"/>
        </w:rPr>
        <w:t>.</w:t>
      </w:r>
      <w:r w:rsidR="005D6EA7">
        <w:rPr>
          <w:rStyle w:val="citation"/>
          <w:lang w:val="en"/>
        </w:rPr>
        <w:t xml:space="preserve"> Washington, DC: Department of Health, Education and Welfare. 1979.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53" w:rsidRDefault="00AE1853" w:rsidP="005565A5">
      <w:pPr>
        <w:spacing w:after="0" w:line="240" w:lineRule="auto"/>
      </w:pPr>
      <w:r>
        <w:separator/>
      </w:r>
    </w:p>
  </w:footnote>
  <w:footnote w:type="continuationSeparator" w:id="0">
    <w:p w:rsidR="00AE1853" w:rsidRDefault="00AE1853" w:rsidP="00556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C6"/>
    <w:rsid w:val="000F09E2"/>
    <w:rsid w:val="00113DE4"/>
    <w:rsid w:val="0013187A"/>
    <w:rsid w:val="00300C32"/>
    <w:rsid w:val="00456D1B"/>
    <w:rsid w:val="00463513"/>
    <w:rsid w:val="0049098E"/>
    <w:rsid w:val="005268D1"/>
    <w:rsid w:val="00537242"/>
    <w:rsid w:val="005563EA"/>
    <w:rsid w:val="005565A5"/>
    <w:rsid w:val="005D4C23"/>
    <w:rsid w:val="005D6EA7"/>
    <w:rsid w:val="00664881"/>
    <w:rsid w:val="006B33A1"/>
    <w:rsid w:val="007912C1"/>
    <w:rsid w:val="00877993"/>
    <w:rsid w:val="008B3460"/>
    <w:rsid w:val="00915EC6"/>
    <w:rsid w:val="00A0542A"/>
    <w:rsid w:val="00A35A4C"/>
    <w:rsid w:val="00AE1853"/>
    <w:rsid w:val="00B85C6F"/>
    <w:rsid w:val="00BB0DFF"/>
    <w:rsid w:val="00BE2E14"/>
    <w:rsid w:val="00D77CF8"/>
    <w:rsid w:val="00E9667E"/>
    <w:rsid w:val="00FE6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B8E6"/>
  <w15:chartTrackingRefBased/>
  <w15:docId w15:val="{BBFDDF19-E691-4E0C-B95B-E0EA2392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565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65A5"/>
    <w:rPr>
      <w:sz w:val="20"/>
      <w:szCs w:val="20"/>
    </w:rPr>
  </w:style>
  <w:style w:type="character" w:styleId="EndnoteReference">
    <w:name w:val="endnote reference"/>
    <w:basedOn w:val="DefaultParagraphFont"/>
    <w:uiPriority w:val="99"/>
    <w:semiHidden/>
    <w:unhideWhenUsed/>
    <w:rsid w:val="005565A5"/>
    <w:rPr>
      <w:vertAlign w:val="superscript"/>
    </w:rPr>
  </w:style>
  <w:style w:type="paragraph" w:styleId="NoSpacing">
    <w:name w:val="No Spacing"/>
    <w:uiPriority w:val="1"/>
    <w:qFormat/>
    <w:rsid w:val="00537242"/>
    <w:pPr>
      <w:spacing w:after="0" w:line="240" w:lineRule="auto"/>
    </w:pPr>
  </w:style>
  <w:style w:type="character" w:customStyle="1" w:styleId="citation">
    <w:name w:val="citation"/>
    <w:basedOn w:val="DefaultParagraphFont"/>
    <w:rsid w:val="005D6EA7"/>
  </w:style>
  <w:style w:type="character" w:styleId="Emphasis">
    <w:name w:val="Emphasis"/>
    <w:basedOn w:val="DefaultParagraphFont"/>
    <w:uiPriority w:val="20"/>
    <w:qFormat/>
    <w:rsid w:val="005D6EA7"/>
    <w:rPr>
      <w:i/>
      <w:iCs/>
    </w:rPr>
  </w:style>
  <w:style w:type="paragraph" w:styleId="FootnoteText">
    <w:name w:val="footnote text"/>
    <w:basedOn w:val="Normal"/>
    <w:link w:val="FootnoteTextChar"/>
    <w:uiPriority w:val="99"/>
    <w:semiHidden/>
    <w:unhideWhenUsed/>
    <w:rsid w:val="00B85C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C6F"/>
    <w:rPr>
      <w:sz w:val="20"/>
      <w:szCs w:val="20"/>
    </w:rPr>
  </w:style>
  <w:style w:type="character" w:styleId="FootnoteReference">
    <w:name w:val="footnote reference"/>
    <w:basedOn w:val="DefaultParagraphFont"/>
    <w:uiPriority w:val="99"/>
    <w:semiHidden/>
    <w:unhideWhenUsed/>
    <w:rsid w:val="00B85C6F"/>
    <w:rPr>
      <w:vertAlign w:val="superscript"/>
    </w:rPr>
  </w:style>
  <w:style w:type="character" w:styleId="Hyperlink">
    <w:name w:val="Hyperlink"/>
    <w:basedOn w:val="DefaultParagraphFont"/>
    <w:uiPriority w:val="99"/>
    <w:unhideWhenUsed/>
    <w:rsid w:val="00791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399841">
      <w:bodyDiv w:val="1"/>
      <w:marLeft w:val="0"/>
      <w:marRight w:val="0"/>
      <w:marTop w:val="0"/>
      <w:marBottom w:val="0"/>
      <w:divBdr>
        <w:top w:val="none" w:sz="0" w:space="0" w:color="auto"/>
        <w:left w:val="none" w:sz="0" w:space="0" w:color="auto"/>
        <w:bottom w:val="none" w:sz="0" w:space="0" w:color="auto"/>
        <w:right w:val="none" w:sz="0" w:space="0" w:color="auto"/>
      </w:divBdr>
      <w:divsChild>
        <w:div w:id="1658269617">
          <w:marLeft w:val="0"/>
          <w:marRight w:val="0"/>
          <w:marTop w:val="0"/>
          <w:marBottom w:val="0"/>
          <w:divBdr>
            <w:top w:val="none" w:sz="0" w:space="0" w:color="auto"/>
            <w:left w:val="none" w:sz="0" w:space="0" w:color="auto"/>
            <w:bottom w:val="none" w:sz="0" w:space="0" w:color="auto"/>
            <w:right w:val="none" w:sz="0" w:space="0" w:color="auto"/>
          </w:divBdr>
          <w:divsChild>
            <w:div w:id="6147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2754">
      <w:bodyDiv w:val="1"/>
      <w:marLeft w:val="0"/>
      <w:marRight w:val="0"/>
      <w:marTop w:val="0"/>
      <w:marBottom w:val="0"/>
      <w:divBdr>
        <w:top w:val="none" w:sz="0" w:space="0" w:color="auto"/>
        <w:left w:val="none" w:sz="0" w:space="0" w:color="auto"/>
        <w:bottom w:val="none" w:sz="0" w:space="0" w:color="auto"/>
        <w:right w:val="none" w:sz="0" w:space="0" w:color="auto"/>
      </w:divBdr>
      <w:divsChild>
        <w:div w:id="134758663">
          <w:marLeft w:val="0"/>
          <w:marRight w:val="0"/>
          <w:marTop w:val="0"/>
          <w:marBottom w:val="0"/>
          <w:divBdr>
            <w:top w:val="none" w:sz="0" w:space="0" w:color="auto"/>
            <w:left w:val="none" w:sz="0" w:space="0" w:color="auto"/>
            <w:bottom w:val="none" w:sz="0" w:space="0" w:color="auto"/>
            <w:right w:val="none" w:sz="0" w:space="0" w:color="auto"/>
          </w:divBdr>
          <w:divsChild>
            <w:div w:id="5940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136/medethics-2015-1033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6A9F5-39B3-48DF-BF94-2FB5F28E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Owen Schaefer</dc:creator>
  <cp:keywords/>
  <dc:description/>
  <cp:lastModifiedBy>Owen Schaefer</cp:lastModifiedBy>
  <cp:revision>3</cp:revision>
  <dcterms:created xsi:type="dcterms:W3CDTF">2017-09-18T09:51:00Z</dcterms:created>
  <dcterms:modified xsi:type="dcterms:W3CDTF">2017-09-18T09:58:00Z</dcterms:modified>
</cp:coreProperties>
</file>