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CEA67" w14:textId="4B176D62" w:rsidR="00BD5A4F" w:rsidRPr="004F5CEC" w:rsidRDefault="00BD5A4F" w:rsidP="00BD5A4F">
      <w:pPr>
        <w:spacing w:line="360" w:lineRule="auto"/>
        <w:rPr>
          <w:rFonts w:ascii="Century Schoolbook" w:hAnsi="Century Schoolbook"/>
          <w:b/>
          <w:bCs/>
        </w:rPr>
      </w:pPr>
      <w:r w:rsidRPr="00D505F5">
        <w:rPr>
          <w:rStyle w:val="Emphasis"/>
          <w:rFonts w:ascii="Century Schoolbook" w:hAnsi="Century Schoolbook" w:cs="Helvetica"/>
          <w:color w:val="333333"/>
          <w:shd w:val="clear" w:color="auto" w:fill="FFFFFF"/>
        </w:rPr>
        <w:t xml:space="preserve">This is an Accepted Manuscript of an article published by Taylor &amp; Francis in the American </w:t>
      </w:r>
      <w:r w:rsidRPr="004F5CEC">
        <w:rPr>
          <w:rStyle w:val="Emphasis"/>
          <w:rFonts w:ascii="Century Schoolbook" w:hAnsi="Century Schoolbook" w:cs="Helvetica"/>
          <w:color w:val="333333"/>
          <w:shd w:val="clear" w:color="auto" w:fill="FFFFFF"/>
        </w:rPr>
        <w:t xml:space="preserve">Journal of Bioethics on </w:t>
      </w:r>
      <w:r w:rsidRPr="004F5CEC">
        <w:rPr>
          <w:rStyle w:val="Emphasis"/>
          <w:rFonts w:ascii="Century Schoolbook" w:hAnsi="Century Schoolbook" w:cs="Helvetica"/>
          <w:color w:val="333333"/>
          <w:shd w:val="clear" w:color="auto" w:fill="FFFFFF"/>
        </w:rPr>
        <w:t>28 January, 2020</w:t>
      </w:r>
      <w:r w:rsidRPr="004F5CEC">
        <w:rPr>
          <w:rStyle w:val="Emphasis"/>
          <w:rFonts w:ascii="Century Schoolbook" w:hAnsi="Century Schoolbook" w:cs="Helvetica"/>
          <w:color w:val="333333"/>
          <w:shd w:val="clear" w:color="auto" w:fill="FFFFFF"/>
        </w:rPr>
        <w:t>, available online</w:t>
      </w:r>
      <w:r w:rsidRPr="004F5CEC">
        <w:rPr>
          <w:rStyle w:val="Emphasis"/>
          <w:rFonts w:ascii="Century Schoolbook" w:hAnsi="Century Schoolbook" w:cs="Helvetica"/>
          <w:i w:val="0"/>
          <w:iCs w:val="0"/>
          <w:color w:val="333333"/>
          <w:shd w:val="clear" w:color="auto" w:fill="FFFFFF"/>
        </w:rPr>
        <w:t>: </w:t>
      </w:r>
      <w:hyperlink r:id="rId7" w:history="1">
        <w:r w:rsidRPr="004F5CEC">
          <w:rPr>
            <w:rStyle w:val="Hyperlink"/>
            <w:rFonts w:ascii="Century Schoolbook" w:hAnsi="Century Schoolbook"/>
            <w:i/>
            <w:iCs/>
          </w:rPr>
          <w:t>https://www.tandfonline.com/doi/full/10.1080/15265161.2019.1701742</w:t>
        </w:r>
      </w:hyperlink>
      <w:r w:rsidRPr="004F5CEC">
        <w:rPr>
          <w:rFonts w:ascii="Century Schoolbook" w:hAnsi="Century Schoolbook"/>
        </w:rPr>
        <w:t xml:space="preserve"> . </w:t>
      </w:r>
      <w:r w:rsidRPr="004F5CEC">
        <w:rPr>
          <w:rStyle w:val="Emphasis"/>
          <w:rFonts w:ascii="Century Schoolbook" w:hAnsi="Century Schoolbook" w:cs="Helvetica"/>
          <w:color w:val="333333"/>
          <w:shd w:val="clear" w:color="auto" w:fill="FFFFFF"/>
        </w:rPr>
        <w:t>It is a commentary on</w:t>
      </w:r>
      <w:r w:rsidRPr="004F5CEC">
        <w:rPr>
          <w:rStyle w:val="Emphasis"/>
          <w:rFonts w:ascii="Century Schoolbook" w:hAnsi="Century Schoolbook" w:cs="Helvetica"/>
          <w:color w:val="333333"/>
          <w:shd w:val="clear" w:color="auto" w:fill="FFFFFF"/>
        </w:rPr>
        <w:t xml:space="preserve"> Mackay and Saylor (2020), “Four Faces of Fair Subject Selection”, available online at </w:t>
      </w:r>
      <w:hyperlink r:id="rId8" w:history="1">
        <w:r w:rsidRPr="004F5CEC">
          <w:rPr>
            <w:rStyle w:val="Hyperlink"/>
            <w:rFonts w:ascii="Century Schoolbook" w:hAnsi="Century Schoolbook"/>
            <w:i/>
            <w:iCs/>
          </w:rPr>
          <w:t>https://www.tandfonline.com/doi/full/10.1080/15265161.2019.1701731</w:t>
        </w:r>
      </w:hyperlink>
      <w:r w:rsidRPr="004F5CEC">
        <w:rPr>
          <w:rFonts w:ascii="Century Schoolbook" w:hAnsi="Century Schoolbook"/>
        </w:rPr>
        <w:t xml:space="preserve"> .</w:t>
      </w:r>
      <w:bookmarkStart w:id="0" w:name="_GoBack"/>
      <w:bookmarkEnd w:id="0"/>
    </w:p>
    <w:p w14:paraId="348EFADB" w14:textId="77777777" w:rsidR="00BD5A4F" w:rsidRDefault="00BD5A4F" w:rsidP="00BD5A4F">
      <w:pPr>
        <w:spacing w:line="360" w:lineRule="auto"/>
        <w:jc w:val="center"/>
        <w:rPr>
          <w:rFonts w:ascii="Century Schoolbook" w:hAnsi="Century Schoolbook"/>
          <w:b/>
          <w:bCs/>
        </w:rPr>
      </w:pPr>
    </w:p>
    <w:p w14:paraId="683F4935" w14:textId="65216371" w:rsidR="00AB4747" w:rsidRDefault="00AB4747" w:rsidP="00BD5A4F">
      <w:pPr>
        <w:spacing w:line="360" w:lineRule="auto"/>
        <w:jc w:val="center"/>
        <w:rPr>
          <w:rFonts w:ascii="Century Schoolbook" w:hAnsi="Century Schoolbook"/>
          <w:b/>
          <w:bCs/>
        </w:rPr>
      </w:pPr>
      <w:r w:rsidRPr="00BD5A4F">
        <w:rPr>
          <w:rFonts w:ascii="Century Schoolbook" w:hAnsi="Century Schoolbook"/>
          <w:b/>
          <w:bCs/>
        </w:rPr>
        <w:t>Context is needed when assessing fair subject selection</w:t>
      </w:r>
    </w:p>
    <w:p w14:paraId="4CF0C3C9" w14:textId="46F5183D" w:rsidR="00825AEB" w:rsidRDefault="00825AEB" w:rsidP="00BD5A4F">
      <w:pPr>
        <w:spacing w:line="360" w:lineRule="auto"/>
        <w:jc w:val="center"/>
        <w:rPr>
          <w:rFonts w:ascii="Century Schoolbook" w:hAnsi="Century Schoolbook"/>
        </w:rPr>
      </w:pPr>
      <w:r w:rsidRPr="00825AEB">
        <w:rPr>
          <w:rFonts w:ascii="Century Schoolbook" w:hAnsi="Century Schoolbook"/>
        </w:rPr>
        <w:t>G. Owen Schaefer</w:t>
      </w:r>
      <w:r w:rsidRPr="00825AEB">
        <w:rPr>
          <w:rFonts w:ascii="Century Schoolbook" w:hAnsi="Century Schoolbook"/>
        </w:rPr>
        <w:br/>
        <w:t>National University of Singapore</w:t>
      </w:r>
    </w:p>
    <w:p w14:paraId="43AFB001" w14:textId="77777777" w:rsidR="00825AEB" w:rsidRPr="00825AEB" w:rsidRDefault="00825AEB" w:rsidP="00BD5A4F">
      <w:pPr>
        <w:spacing w:line="360" w:lineRule="auto"/>
        <w:jc w:val="center"/>
        <w:rPr>
          <w:rFonts w:ascii="Century Schoolbook" w:hAnsi="Century Schoolbook"/>
        </w:rPr>
      </w:pPr>
    </w:p>
    <w:p w14:paraId="5FC362F5" w14:textId="6EDF2D11" w:rsidR="0048739B" w:rsidRPr="00BD5A4F" w:rsidRDefault="0048739B" w:rsidP="00BD5A4F">
      <w:pPr>
        <w:spacing w:line="360" w:lineRule="auto"/>
        <w:jc w:val="both"/>
        <w:rPr>
          <w:rFonts w:ascii="Century Schoolbook" w:hAnsi="Century Schoolbook"/>
        </w:rPr>
      </w:pPr>
      <w:r w:rsidRPr="00BD5A4F">
        <w:rPr>
          <w:rFonts w:ascii="Century Schoolbook" w:hAnsi="Century Schoolbook"/>
        </w:rPr>
        <w:t>Mackay and Saylor</w:t>
      </w:r>
      <w:r w:rsidR="00F06772" w:rsidRPr="00BD5A4F">
        <w:rPr>
          <w:rFonts w:ascii="Century Schoolbook" w:hAnsi="Century Schoolbook"/>
        </w:rPr>
        <w:t xml:space="preserve"> </w:t>
      </w:r>
      <w:r w:rsidRPr="00BD5A4F">
        <w:rPr>
          <w:rFonts w:ascii="Century Schoolbook" w:hAnsi="Century Schoolbook"/>
        </w:rPr>
        <w:t xml:space="preserve">provide a helpful taxonomy of different aspects of fair subject selection, dividing it up into four sub-principles: fair inclusion, fair burden sharing, fair opportunity, and fair distribution of third-party risks. </w:t>
      </w:r>
      <w:r w:rsidR="00F06772" w:rsidRPr="00BD5A4F">
        <w:rPr>
          <w:rFonts w:ascii="Century Schoolbook" w:hAnsi="Century Schoolbook"/>
        </w:rPr>
        <w:fldChar w:fldCharType="begin"/>
      </w:r>
      <w:r w:rsidR="00F06772" w:rsidRPr="00BD5A4F">
        <w:rPr>
          <w:rFonts w:ascii="Century Schoolbook" w:hAnsi="Century Schoolbook"/>
        </w:rPr>
        <w:instrText xml:space="preserve"> ADDIN ZOTERO_ITEM CSL_CITATION {"citationID":"SrIc7IXi","properties":{"formattedCitation":"(Mackay and Saylor 2019)","plainCitation":"(Mackay and Saylor 2019)","noteIndex":0},"citationItems":[{"id":1741,"uris":["http://zotero.org/users/1170976/items/2ZGZRR7R"],"uri":["http://zotero.org/users/1170976/items/2ZGZRR7R"],"itemData":{"id":1741,"type":"article-journal","title":"Four Faces of Fair Subject Selection","container-title":"American Journal of Bioethics","author":[{"family":"Mackay","given":"Douglas"},{"family":"Saylor","given":"Katherine"}],"issued":{"date-parts":[["2019"]]}}}],"schema":"https://github.com/citation-style-language/schema/raw/master/csl-citation.json"} </w:instrText>
      </w:r>
      <w:r w:rsidR="00F06772" w:rsidRPr="00BD5A4F">
        <w:rPr>
          <w:rFonts w:ascii="Century Schoolbook" w:hAnsi="Century Schoolbook"/>
        </w:rPr>
        <w:fldChar w:fldCharType="separate"/>
      </w:r>
      <w:r w:rsidR="00F06772" w:rsidRPr="00BD5A4F">
        <w:rPr>
          <w:rFonts w:ascii="Century Schoolbook" w:hAnsi="Century Schoolbook" w:cs="Calibri"/>
        </w:rPr>
        <w:t>(Mackay and Saylor 2019)</w:t>
      </w:r>
      <w:r w:rsidR="00F06772" w:rsidRPr="00BD5A4F">
        <w:rPr>
          <w:rFonts w:ascii="Century Schoolbook" w:hAnsi="Century Schoolbook"/>
        </w:rPr>
        <w:fldChar w:fldCharType="end"/>
      </w:r>
      <w:r w:rsidR="00F06772" w:rsidRPr="00BD5A4F">
        <w:rPr>
          <w:rFonts w:ascii="Century Schoolbook" w:hAnsi="Century Schoolbook"/>
        </w:rPr>
        <w:t xml:space="preserve"> </w:t>
      </w:r>
      <w:r w:rsidRPr="00BD5A4F">
        <w:rPr>
          <w:rFonts w:ascii="Century Schoolbook" w:hAnsi="Century Schoolbook"/>
        </w:rPr>
        <w:t xml:space="preserve">These distinctions are </w:t>
      </w:r>
      <w:r w:rsidR="004F30D0" w:rsidRPr="00BD5A4F">
        <w:rPr>
          <w:rFonts w:ascii="Century Schoolbook" w:hAnsi="Century Schoolbook"/>
        </w:rPr>
        <w:t>worth highlighting</w:t>
      </w:r>
      <w:r w:rsidRPr="00BD5A4F">
        <w:rPr>
          <w:rFonts w:ascii="Century Schoolbook" w:hAnsi="Century Schoolbook"/>
        </w:rPr>
        <w:t xml:space="preserve"> because there will be tensions and conflicts between them, which investigators, </w:t>
      </w:r>
      <w:r w:rsidR="00610C80" w:rsidRPr="00BD5A4F">
        <w:rPr>
          <w:rFonts w:ascii="Century Schoolbook" w:hAnsi="Century Schoolbook"/>
        </w:rPr>
        <w:t>research administrators</w:t>
      </w:r>
      <w:r w:rsidRPr="00BD5A4F">
        <w:rPr>
          <w:rFonts w:ascii="Century Schoolbook" w:hAnsi="Century Schoolbook"/>
        </w:rPr>
        <w:t xml:space="preserve">, policymakers and others </w:t>
      </w:r>
      <w:r w:rsidR="00AB4747" w:rsidRPr="00BD5A4F">
        <w:rPr>
          <w:rFonts w:ascii="Century Schoolbook" w:hAnsi="Century Schoolbook"/>
        </w:rPr>
        <w:t xml:space="preserve">(hereafter, ‘practitioners’) </w:t>
      </w:r>
      <w:r w:rsidRPr="00BD5A4F">
        <w:rPr>
          <w:rFonts w:ascii="Century Schoolbook" w:hAnsi="Century Schoolbook"/>
        </w:rPr>
        <w:t>must address in order to ensure human subjects research is conducted fairly. Mackay and Saylor, though, are not content to merely lay out a conceptual framework. They also offer a detailed account of how all the relevant conflicts should be resolved, resulting in a decision tree that in theory would be useful to practitioners, saving them the difficulty of engaging in complex moral reasoning</w:t>
      </w:r>
      <w:r w:rsidR="00CF0D46" w:rsidRPr="00BD5A4F">
        <w:rPr>
          <w:rFonts w:ascii="Century Schoolbook" w:hAnsi="Century Schoolbook"/>
        </w:rPr>
        <w:t xml:space="preserve"> on this issue</w:t>
      </w:r>
      <w:r w:rsidRPr="00BD5A4F">
        <w:rPr>
          <w:rFonts w:ascii="Century Schoolbook" w:hAnsi="Century Schoolbook"/>
        </w:rPr>
        <w:t>.</w:t>
      </w:r>
    </w:p>
    <w:p w14:paraId="08275BA0" w14:textId="42BE972E" w:rsidR="00825AEB" w:rsidRDefault="00BD5A4F" w:rsidP="00BD5A4F">
      <w:pPr>
        <w:spacing w:line="360" w:lineRule="auto"/>
        <w:jc w:val="both"/>
        <w:rPr>
          <w:rFonts w:ascii="Century Schoolbook" w:hAnsi="Century Schoolbook"/>
        </w:rPr>
      </w:pPr>
      <w:r>
        <w:rPr>
          <w:rFonts w:ascii="Century Schoolbook" w:hAnsi="Century Schoolbook"/>
        </w:rPr>
        <w:t>However</w:t>
      </w:r>
      <w:r w:rsidR="0048739B" w:rsidRPr="00BD5A4F">
        <w:rPr>
          <w:rFonts w:ascii="Century Schoolbook" w:hAnsi="Century Schoolbook"/>
        </w:rPr>
        <w:t xml:space="preserve">, Mackay and Saylor’s analysis of how to resolve conflicts between sub-principles is done without </w:t>
      </w:r>
      <w:r w:rsidR="004F30D0" w:rsidRPr="00BD5A4F">
        <w:rPr>
          <w:rFonts w:ascii="Century Schoolbook" w:hAnsi="Century Schoolbook"/>
        </w:rPr>
        <w:t xml:space="preserve">enough </w:t>
      </w:r>
      <w:r w:rsidR="0048739B" w:rsidRPr="00BD5A4F">
        <w:rPr>
          <w:rFonts w:ascii="Century Schoolbook" w:hAnsi="Century Schoolbook"/>
        </w:rPr>
        <w:t xml:space="preserve">attention to </w:t>
      </w:r>
      <w:r w:rsidR="00C074AA" w:rsidRPr="00BD5A4F">
        <w:rPr>
          <w:rFonts w:ascii="Century Schoolbook" w:hAnsi="Century Schoolbook"/>
        </w:rPr>
        <w:t>how particular studies’ research questions, design, framing, and risk profile will affect the relative moral weight of fair inclusion, burden sharing, opportunity and third-party risk distribution in particular cases. The result is a ranking of relative moral importance of sub-principles that, in many cases, will result in all-things-considered unfair subject selection.</w:t>
      </w:r>
      <w:r w:rsidR="00F06772" w:rsidRPr="00BD5A4F">
        <w:rPr>
          <w:rFonts w:ascii="Century Schoolbook" w:hAnsi="Century Schoolbook"/>
        </w:rPr>
        <w:t xml:space="preserve"> We should prefer a context-sensitive approach that does not presuppose which sub-principles of fair subject selection will take priority </w:t>
      </w:r>
      <w:proofErr w:type="gramStart"/>
      <w:r w:rsidR="00F06772" w:rsidRPr="00BD5A4F">
        <w:rPr>
          <w:rFonts w:ascii="Century Schoolbook" w:hAnsi="Century Schoolbook"/>
        </w:rPr>
        <w:t>in a given</w:t>
      </w:r>
      <w:proofErr w:type="gramEnd"/>
      <w:r w:rsidR="00F06772" w:rsidRPr="00BD5A4F">
        <w:rPr>
          <w:rFonts w:ascii="Century Schoolbook" w:hAnsi="Century Schoolbook"/>
        </w:rPr>
        <w:t xml:space="preserve"> case. Such sensitivity will raise its own practical difficulties, but it is worth seeking systemic ways to ameliorate those difficulties in order to ensure that subject selection is as fair as possible.</w:t>
      </w:r>
    </w:p>
    <w:p w14:paraId="24BA8A7E" w14:textId="235FC1E4" w:rsidR="00825AEB" w:rsidRDefault="00825AEB" w:rsidP="00BD5A4F">
      <w:pPr>
        <w:spacing w:line="360" w:lineRule="auto"/>
        <w:jc w:val="both"/>
        <w:rPr>
          <w:rFonts w:ascii="Century Schoolbook" w:hAnsi="Century Schoolbook"/>
        </w:rPr>
      </w:pPr>
    </w:p>
    <w:p w14:paraId="2B9E118F" w14:textId="77777777" w:rsidR="00825AEB" w:rsidRPr="00BD5A4F" w:rsidRDefault="00825AEB" w:rsidP="00BD5A4F">
      <w:pPr>
        <w:spacing w:line="360" w:lineRule="auto"/>
        <w:jc w:val="both"/>
        <w:rPr>
          <w:rFonts w:ascii="Century Schoolbook" w:hAnsi="Century Schoolbook"/>
        </w:rPr>
      </w:pPr>
    </w:p>
    <w:p w14:paraId="6A7A2207" w14:textId="7AF108C0" w:rsidR="00C074AA" w:rsidRPr="00BD5A4F" w:rsidRDefault="00C074AA" w:rsidP="00BD5A4F">
      <w:pPr>
        <w:spacing w:line="360" w:lineRule="auto"/>
        <w:jc w:val="both"/>
        <w:rPr>
          <w:rFonts w:ascii="Century Schoolbook" w:hAnsi="Century Schoolbook"/>
          <w:b/>
          <w:bCs/>
        </w:rPr>
      </w:pPr>
      <w:r w:rsidRPr="00BD5A4F">
        <w:rPr>
          <w:rFonts w:ascii="Century Schoolbook" w:hAnsi="Century Schoolbook"/>
          <w:b/>
          <w:bCs/>
        </w:rPr>
        <w:t xml:space="preserve">Inclusion </w:t>
      </w:r>
      <w:r w:rsidR="0099351C" w:rsidRPr="00BD5A4F">
        <w:rPr>
          <w:rFonts w:ascii="Century Schoolbook" w:hAnsi="Century Schoolbook"/>
          <w:b/>
          <w:bCs/>
        </w:rPr>
        <w:t>above</w:t>
      </w:r>
      <w:r w:rsidRPr="00BD5A4F">
        <w:rPr>
          <w:rFonts w:ascii="Century Schoolbook" w:hAnsi="Century Schoolbook"/>
          <w:b/>
          <w:bCs/>
        </w:rPr>
        <w:t xml:space="preserve"> all?</w:t>
      </w:r>
    </w:p>
    <w:p w14:paraId="65FD173B" w14:textId="5EE29F8E" w:rsidR="00C074AA" w:rsidRPr="00BD5A4F" w:rsidRDefault="00454A85" w:rsidP="00BD5A4F">
      <w:pPr>
        <w:spacing w:line="360" w:lineRule="auto"/>
        <w:jc w:val="both"/>
        <w:rPr>
          <w:rFonts w:ascii="Century Schoolbook" w:hAnsi="Century Schoolbook"/>
        </w:rPr>
      </w:pPr>
      <w:r w:rsidRPr="00BD5A4F">
        <w:rPr>
          <w:rFonts w:ascii="Century Schoolbook" w:hAnsi="Century Schoolbook"/>
        </w:rPr>
        <w:t>Fair i</w:t>
      </w:r>
      <w:r w:rsidR="00C074AA" w:rsidRPr="00BD5A4F">
        <w:rPr>
          <w:rFonts w:ascii="Century Schoolbook" w:hAnsi="Century Schoolbook"/>
        </w:rPr>
        <w:t>nclusion</w:t>
      </w:r>
      <w:r w:rsidRPr="00BD5A4F">
        <w:rPr>
          <w:rFonts w:ascii="Century Schoolbook" w:hAnsi="Century Schoolbook"/>
        </w:rPr>
        <w:t xml:space="preserve">, defined in terms </w:t>
      </w:r>
      <w:r w:rsidR="008E6E02">
        <w:rPr>
          <w:rFonts w:ascii="Century Schoolbook" w:hAnsi="Century Schoolbook"/>
        </w:rPr>
        <w:t xml:space="preserve">of </w:t>
      </w:r>
      <w:proofErr w:type="gramStart"/>
      <w:r w:rsidRPr="00BD5A4F">
        <w:rPr>
          <w:rFonts w:ascii="Century Schoolbook" w:hAnsi="Century Schoolbook"/>
        </w:rPr>
        <w:t>fairly benefitting</w:t>
      </w:r>
      <w:proofErr w:type="gramEnd"/>
      <w:r w:rsidRPr="00BD5A4F">
        <w:rPr>
          <w:rFonts w:ascii="Century Schoolbook" w:hAnsi="Century Schoolbook"/>
        </w:rPr>
        <w:t xml:space="preserve"> members of society beyond just the study participants, </w:t>
      </w:r>
      <w:r w:rsidR="00C074AA" w:rsidRPr="00BD5A4F">
        <w:rPr>
          <w:rFonts w:ascii="Century Schoolbook" w:hAnsi="Century Schoolbook"/>
        </w:rPr>
        <w:t>is prioritised by Mackay and Saylor for most conflicts between sub-principles of fair subject selection. This is motivated by a well-taken point about scope: the value of fair inclusion is realized by study results that benefit a wide array of members of society</w:t>
      </w:r>
      <w:r w:rsidRPr="00BD5A4F">
        <w:rPr>
          <w:rFonts w:ascii="Century Schoolbook" w:hAnsi="Century Schoolbook"/>
        </w:rPr>
        <w:t xml:space="preserve">, by generating generalizable knowledge that is salutary to the class of individuals. Fair inclusion is thus in line with the central reason research is conducted and (publicly) funded, namely, to produce socially valuable, clinically relevant research. </w:t>
      </w:r>
    </w:p>
    <w:p w14:paraId="126335BC" w14:textId="551E04E8" w:rsidR="00454A85" w:rsidRPr="00BD5A4F" w:rsidRDefault="00454A85" w:rsidP="00BD5A4F">
      <w:pPr>
        <w:spacing w:line="360" w:lineRule="auto"/>
        <w:jc w:val="both"/>
        <w:rPr>
          <w:rFonts w:ascii="Century Schoolbook" w:hAnsi="Century Schoolbook"/>
        </w:rPr>
      </w:pPr>
      <w:r w:rsidRPr="00BD5A4F">
        <w:rPr>
          <w:rFonts w:ascii="Century Schoolbook" w:hAnsi="Century Schoolbook"/>
        </w:rPr>
        <w:t xml:space="preserve">By contrast, the other three sub-principles affect a smaller subset of society (participants, or a limited group of third parties adversely affected by research), in ways ancillary to the primary purpose of research. Mackay and Saylor suggest that, </w:t>
      </w:r>
      <w:proofErr w:type="gramStart"/>
      <w:r w:rsidRPr="00BD5A4F">
        <w:rPr>
          <w:rFonts w:ascii="Century Schoolbook" w:hAnsi="Century Schoolbook"/>
        </w:rPr>
        <w:t>in light of</w:t>
      </w:r>
      <w:proofErr w:type="gramEnd"/>
      <w:r w:rsidRPr="00BD5A4F">
        <w:rPr>
          <w:rFonts w:ascii="Century Schoolbook" w:hAnsi="Century Schoolbook"/>
        </w:rPr>
        <w:t xml:space="preserve"> these differences, fair inclusion is more morally weighty, outside of exceptional circumstances where the burdens of research would be unacceptably high by threatening the basic interests of those burdened. (such studies that exceed </w:t>
      </w:r>
      <w:r w:rsidR="00925B2B" w:rsidRPr="00BD5A4F">
        <w:rPr>
          <w:rFonts w:ascii="Century Schoolbook" w:hAnsi="Century Schoolbook"/>
        </w:rPr>
        <w:t>the acceptable</w:t>
      </w:r>
      <w:r w:rsidRPr="00BD5A4F">
        <w:rPr>
          <w:rFonts w:ascii="Century Schoolbook" w:hAnsi="Century Schoolbook"/>
        </w:rPr>
        <w:t xml:space="preserve"> risk threshold would in any case be disallowed independent of any consideration of fairness, based on general considerations of risk minimization)</w:t>
      </w:r>
    </w:p>
    <w:p w14:paraId="7200D961" w14:textId="71D5DE39" w:rsidR="000966C4" w:rsidRPr="00BD5A4F" w:rsidRDefault="00454A85" w:rsidP="00BD5A4F">
      <w:pPr>
        <w:spacing w:line="360" w:lineRule="auto"/>
        <w:jc w:val="both"/>
        <w:rPr>
          <w:rFonts w:ascii="Century Schoolbook" w:hAnsi="Century Schoolbook"/>
        </w:rPr>
      </w:pPr>
      <w:r w:rsidRPr="00BD5A4F">
        <w:rPr>
          <w:rFonts w:ascii="Century Schoolbook" w:hAnsi="Century Schoolbook"/>
        </w:rPr>
        <w:t>The difficulty with this analysis is that it presumes research generates a fixed, substantial social value that will in general outweigh competing</w:t>
      </w:r>
      <w:r w:rsidR="000966C4" w:rsidRPr="00BD5A4F">
        <w:rPr>
          <w:rFonts w:ascii="Century Schoolbook" w:hAnsi="Century Schoolbook"/>
        </w:rPr>
        <w:t>, similarly fixed</w:t>
      </w:r>
      <w:r w:rsidRPr="00BD5A4F">
        <w:rPr>
          <w:rFonts w:ascii="Century Schoolbook" w:hAnsi="Century Schoolbook"/>
        </w:rPr>
        <w:t xml:space="preserve"> interests in </w:t>
      </w:r>
      <w:r w:rsidR="000966C4" w:rsidRPr="00BD5A4F">
        <w:rPr>
          <w:rFonts w:ascii="Century Schoolbook" w:hAnsi="Century Schoolbook"/>
        </w:rPr>
        <w:t xml:space="preserve">fair </w:t>
      </w:r>
      <w:r w:rsidRPr="00BD5A4F">
        <w:rPr>
          <w:rFonts w:ascii="Century Schoolbook" w:hAnsi="Century Schoolbook"/>
        </w:rPr>
        <w:t xml:space="preserve">access to research or </w:t>
      </w:r>
      <w:r w:rsidR="000966C4" w:rsidRPr="00BD5A4F">
        <w:rPr>
          <w:rFonts w:ascii="Century Schoolbook" w:hAnsi="Century Schoolbook"/>
        </w:rPr>
        <w:t xml:space="preserve">fair distribution of its burdens. But both sides of the equation can and will vary considerably. Some studies may have </w:t>
      </w:r>
      <w:r w:rsidR="00CF0D46" w:rsidRPr="00BD5A4F">
        <w:rPr>
          <w:rFonts w:ascii="Century Schoolbook" w:hAnsi="Century Schoolbook"/>
        </w:rPr>
        <w:t>weak study design,</w:t>
      </w:r>
      <w:r w:rsidR="000966C4" w:rsidRPr="00BD5A4F">
        <w:rPr>
          <w:rFonts w:ascii="Century Schoolbook" w:hAnsi="Century Schoolbook"/>
        </w:rPr>
        <w:t xml:space="preserve"> narrow research questions, lacking in clear implications for practice – in other words, have only marginal social value. Others could have the opposite, with robust designs, clear clinical translation pathways, addressing diseases of high priority, </w:t>
      </w:r>
      <w:r w:rsidR="00FB2E59" w:rsidRPr="00BD5A4F">
        <w:rPr>
          <w:rFonts w:ascii="Century Schoolbook" w:hAnsi="Century Schoolbook"/>
        </w:rPr>
        <w:t>potentially being of</w:t>
      </w:r>
      <w:r w:rsidR="000966C4" w:rsidRPr="00BD5A4F">
        <w:rPr>
          <w:rFonts w:ascii="Century Schoolbook" w:hAnsi="Century Schoolbook"/>
        </w:rPr>
        <w:t xml:space="preserve"> very </w:t>
      </w:r>
      <w:r w:rsidR="00FB2E59" w:rsidRPr="00BD5A4F">
        <w:rPr>
          <w:rFonts w:ascii="Century Schoolbook" w:hAnsi="Century Schoolbook"/>
        </w:rPr>
        <w:t>substantial</w:t>
      </w:r>
      <w:r w:rsidR="000966C4" w:rsidRPr="00BD5A4F">
        <w:rPr>
          <w:rFonts w:ascii="Century Schoolbook" w:hAnsi="Century Schoolbook"/>
        </w:rPr>
        <w:t xml:space="preserve"> social value. </w:t>
      </w:r>
    </w:p>
    <w:p w14:paraId="75830D64" w14:textId="54A85F0D" w:rsidR="00454A85" w:rsidRPr="00BD5A4F" w:rsidRDefault="000966C4" w:rsidP="00BD5A4F">
      <w:pPr>
        <w:spacing w:line="360" w:lineRule="auto"/>
        <w:jc w:val="both"/>
        <w:rPr>
          <w:rFonts w:ascii="Century Schoolbook" w:hAnsi="Century Schoolbook"/>
        </w:rPr>
      </w:pPr>
      <w:r w:rsidRPr="00BD5A4F">
        <w:rPr>
          <w:rFonts w:ascii="Century Schoolbook" w:hAnsi="Century Schoolbook"/>
        </w:rPr>
        <w:t>Similarly for benefits and burdens to participants or third parties: there is much more at stake in ensuring fair access to a very promising drug</w:t>
      </w:r>
      <w:r w:rsidR="00925B2B" w:rsidRPr="00BD5A4F">
        <w:rPr>
          <w:rFonts w:ascii="Century Schoolbook" w:hAnsi="Century Schoolbook"/>
        </w:rPr>
        <w:t xml:space="preserve"> for which there is no effective alternate treatment</w:t>
      </w:r>
      <w:r w:rsidRPr="00BD5A4F">
        <w:rPr>
          <w:rFonts w:ascii="Century Schoolbook" w:hAnsi="Century Schoolbook"/>
        </w:rPr>
        <w:t xml:space="preserve"> (as with </w:t>
      </w:r>
      <w:r w:rsidR="007132EA" w:rsidRPr="00BD5A4F">
        <w:rPr>
          <w:rFonts w:ascii="Century Schoolbook" w:hAnsi="Century Schoolbook"/>
        </w:rPr>
        <w:t>antiretroviral treatments</w:t>
      </w:r>
      <w:r w:rsidRPr="00BD5A4F">
        <w:rPr>
          <w:rFonts w:ascii="Century Schoolbook" w:hAnsi="Century Schoolbook"/>
        </w:rPr>
        <w:t xml:space="preserve"> </w:t>
      </w:r>
      <w:r w:rsidR="007132EA" w:rsidRPr="00BD5A4F">
        <w:rPr>
          <w:rFonts w:ascii="Century Schoolbook" w:hAnsi="Century Schoolbook"/>
        </w:rPr>
        <w:t>for</w:t>
      </w:r>
      <w:r w:rsidRPr="00BD5A4F">
        <w:rPr>
          <w:rFonts w:ascii="Century Schoolbook" w:hAnsi="Century Schoolbook"/>
        </w:rPr>
        <w:t xml:space="preserve"> HIV in the</w:t>
      </w:r>
      <w:r w:rsidR="007132EA" w:rsidRPr="00BD5A4F">
        <w:rPr>
          <w:rFonts w:ascii="Century Schoolbook" w:hAnsi="Century Schoolbook"/>
        </w:rPr>
        <w:t xml:space="preserve"> early days of the epidemic; see, e.g., </w:t>
      </w:r>
      <w:r w:rsidR="007132EA" w:rsidRPr="00BD5A4F">
        <w:rPr>
          <w:rFonts w:ascii="Century Schoolbook" w:hAnsi="Century Schoolbook"/>
        </w:rPr>
        <w:fldChar w:fldCharType="begin"/>
      </w:r>
      <w:r w:rsidR="007132EA" w:rsidRPr="00BD5A4F">
        <w:rPr>
          <w:rFonts w:ascii="Century Schoolbook" w:hAnsi="Century Schoolbook"/>
        </w:rPr>
        <w:instrText xml:space="preserve"> ADDIN ZOTERO_ITEM CSL_CITATION {"citationID":"6xEelAB9","properties":{"formattedCitation":"(Macklin and Friedland 1986)","plainCitation":"(Macklin and Friedland 1986)","noteIndex":0},"citationItems":[{"id":1742,"uris":["http://zotero.org/users/1170976/items/KXBVT85J"],"uri":["http://zotero.org/users/1170976/items/KXBVT85J"],"itemData":{"id":1742,"type":"article-journal","title":"AIDS Research: The Ethics of Clinical Trials","container-title":"Law, Medicine and Health Care","page":"273-280","volume":"14","issue":"5-6","source":"Crossref","DOI":"10.1111/j.1748-720X.1986.tb00995.x","ISSN":"0277-8459","title-short":"AIDS Research","language":"en","author":[{"family":"Macklin","given":"Ruth"},{"family":"Friedland","given":"Gerald"}],"issued":{"date-parts":[["1986",12]]}}}],"schema":"https://github.com/citation-style-language/schema/raw/master/csl-citation.json"} </w:instrText>
      </w:r>
      <w:r w:rsidR="007132EA" w:rsidRPr="00BD5A4F">
        <w:rPr>
          <w:rFonts w:ascii="Century Schoolbook" w:hAnsi="Century Schoolbook"/>
        </w:rPr>
        <w:fldChar w:fldCharType="separate"/>
      </w:r>
      <w:r w:rsidR="007132EA" w:rsidRPr="00BD5A4F">
        <w:rPr>
          <w:rFonts w:ascii="Century Schoolbook" w:hAnsi="Century Schoolbook" w:cs="Calibri"/>
        </w:rPr>
        <w:t>Macklin and Friedland 1986)</w:t>
      </w:r>
      <w:r w:rsidR="007132EA" w:rsidRPr="00BD5A4F">
        <w:rPr>
          <w:rFonts w:ascii="Century Schoolbook" w:hAnsi="Century Schoolbook"/>
        </w:rPr>
        <w:fldChar w:fldCharType="end"/>
      </w:r>
      <w:r w:rsidRPr="00BD5A4F">
        <w:rPr>
          <w:rFonts w:ascii="Century Schoolbook" w:hAnsi="Century Schoolbook"/>
        </w:rPr>
        <w:t xml:space="preserve"> than ensuring fair access to a study’s $50 payment voucher. And even if we restrict analysis to those with ‘acceptable’ risks to participants and third parties, there will be considerable differences</w:t>
      </w:r>
      <w:r w:rsidR="00925B2B" w:rsidRPr="00BD5A4F">
        <w:rPr>
          <w:rFonts w:ascii="Century Schoolbook" w:hAnsi="Century Schoolbook"/>
        </w:rPr>
        <w:t xml:space="preserve"> in burdens</w:t>
      </w:r>
      <w:r w:rsidRPr="00BD5A4F">
        <w:rPr>
          <w:rFonts w:ascii="Century Schoolbook" w:hAnsi="Century Schoolbook"/>
        </w:rPr>
        <w:t xml:space="preserve">. For instance, while there may be some risk of re-identification </w:t>
      </w:r>
      <w:r w:rsidR="00CF0D46" w:rsidRPr="00BD5A4F">
        <w:rPr>
          <w:rFonts w:ascii="Century Schoolbook" w:hAnsi="Century Schoolbook"/>
        </w:rPr>
        <w:t>when</w:t>
      </w:r>
      <w:r w:rsidRPr="00BD5A4F">
        <w:rPr>
          <w:rFonts w:ascii="Century Schoolbook" w:hAnsi="Century Schoolbook"/>
        </w:rPr>
        <w:t xml:space="preserve"> utilizing anonymized </w:t>
      </w:r>
      <w:r w:rsidRPr="00BD5A4F">
        <w:rPr>
          <w:rFonts w:ascii="Century Schoolbook" w:hAnsi="Century Schoolbook"/>
        </w:rPr>
        <w:lastRenderedPageBreak/>
        <w:t>datasets</w:t>
      </w:r>
      <w:r w:rsidR="004B10A2" w:rsidRPr="00BD5A4F">
        <w:rPr>
          <w:rFonts w:ascii="Century Schoolbook" w:hAnsi="Century Schoolbook"/>
        </w:rPr>
        <w:t xml:space="preserve"> </w:t>
      </w:r>
      <w:r w:rsidR="004B10A2" w:rsidRPr="00BD5A4F">
        <w:rPr>
          <w:rFonts w:ascii="Century Schoolbook" w:hAnsi="Century Schoolbook"/>
        </w:rPr>
        <w:fldChar w:fldCharType="begin"/>
      </w:r>
      <w:r w:rsidR="004B10A2" w:rsidRPr="00BD5A4F">
        <w:rPr>
          <w:rFonts w:ascii="Century Schoolbook" w:hAnsi="Century Schoolbook"/>
        </w:rPr>
        <w:instrText xml:space="preserve"> ADDIN ZOTERO_ITEM CSL_CITATION {"citationID":"xQol4GSf","properties":{"formattedCitation":"(Henriksen-Bulmer and Jeary 2016)","plainCitation":"(Henriksen-Bulmer and Jeary 2016)","noteIndex":0},"citationItems":[{"id":1743,"uris":["http://zotero.org/users/1170976/items/Q3IX7YBC"],"uri":["http://zotero.org/users/1170976/items/Q3IX7YBC"],"itemData":{"id":1743,"type":"article-journal","title":"Re-identification attacks—A systematic literature review","container-title":"International Journal of Information Management","page":"1184-1192","volume":"36","issue":"6","source":"Crossref","DOI":"10.1016/j.ijinfomgt.2016.08.002","ISSN":"02684012","language":"en","author":[{"family":"Henriksen-Bulmer","given":"Jane"},{"family":"Jeary","given":"Sheridan"}],"issued":{"date-parts":[["2016",12]]}}}],"schema":"https://github.com/citation-style-language/schema/raw/master/csl-citation.json"} </w:instrText>
      </w:r>
      <w:r w:rsidR="004B10A2" w:rsidRPr="00BD5A4F">
        <w:rPr>
          <w:rFonts w:ascii="Century Schoolbook" w:hAnsi="Century Schoolbook"/>
        </w:rPr>
        <w:fldChar w:fldCharType="separate"/>
      </w:r>
      <w:r w:rsidR="004B10A2" w:rsidRPr="00BD5A4F">
        <w:rPr>
          <w:rFonts w:ascii="Century Schoolbook" w:hAnsi="Century Schoolbook" w:cs="Calibri"/>
        </w:rPr>
        <w:t>(Henriksen-Bulmer and Jeary 2016)</w:t>
      </w:r>
      <w:r w:rsidR="004B10A2" w:rsidRPr="00BD5A4F">
        <w:rPr>
          <w:rFonts w:ascii="Century Schoolbook" w:hAnsi="Century Schoolbook"/>
        </w:rPr>
        <w:fldChar w:fldCharType="end"/>
      </w:r>
      <w:r w:rsidR="004B10A2" w:rsidRPr="00BD5A4F">
        <w:rPr>
          <w:rFonts w:ascii="Century Schoolbook" w:hAnsi="Century Schoolbook"/>
        </w:rPr>
        <w:t>,</w:t>
      </w:r>
      <w:r w:rsidR="007D4F79" w:rsidRPr="00BD5A4F">
        <w:rPr>
          <w:rFonts w:ascii="Century Schoolbook" w:hAnsi="Century Schoolbook"/>
        </w:rPr>
        <w:t xml:space="preserve"> there will be much higher risks in using identifiable data.</w:t>
      </w:r>
    </w:p>
    <w:p w14:paraId="51FE69C3" w14:textId="396B2059" w:rsidR="007D4F79" w:rsidRDefault="007D4F79" w:rsidP="00BD5A4F">
      <w:pPr>
        <w:spacing w:line="360" w:lineRule="auto"/>
        <w:jc w:val="both"/>
        <w:rPr>
          <w:rFonts w:ascii="Century Schoolbook" w:hAnsi="Century Schoolbook"/>
        </w:rPr>
      </w:pPr>
      <w:r w:rsidRPr="00BD5A4F">
        <w:rPr>
          <w:rFonts w:ascii="Century Schoolbook" w:hAnsi="Century Schoolbook"/>
        </w:rPr>
        <w:t xml:space="preserve">These variabilities in turn affect how we should assess the relative moral importance of fairness sub-principles. For a high social value, low-personal benefit study, it may well be that the value of fair inclusion outweighs fair </w:t>
      </w:r>
      <w:r w:rsidR="00FB2E59" w:rsidRPr="00BD5A4F">
        <w:rPr>
          <w:rFonts w:ascii="Century Schoolbook" w:hAnsi="Century Schoolbook"/>
        </w:rPr>
        <w:t>opportunity</w:t>
      </w:r>
      <w:r w:rsidRPr="00BD5A4F">
        <w:rPr>
          <w:rFonts w:ascii="Century Schoolbook" w:hAnsi="Century Schoolbook"/>
        </w:rPr>
        <w:t xml:space="preserve">. But things are far less clear for a study with a very small social value but potentially very large personal benefits to participants. </w:t>
      </w:r>
      <w:r w:rsidR="00FB2E59" w:rsidRPr="00BD5A4F">
        <w:rPr>
          <w:rFonts w:ascii="Century Schoolbook" w:hAnsi="Century Schoolbook"/>
        </w:rPr>
        <w:t xml:space="preserve">It could easily be in such cases that access needs to be prioritised over inclusion, given the relatively large moral weight of access in such a case compared with the social benefits of inclusion. </w:t>
      </w:r>
      <w:r w:rsidRPr="00BD5A4F">
        <w:rPr>
          <w:rFonts w:ascii="Century Schoolbook" w:hAnsi="Century Schoolbook"/>
        </w:rPr>
        <w:t>The same applies to all the different types of sub-principle conflicts Mackay and Saylo</w:t>
      </w:r>
      <w:r w:rsidR="00981E3B" w:rsidRPr="00BD5A4F">
        <w:rPr>
          <w:rFonts w:ascii="Century Schoolbook" w:hAnsi="Century Schoolbook"/>
        </w:rPr>
        <w:t>r</w:t>
      </w:r>
      <w:r w:rsidRPr="00BD5A4F">
        <w:rPr>
          <w:rFonts w:ascii="Century Schoolbook" w:hAnsi="Century Schoolbook"/>
        </w:rPr>
        <w:t xml:space="preserve"> described.</w:t>
      </w:r>
      <w:r w:rsidR="00AB4747" w:rsidRPr="00BD5A4F">
        <w:rPr>
          <w:rFonts w:ascii="Century Schoolbook" w:hAnsi="Century Schoolbook"/>
        </w:rPr>
        <w:t xml:space="preserve"> We need to know a study’s details, evaluate its value, risks and benefits, before a determination about what fair subject selection sub-principles should take priority</w:t>
      </w:r>
      <w:r w:rsidR="00825AEB">
        <w:rPr>
          <w:rFonts w:ascii="Century Schoolbook" w:hAnsi="Century Schoolbook"/>
        </w:rPr>
        <w:t>.</w:t>
      </w:r>
    </w:p>
    <w:p w14:paraId="2C4A4CA5" w14:textId="77777777" w:rsidR="00825AEB" w:rsidRPr="00BD5A4F" w:rsidRDefault="00825AEB" w:rsidP="00BD5A4F">
      <w:pPr>
        <w:spacing w:line="360" w:lineRule="auto"/>
        <w:jc w:val="both"/>
        <w:rPr>
          <w:rFonts w:ascii="Century Schoolbook" w:hAnsi="Century Schoolbook"/>
        </w:rPr>
      </w:pPr>
    </w:p>
    <w:p w14:paraId="4FF547FD" w14:textId="5FD0BBA8" w:rsidR="00AB4747" w:rsidRPr="00BD5A4F" w:rsidRDefault="00AB4747" w:rsidP="00BD5A4F">
      <w:pPr>
        <w:spacing w:line="360" w:lineRule="auto"/>
        <w:jc w:val="both"/>
        <w:rPr>
          <w:rFonts w:ascii="Century Schoolbook" w:hAnsi="Century Schoolbook"/>
          <w:b/>
          <w:bCs/>
        </w:rPr>
      </w:pPr>
      <w:r w:rsidRPr="00BD5A4F">
        <w:rPr>
          <w:rFonts w:ascii="Century Schoolbook" w:hAnsi="Century Schoolbook"/>
          <w:b/>
          <w:bCs/>
        </w:rPr>
        <w:t>Doing the hard work</w:t>
      </w:r>
    </w:p>
    <w:p w14:paraId="49628564" w14:textId="77777777" w:rsidR="00AB4747" w:rsidRPr="00BD5A4F" w:rsidRDefault="00AB4747" w:rsidP="00BD5A4F">
      <w:pPr>
        <w:spacing w:line="360" w:lineRule="auto"/>
        <w:jc w:val="both"/>
        <w:rPr>
          <w:rFonts w:ascii="Century Schoolbook" w:hAnsi="Century Schoolbook"/>
        </w:rPr>
      </w:pPr>
      <w:r w:rsidRPr="00BD5A4F">
        <w:rPr>
          <w:rFonts w:ascii="Century Schoolbook" w:hAnsi="Century Schoolbook"/>
        </w:rPr>
        <w:t xml:space="preserve">A pragmatic difficulty with the approach I suggest is that it requires substantial ethical deliberation and analysis on the part of practitioners, in contrast with Mackay and Saylor’s ready-to-use decision tree. Deliberation and analysis pose several problems. </w:t>
      </w:r>
    </w:p>
    <w:p w14:paraId="1382E09C" w14:textId="44D6266B" w:rsidR="0048739B" w:rsidRPr="00BD5A4F" w:rsidRDefault="00AB4747" w:rsidP="00BD5A4F">
      <w:pPr>
        <w:spacing w:line="360" w:lineRule="auto"/>
        <w:jc w:val="both"/>
        <w:rPr>
          <w:rFonts w:ascii="Century Schoolbook" w:hAnsi="Century Schoolbook"/>
        </w:rPr>
      </w:pPr>
      <w:r w:rsidRPr="00BD5A4F">
        <w:rPr>
          <w:rFonts w:ascii="Century Schoolbook" w:hAnsi="Century Schoolbook"/>
        </w:rPr>
        <w:t xml:space="preserve">Firstly, practitioners are not necessarily trained in the relevant ethical theories and methods of systematic analysis. A high degree of rigor is evident in, for example, Mackay and Saylor’s very thoroughgoing piece, but they </w:t>
      </w:r>
      <w:proofErr w:type="gramStart"/>
      <w:r w:rsidRPr="00BD5A4F">
        <w:rPr>
          <w:rFonts w:ascii="Century Schoolbook" w:hAnsi="Century Schoolbook"/>
        </w:rPr>
        <w:t>are able to</w:t>
      </w:r>
      <w:proofErr w:type="gramEnd"/>
      <w:r w:rsidRPr="00BD5A4F">
        <w:rPr>
          <w:rFonts w:ascii="Century Schoolbook" w:hAnsi="Century Schoolbook"/>
        </w:rPr>
        <w:t xml:space="preserve"> draw on years of dedicated bioethical study, training and reflection. While practitioners may have had some training in or experience with considered ethical analysis, it will </w:t>
      </w:r>
      <w:r w:rsidR="00CF0D46" w:rsidRPr="00BD5A4F">
        <w:rPr>
          <w:rFonts w:ascii="Century Schoolbook" w:hAnsi="Century Schoolbook"/>
        </w:rPr>
        <w:t xml:space="preserve">often </w:t>
      </w:r>
      <w:r w:rsidRPr="00BD5A4F">
        <w:rPr>
          <w:rFonts w:ascii="Century Schoolbook" w:hAnsi="Century Schoolbook"/>
        </w:rPr>
        <w:t>of necessity have been substantially more limited.</w:t>
      </w:r>
      <w:r w:rsidR="00921A69" w:rsidRPr="00BD5A4F">
        <w:rPr>
          <w:rFonts w:ascii="Century Schoolbook" w:hAnsi="Century Schoolbook"/>
        </w:rPr>
        <w:t xml:space="preserve"> Absent a clear rubric of analysis, they may not be able to reliably come to a well-reasoned determination on what constitutes fair subject selection </w:t>
      </w:r>
      <w:proofErr w:type="gramStart"/>
      <w:r w:rsidR="00921A69" w:rsidRPr="00BD5A4F">
        <w:rPr>
          <w:rFonts w:ascii="Century Schoolbook" w:hAnsi="Century Schoolbook"/>
        </w:rPr>
        <w:t>in a given</w:t>
      </w:r>
      <w:proofErr w:type="gramEnd"/>
      <w:r w:rsidR="00921A69" w:rsidRPr="00BD5A4F">
        <w:rPr>
          <w:rFonts w:ascii="Century Schoolbook" w:hAnsi="Century Schoolbook"/>
        </w:rPr>
        <w:t xml:space="preserve"> case. </w:t>
      </w:r>
    </w:p>
    <w:p w14:paraId="783657ED" w14:textId="4EFA4B21" w:rsidR="00AB4747" w:rsidRPr="00BD5A4F" w:rsidRDefault="00AB4747" w:rsidP="00BD5A4F">
      <w:pPr>
        <w:spacing w:line="360" w:lineRule="auto"/>
        <w:jc w:val="both"/>
        <w:rPr>
          <w:rFonts w:ascii="Century Schoolbook" w:hAnsi="Century Schoolbook"/>
        </w:rPr>
      </w:pPr>
      <w:r w:rsidRPr="00BD5A4F">
        <w:rPr>
          <w:rFonts w:ascii="Century Schoolbook" w:hAnsi="Century Schoolbook"/>
        </w:rPr>
        <w:t>Secondly, a proper ethical analysis may take substantial amount of time, as issues are raised, problems deliberated amongst colleagues, background literature is examined, and careful reflection occurs. While taking the time may produce value, it must be considered against how else the time may be spent. For researchers, it could be on improving study design and anal</w:t>
      </w:r>
      <w:r w:rsidR="00921A69" w:rsidRPr="00BD5A4F">
        <w:rPr>
          <w:rFonts w:ascii="Century Schoolbook" w:hAnsi="Century Schoolbook"/>
        </w:rPr>
        <w:t>ysis</w:t>
      </w:r>
      <w:r w:rsidRPr="00BD5A4F">
        <w:rPr>
          <w:rFonts w:ascii="Century Schoolbook" w:hAnsi="Century Schoolbook"/>
        </w:rPr>
        <w:t xml:space="preserve">, or on conducting more studies </w:t>
      </w:r>
      <w:r w:rsidR="00921A69" w:rsidRPr="00BD5A4F">
        <w:rPr>
          <w:rFonts w:ascii="Century Schoolbook" w:hAnsi="Century Schoolbook"/>
        </w:rPr>
        <w:t>(both of which may contribute to the overall social value of their time spent).</w:t>
      </w:r>
      <w:r w:rsidRPr="00BD5A4F">
        <w:rPr>
          <w:rFonts w:ascii="Century Schoolbook" w:hAnsi="Century Schoolbook"/>
        </w:rPr>
        <w:t xml:space="preserve"> </w:t>
      </w:r>
    </w:p>
    <w:p w14:paraId="73211491" w14:textId="5DC4B7F8" w:rsidR="00921A69" w:rsidRDefault="00921A69" w:rsidP="00BD5A4F">
      <w:pPr>
        <w:spacing w:line="360" w:lineRule="auto"/>
        <w:jc w:val="both"/>
        <w:rPr>
          <w:rFonts w:ascii="Century Schoolbook" w:hAnsi="Century Schoolbook"/>
        </w:rPr>
      </w:pPr>
      <w:r w:rsidRPr="00BD5A4F">
        <w:rPr>
          <w:rFonts w:ascii="Century Schoolbook" w:hAnsi="Century Schoolbook"/>
        </w:rPr>
        <w:lastRenderedPageBreak/>
        <w:t>Thirdly, leaving the analysis up to individual practitioners on a case-by-case may introduce substantial inconsistency into the adjudication process. Different practitioners will have different understandings of a study’s relative social value, of how much is at stake when access is denied, of how harmful a given burden really is, and so forth. Inconsistency is problematic insofar as it introduces an element of arbitrariness into the determination of whether a given study has fair subject selection, further undermining the reliability of such determinations.</w:t>
      </w:r>
    </w:p>
    <w:p w14:paraId="5ED2836D" w14:textId="77777777" w:rsidR="00825AEB" w:rsidRPr="00BD5A4F" w:rsidRDefault="00825AEB" w:rsidP="00BD5A4F">
      <w:pPr>
        <w:spacing w:line="360" w:lineRule="auto"/>
        <w:jc w:val="both"/>
        <w:rPr>
          <w:rFonts w:ascii="Century Schoolbook" w:hAnsi="Century Schoolbook"/>
        </w:rPr>
      </w:pPr>
    </w:p>
    <w:p w14:paraId="0AF27DA4" w14:textId="1FDD2158" w:rsidR="00921A69" w:rsidRPr="00BD5A4F" w:rsidRDefault="00921A69" w:rsidP="00BD5A4F">
      <w:pPr>
        <w:spacing w:line="360" w:lineRule="auto"/>
        <w:jc w:val="both"/>
        <w:rPr>
          <w:rFonts w:ascii="Century Schoolbook" w:hAnsi="Century Schoolbook"/>
          <w:b/>
          <w:bCs/>
        </w:rPr>
      </w:pPr>
      <w:r w:rsidRPr="00BD5A4F">
        <w:rPr>
          <w:rFonts w:ascii="Century Schoolbook" w:hAnsi="Century Schoolbook"/>
          <w:b/>
          <w:bCs/>
        </w:rPr>
        <w:t>Coming together</w:t>
      </w:r>
    </w:p>
    <w:p w14:paraId="0154EF36" w14:textId="02D0D8B8" w:rsidR="00921A69" w:rsidRPr="00BD5A4F" w:rsidRDefault="00921A69" w:rsidP="00BD5A4F">
      <w:pPr>
        <w:spacing w:line="360" w:lineRule="auto"/>
        <w:jc w:val="both"/>
        <w:rPr>
          <w:rFonts w:ascii="Century Schoolbook" w:hAnsi="Century Schoolbook"/>
        </w:rPr>
      </w:pPr>
      <w:r w:rsidRPr="00BD5A4F">
        <w:rPr>
          <w:rFonts w:ascii="Century Schoolbook" w:hAnsi="Century Schoolbook"/>
        </w:rPr>
        <w:t>It is not all hopeless, though. Rather than adverting to a one-size-fits-all framework of sub-principle prioritization, we should look to systems that can mitigate the difficulties with case-by-case analysis.</w:t>
      </w:r>
      <w:r w:rsidR="00646650" w:rsidRPr="00BD5A4F">
        <w:rPr>
          <w:rFonts w:ascii="Century Schoolbook" w:hAnsi="Century Schoolbook"/>
        </w:rPr>
        <w:t xml:space="preserve"> Indeed, one very useful system is already in place: ethics review. And while some have claimed research approval committees should eschew ethical analysis in favour of narrow enforcement of well-defined rules</w:t>
      </w:r>
      <w:r w:rsidR="008616D6" w:rsidRPr="00BD5A4F">
        <w:rPr>
          <w:rFonts w:ascii="Century Schoolbook" w:hAnsi="Century Schoolbook"/>
        </w:rPr>
        <w:t xml:space="preserve"> </w:t>
      </w:r>
      <w:r w:rsidR="008616D6" w:rsidRPr="00BD5A4F">
        <w:rPr>
          <w:rFonts w:ascii="Century Schoolbook" w:hAnsi="Century Schoolbook"/>
        </w:rPr>
        <w:fldChar w:fldCharType="begin"/>
      </w:r>
      <w:r w:rsidR="008616D6" w:rsidRPr="00BD5A4F">
        <w:rPr>
          <w:rFonts w:ascii="Century Schoolbook" w:hAnsi="Century Schoolbook"/>
        </w:rPr>
        <w:instrText xml:space="preserve"> ADDIN ZOTERO_ITEM CSL_CITATION {"citationID":"0TBFJbTl","properties":{"formattedCitation":"(Moore and Donnelly 2018)","plainCitation":"(Moore and Donnelly 2018)","noteIndex":0},"citationItems":[{"id":1745,"uris":["http://zotero.org/users/1170976/items/HFKEQZ67"],"uri":["http://zotero.org/users/1170976/items/HFKEQZ67"],"itemData":{"id":1745,"type":"article-journal","title":"The job of ‘ethics committees’","container-title":"Journal of Medical Ethics","page":"481-487","volume":"44","issue":"7","source":"Crossref","DOI":"10.1136/medethics-2015-102688","ISSN":"0306-6800, 1473-4257","language":"en","author":[{"family":"Moore","given":"Andrew"},{"family":"Donnelly","given":"Andrew"}],"issued":{"date-parts":[["2018",7]]}}}],"schema":"https://github.com/citation-style-language/schema/raw/master/csl-citation.json"} </w:instrText>
      </w:r>
      <w:r w:rsidR="008616D6" w:rsidRPr="00BD5A4F">
        <w:rPr>
          <w:rFonts w:ascii="Century Schoolbook" w:hAnsi="Century Schoolbook"/>
        </w:rPr>
        <w:fldChar w:fldCharType="separate"/>
      </w:r>
      <w:r w:rsidR="008616D6" w:rsidRPr="00BD5A4F">
        <w:rPr>
          <w:rFonts w:ascii="Century Schoolbook" w:hAnsi="Century Schoolbook" w:cs="Calibri"/>
        </w:rPr>
        <w:t>(Moore and Donnelly 2018)</w:t>
      </w:r>
      <w:r w:rsidR="008616D6" w:rsidRPr="00BD5A4F">
        <w:rPr>
          <w:rFonts w:ascii="Century Schoolbook" w:hAnsi="Century Schoolbook"/>
        </w:rPr>
        <w:fldChar w:fldCharType="end"/>
      </w:r>
      <w:r w:rsidR="00646650" w:rsidRPr="00BD5A4F">
        <w:rPr>
          <w:rFonts w:ascii="Century Schoolbook" w:hAnsi="Century Schoolbook"/>
        </w:rPr>
        <w:t xml:space="preserve">, the </w:t>
      </w:r>
      <w:r w:rsidR="00C0115C" w:rsidRPr="00BD5A4F">
        <w:rPr>
          <w:rFonts w:ascii="Century Schoolbook" w:hAnsi="Century Schoolbook"/>
        </w:rPr>
        <w:t>present case</w:t>
      </w:r>
      <w:r w:rsidR="00646650" w:rsidRPr="00BD5A4F">
        <w:rPr>
          <w:rFonts w:ascii="Century Schoolbook" w:hAnsi="Century Schoolbook"/>
        </w:rPr>
        <w:t xml:space="preserve"> of fair subject selection is an illustration of why ethics committees should go beyond the law and regulations</w:t>
      </w:r>
      <w:r w:rsidR="00C0115C" w:rsidRPr="00BD5A4F">
        <w:rPr>
          <w:rFonts w:ascii="Century Schoolbook" w:hAnsi="Century Schoolbook"/>
        </w:rPr>
        <w:t>: there are some issues that contextless general rules cannot adjudicate properly.</w:t>
      </w:r>
      <w:r w:rsidR="00610C80" w:rsidRPr="00BD5A4F">
        <w:rPr>
          <w:rFonts w:ascii="Century Schoolbook" w:hAnsi="Century Schoolbook"/>
        </w:rPr>
        <w:t xml:space="preserve"> </w:t>
      </w:r>
      <w:r w:rsidR="008616D6" w:rsidRPr="00BD5A4F">
        <w:rPr>
          <w:rFonts w:ascii="Century Schoolbook" w:hAnsi="Century Schoolbook"/>
        </w:rPr>
        <w:fldChar w:fldCharType="begin"/>
      </w:r>
      <w:r w:rsidR="008616D6" w:rsidRPr="00BD5A4F">
        <w:rPr>
          <w:rFonts w:ascii="Century Schoolbook" w:hAnsi="Century Schoolbook"/>
        </w:rPr>
        <w:instrText xml:space="preserve"> ADDIN ZOTERO_ITEM CSL_CITATION {"citationID":"5UQ9p9ZZ","properties":{"formattedCitation":"(Schaefer 2018)","plainCitation":"(Schaefer 2018)","noteIndex":0},"citationItems":[{"id":1746,"uris":["http://zotero.org/users/1170976/items/JXTZDY5Y"],"uri":["http://zotero.org/users/1170976/items/JXTZDY5Y"],"itemData":{"id":1746,"type":"article-journal","title":"Code-consistent ethics review: defence of a hybrid account","container-title":"Journal of Medical Ethics","page":"494-495","volume":"44","issue":"7","source":"Crossref","DOI":"10.1136/medethics-2015-103345","ISSN":"0306-6800, 1473-4257","title-short":"Code-consistent ethics review","language":"en","author":[{"family":"Schaefer","given":"G Owen"}],"issued":{"date-parts":[["2018",7]]}}}],"schema":"https://github.com/citation-style-language/schema/raw/master/csl-citation.json"} </w:instrText>
      </w:r>
      <w:r w:rsidR="008616D6" w:rsidRPr="00BD5A4F">
        <w:rPr>
          <w:rFonts w:ascii="Century Schoolbook" w:hAnsi="Century Schoolbook"/>
        </w:rPr>
        <w:fldChar w:fldCharType="separate"/>
      </w:r>
      <w:r w:rsidR="008616D6" w:rsidRPr="00BD5A4F">
        <w:rPr>
          <w:rFonts w:ascii="Century Schoolbook" w:hAnsi="Century Schoolbook" w:cs="Calibri"/>
        </w:rPr>
        <w:t>(Schaefer 2018)</w:t>
      </w:r>
      <w:r w:rsidR="008616D6" w:rsidRPr="00BD5A4F">
        <w:rPr>
          <w:rFonts w:ascii="Century Schoolbook" w:hAnsi="Century Schoolbook"/>
        </w:rPr>
        <w:fldChar w:fldCharType="end"/>
      </w:r>
    </w:p>
    <w:p w14:paraId="6B4B62E5" w14:textId="71B7558A" w:rsidR="00C0115C" w:rsidRPr="00BD5A4F" w:rsidRDefault="00C0115C" w:rsidP="00BD5A4F">
      <w:pPr>
        <w:spacing w:line="360" w:lineRule="auto"/>
        <w:jc w:val="both"/>
        <w:rPr>
          <w:rFonts w:ascii="Century Schoolbook" w:hAnsi="Century Schoolbook"/>
        </w:rPr>
      </w:pPr>
      <w:r w:rsidRPr="00BD5A4F">
        <w:rPr>
          <w:rFonts w:ascii="Century Schoolbook" w:hAnsi="Century Schoolbook"/>
        </w:rPr>
        <w:t>Addressing the first problem, ethics committees can bring relevant expertise to the table – not just in ethics, but in science, law, the humanities, as well as the lived experience of actual participants. And addressing the second, a dedicated committee can set aside time that busy researchers or policymakers may not have to adjudicate these issues – though the issue is not completely obviated, as researchers will still in the first instance need to propose reasonable selection criteria and recruitment methods.</w:t>
      </w:r>
    </w:p>
    <w:p w14:paraId="229F6F99" w14:textId="08A32FC5" w:rsidR="00C0115C" w:rsidRPr="00BD5A4F" w:rsidRDefault="00C0115C" w:rsidP="00BD5A4F">
      <w:pPr>
        <w:spacing w:line="360" w:lineRule="auto"/>
        <w:jc w:val="both"/>
        <w:rPr>
          <w:rFonts w:ascii="Century Schoolbook" w:hAnsi="Century Schoolbook"/>
        </w:rPr>
      </w:pPr>
      <w:r w:rsidRPr="00BD5A4F">
        <w:rPr>
          <w:rFonts w:ascii="Century Schoolbook" w:hAnsi="Century Schoolbook"/>
        </w:rPr>
        <w:t xml:space="preserve">The third problem, of inconsistency, remains an issue even for ethics committees, as there is evidence that different committees often come to very different determinations while reviewing the same protocol. </w:t>
      </w:r>
      <w:r w:rsidR="00D7680D" w:rsidRPr="00BD5A4F">
        <w:rPr>
          <w:rFonts w:ascii="Century Schoolbook" w:hAnsi="Century Schoolbook"/>
        </w:rPr>
        <w:fldChar w:fldCharType="begin"/>
      </w:r>
      <w:r w:rsidR="00D7680D" w:rsidRPr="00BD5A4F">
        <w:rPr>
          <w:rFonts w:ascii="Century Schoolbook" w:hAnsi="Century Schoolbook"/>
        </w:rPr>
        <w:instrText xml:space="preserve"> ADDIN ZOTERO_ITEM CSL_CITATION {"citationID":"sJvkmLqI","properties":{"formattedCitation":"(Trace and Kolstoe 2017)","plainCitation":"(Trace and Kolstoe 2017)","noteIndex":0},"citationItems":[{"id":1421,"uris":["http://zotero.org/users/1170976/items/DTYJAUKS"],"uri":["http://zotero.org/users/1170976/items/DTYJAUKS"],"itemData":{"id":1421,"type":"article-journal","title":"Measuring inconsistency in research ethics committee review","container-title":"BMC Medical Ethics","volume":"18","issue":"1","source":"Crossref","URL":"https://bmcmedethics.biomedcentral.com/articles/10.1186/s12910-017-0224-7","DOI":"10.1186/s12910-017-0224-7","ISSN":"1472-6939","language":"en","author":[{"family":"Trace","given":"Samantha"},{"family":"Kolstoe","given":"Simon Erik"}],"issued":{"date-parts":[["2017",12]]},"accessed":{"date-parts":[["2019",2,26]]}}}],"schema":"https://github.com/citation-style-language/schema/raw/master/csl-citation.json"} </w:instrText>
      </w:r>
      <w:r w:rsidR="00D7680D" w:rsidRPr="00BD5A4F">
        <w:rPr>
          <w:rFonts w:ascii="Century Schoolbook" w:hAnsi="Century Schoolbook"/>
        </w:rPr>
        <w:fldChar w:fldCharType="separate"/>
      </w:r>
      <w:r w:rsidR="00D7680D" w:rsidRPr="00BD5A4F">
        <w:rPr>
          <w:rFonts w:ascii="Century Schoolbook" w:hAnsi="Century Schoolbook" w:cs="Calibri"/>
        </w:rPr>
        <w:t>(Trace and Kolstoe 2017)</w:t>
      </w:r>
      <w:r w:rsidR="00D7680D" w:rsidRPr="00BD5A4F">
        <w:rPr>
          <w:rFonts w:ascii="Century Schoolbook" w:hAnsi="Century Schoolbook"/>
        </w:rPr>
        <w:fldChar w:fldCharType="end"/>
      </w:r>
      <w:r w:rsidRPr="00BD5A4F">
        <w:rPr>
          <w:rFonts w:ascii="Century Schoolbook" w:hAnsi="Century Schoolbook"/>
        </w:rPr>
        <w:t xml:space="preserve"> </w:t>
      </w:r>
      <w:r w:rsidR="00D7680D" w:rsidRPr="00BD5A4F">
        <w:rPr>
          <w:rFonts w:ascii="Century Schoolbook" w:hAnsi="Century Schoolbook"/>
        </w:rPr>
        <w:t>While some degree of inconsistency is inevitable</w:t>
      </w:r>
      <w:r w:rsidR="00FB2E59" w:rsidRPr="00BD5A4F">
        <w:rPr>
          <w:rFonts w:ascii="Century Schoolbook" w:hAnsi="Century Schoolbook"/>
        </w:rPr>
        <w:t xml:space="preserve"> and perhaps</w:t>
      </w:r>
      <w:r w:rsidR="00D7680D" w:rsidRPr="00BD5A4F">
        <w:rPr>
          <w:rFonts w:ascii="Century Schoolbook" w:hAnsi="Century Schoolbook"/>
        </w:rPr>
        <w:t xml:space="preserve"> even desirable when ethics review takes place,</w:t>
      </w:r>
      <w:r w:rsidRPr="00BD5A4F">
        <w:rPr>
          <w:rFonts w:ascii="Century Schoolbook" w:hAnsi="Century Schoolbook"/>
        </w:rPr>
        <w:t xml:space="preserve"> </w:t>
      </w:r>
      <w:r w:rsidR="00D7680D" w:rsidRPr="00BD5A4F">
        <w:rPr>
          <w:rFonts w:ascii="Century Schoolbook" w:hAnsi="Century Schoolbook"/>
        </w:rPr>
        <w:fldChar w:fldCharType="begin"/>
      </w:r>
      <w:r w:rsidR="00D7680D" w:rsidRPr="00BD5A4F">
        <w:rPr>
          <w:rFonts w:ascii="Century Schoolbook" w:hAnsi="Century Schoolbook"/>
        </w:rPr>
        <w:instrText xml:space="preserve"> ADDIN ZOTERO_ITEM CSL_CITATION {"citationID":"2MuTBEz6","properties":{"formattedCitation":"(Friesen, Yusof, and Sheehan 2019)","plainCitation":"(Friesen, Yusof, and Sheehan 2019)","noteIndex":0},"citationItems":[{"id":1747,"uris":["http://zotero.org/users/1170976/items/8LX3KAYU"],"uri":["http://zotero.org/users/1170976/items/8LX3KAYU"],"itemData":{"id":1747,"type":"article-journal","title":"Should the Decisions of Institutional Review Boards Be Consistent?","container-title":"Ethics &amp; Human Research","page":"2-14","volume":"41","issue":"4","source":"Crossref","DOI":"10.1002/eahr.500022","ISSN":"2578-2355, 2578-2363","language":"en","author":[{"family":"Friesen","given":"Phoebe"},{"family":"Yusof","given":"Aimi Nadia Mohd"},{"family":"Sheehan","given":"Mark"}],"issued":{"date-parts":[["2019",7]]}}}],"schema":"https://github.com/citation-style-language/schema/raw/master/csl-citation.json"} </w:instrText>
      </w:r>
      <w:r w:rsidR="00D7680D" w:rsidRPr="00BD5A4F">
        <w:rPr>
          <w:rFonts w:ascii="Century Schoolbook" w:hAnsi="Century Schoolbook"/>
        </w:rPr>
        <w:fldChar w:fldCharType="separate"/>
      </w:r>
      <w:r w:rsidR="00D7680D" w:rsidRPr="00BD5A4F">
        <w:rPr>
          <w:rFonts w:ascii="Century Schoolbook" w:hAnsi="Century Schoolbook" w:cs="Calibri"/>
        </w:rPr>
        <w:t>(Friesen, Yusof, and Sheehan 2019)</w:t>
      </w:r>
      <w:r w:rsidR="00D7680D" w:rsidRPr="00BD5A4F">
        <w:rPr>
          <w:rFonts w:ascii="Century Schoolbook" w:hAnsi="Century Schoolbook"/>
        </w:rPr>
        <w:fldChar w:fldCharType="end"/>
      </w:r>
      <w:r w:rsidR="00D7680D" w:rsidRPr="00BD5A4F">
        <w:rPr>
          <w:rFonts w:ascii="Century Schoolbook" w:hAnsi="Century Schoolbook"/>
        </w:rPr>
        <w:t xml:space="preserve"> there may still be</w:t>
      </w:r>
      <w:r w:rsidRPr="00BD5A4F">
        <w:rPr>
          <w:rFonts w:ascii="Century Schoolbook" w:hAnsi="Century Schoolbook"/>
        </w:rPr>
        <w:t xml:space="preserve"> </w:t>
      </w:r>
      <w:r w:rsidR="00D7680D" w:rsidRPr="00BD5A4F">
        <w:rPr>
          <w:rFonts w:ascii="Century Schoolbook" w:hAnsi="Century Schoolbook"/>
        </w:rPr>
        <w:t>a</w:t>
      </w:r>
      <w:r w:rsidRPr="00BD5A4F">
        <w:rPr>
          <w:rFonts w:ascii="Century Schoolbook" w:hAnsi="Century Schoolbook"/>
        </w:rPr>
        <w:t xml:space="preserve"> need for greater inter-committee dialogue and adjudication. For exampl</w:t>
      </w:r>
      <w:r w:rsidR="00925B2B" w:rsidRPr="00BD5A4F">
        <w:rPr>
          <w:rFonts w:ascii="Century Schoolbook" w:hAnsi="Century Schoolbook"/>
        </w:rPr>
        <w:t xml:space="preserve">e, members of different committees could convene to share actual case examples of subject selection dilemmas where two of the sub-principles </w:t>
      </w:r>
      <w:proofErr w:type="gramStart"/>
      <w:r w:rsidR="00925B2B" w:rsidRPr="00BD5A4F">
        <w:rPr>
          <w:rFonts w:ascii="Century Schoolbook" w:hAnsi="Century Schoolbook"/>
        </w:rPr>
        <w:t>conflict, and</w:t>
      </w:r>
      <w:proofErr w:type="gramEnd"/>
      <w:r w:rsidR="00925B2B" w:rsidRPr="00BD5A4F">
        <w:rPr>
          <w:rFonts w:ascii="Century Schoolbook" w:hAnsi="Century Schoolbook"/>
        </w:rPr>
        <w:t xml:space="preserve"> try to come to a consensus about the appropriate response. This could result in a case bank that serves as something like precedent to which future committees could refer</w:t>
      </w:r>
      <w:r w:rsidR="0099351C" w:rsidRPr="00BD5A4F">
        <w:rPr>
          <w:rFonts w:ascii="Century Schoolbook" w:hAnsi="Century Schoolbook"/>
        </w:rPr>
        <w:t xml:space="preserve"> when </w:t>
      </w:r>
      <w:r w:rsidR="0099351C" w:rsidRPr="00BD5A4F">
        <w:rPr>
          <w:rFonts w:ascii="Century Schoolbook" w:hAnsi="Century Schoolbook"/>
        </w:rPr>
        <w:lastRenderedPageBreak/>
        <w:t>analysing new cases</w:t>
      </w:r>
      <w:r w:rsidR="00925B2B" w:rsidRPr="00BD5A4F">
        <w:rPr>
          <w:rFonts w:ascii="Century Schoolbook" w:hAnsi="Century Schoolbook"/>
        </w:rPr>
        <w:t>, promoting consistency without substantially sacrificing the importance of considered deliberation.</w:t>
      </w:r>
    </w:p>
    <w:p w14:paraId="7C327EE0" w14:textId="32F4EBAE" w:rsidR="00925B2B" w:rsidRDefault="00925B2B" w:rsidP="00BD5A4F">
      <w:pPr>
        <w:spacing w:line="360" w:lineRule="auto"/>
        <w:jc w:val="both"/>
        <w:rPr>
          <w:rFonts w:ascii="Century Schoolbook" w:hAnsi="Century Schoolbook"/>
        </w:rPr>
      </w:pPr>
      <w:r w:rsidRPr="00BD5A4F">
        <w:rPr>
          <w:rFonts w:ascii="Century Schoolbook" w:hAnsi="Century Schoolbook"/>
        </w:rPr>
        <w:t xml:space="preserve">This is of course only </w:t>
      </w:r>
      <w:r w:rsidR="0099351C" w:rsidRPr="00BD5A4F">
        <w:rPr>
          <w:rFonts w:ascii="Century Schoolbook" w:hAnsi="Century Schoolbook"/>
        </w:rPr>
        <w:t>suggestive</w:t>
      </w:r>
      <w:r w:rsidRPr="00BD5A4F">
        <w:rPr>
          <w:rFonts w:ascii="Century Schoolbook" w:hAnsi="Century Schoolbook"/>
        </w:rPr>
        <w:t xml:space="preserve">, and there is not space in this brief commentary to delve further into appropriate mechanisms </w:t>
      </w:r>
      <w:r w:rsidR="0099351C" w:rsidRPr="00BD5A4F">
        <w:rPr>
          <w:rFonts w:ascii="Century Schoolbook" w:hAnsi="Century Schoolbook"/>
        </w:rPr>
        <w:t xml:space="preserve">to promote robust ethical analysis. The main point is that preserving case-by-case analysis of the relative moral weight of sub-principles of fair selection is both desirable and, with the right level of systemic support, feasible. While Mackay and Saylor’s specification of the contours of fair subject selection is useful in this regard, a more context-sensitive approach is needed when actually adjudicating conflicts between sub-principles. </w:t>
      </w:r>
    </w:p>
    <w:p w14:paraId="790237BE" w14:textId="77777777" w:rsidR="00825AEB" w:rsidRPr="00BD5A4F" w:rsidRDefault="00825AEB" w:rsidP="00BD5A4F">
      <w:pPr>
        <w:spacing w:line="360" w:lineRule="auto"/>
        <w:jc w:val="both"/>
        <w:rPr>
          <w:rFonts w:ascii="Century Schoolbook" w:hAnsi="Century Schoolbook"/>
        </w:rPr>
      </w:pPr>
    </w:p>
    <w:p w14:paraId="0297DE72" w14:textId="173D6E5E" w:rsidR="00D7680D" w:rsidRPr="00BD5A4F" w:rsidRDefault="00D7680D" w:rsidP="00BD5A4F">
      <w:pPr>
        <w:spacing w:line="360" w:lineRule="auto"/>
        <w:jc w:val="both"/>
        <w:rPr>
          <w:rFonts w:ascii="Century Schoolbook" w:hAnsi="Century Schoolbook"/>
        </w:rPr>
      </w:pPr>
    </w:p>
    <w:p w14:paraId="2ABFD369" w14:textId="5990F47F" w:rsidR="00D7680D" w:rsidRPr="00825AEB" w:rsidRDefault="00D7680D" w:rsidP="00BD5A4F">
      <w:pPr>
        <w:spacing w:line="360" w:lineRule="auto"/>
        <w:jc w:val="both"/>
        <w:rPr>
          <w:rFonts w:ascii="Century Schoolbook" w:hAnsi="Century Schoolbook"/>
          <w:b/>
          <w:bCs/>
        </w:rPr>
      </w:pPr>
      <w:r w:rsidRPr="00825AEB">
        <w:rPr>
          <w:rFonts w:ascii="Century Schoolbook" w:hAnsi="Century Schoolbook"/>
          <w:b/>
          <w:bCs/>
        </w:rPr>
        <w:t>Works cited:</w:t>
      </w:r>
    </w:p>
    <w:p w14:paraId="1DA2C4ED" w14:textId="77777777" w:rsidR="00D7680D" w:rsidRPr="00BD5A4F" w:rsidRDefault="00D7680D" w:rsidP="00BD5A4F">
      <w:pPr>
        <w:pStyle w:val="Bibliography"/>
        <w:spacing w:line="360" w:lineRule="auto"/>
        <w:jc w:val="both"/>
        <w:rPr>
          <w:rFonts w:ascii="Century Schoolbook" w:hAnsi="Century Schoolbook" w:cs="Calibri"/>
        </w:rPr>
      </w:pPr>
      <w:r w:rsidRPr="00BD5A4F">
        <w:rPr>
          <w:rFonts w:ascii="Century Schoolbook" w:hAnsi="Century Schoolbook"/>
        </w:rPr>
        <w:fldChar w:fldCharType="begin"/>
      </w:r>
      <w:r w:rsidRPr="00BD5A4F">
        <w:rPr>
          <w:rFonts w:ascii="Century Schoolbook" w:hAnsi="Century Schoolbook"/>
        </w:rPr>
        <w:instrText xml:space="preserve"> ADDIN ZOTERO_BIBL {"uncited":[],"omitted":[],"custom":[]} CSL_BIBLIOGRAPHY </w:instrText>
      </w:r>
      <w:r w:rsidRPr="00BD5A4F">
        <w:rPr>
          <w:rFonts w:ascii="Century Schoolbook" w:hAnsi="Century Schoolbook"/>
        </w:rPr>
        <w:fldChar w:fldCharType="separate"/>
      </w:r>
      <w:r w:rsidRPr="00BD5A4F">
        <w:rPr>
          <w:rFonts w:ascii="Century Schoolbook" w:hAnsi="Century Schoolbook" w:cs="Calibri"/>
        </w:rPr>
        <w:t xml:space="preserve">Friesen, Phoebe, Aimi Nadia Mohd Yusof, and Mark Sheehan. 2019. “Should the Decisions of Institutional Review Boards Be Consistent?” </w:t>
      </w:r>
      <w:r w:rsidRPr="00BD5A4F">
        <w:rPr>
          <w:rFonts w:ascii="Century Schoolbook" w:hAnsi="Century Schoolbook" w:cs="Calibri"/>
          <w:i/>
          <w:iCs/>
        </w:rPr>
        <w:t>Ethics &amp; Human Research</w:t>
      </w:r>
      <w:r w:rsidRPr="00BD5A4F">
        <w:rPr>
          <w:rFonts w:ascii="Century Schoolbook" w:hAnsi="Century Schoolbook" w:cs="Calibri"/>
        </w:rPr>
        <w:t xml:space="preserve"> 41 (4): 2–14. https://doi.org/10.1002/eahr.500022.</w:t>
      </w:r>
    </w:p>
    <w:p w14:paraId="086972EC" w14:textId="77777777" w:rsidR="00D7680D" w:rsidRPr="00BD5A4F" w:rsidRDefault="00D7680D" w:rsidP="00BD5A4F">
      <w:pPr>
        <w:pStyle w:val="Bibliography"/>
        <w:spacing w:line="360" w:lineRule="auto"/>
        <w:jc w:val="both"/>
        <w:rPr>
          <w:rFonts w:ascii="Century Schoolbook" w:hAnsi="Century Schoolbook" w:cs="Calibri"/>
        </w:rPr>
      </w:pPr>
      <w:r w:rsidRPr="00BD5A4F">
        <w:rPr>
          <w:rFonts w:ascii="Century Schoolbook" w:hAnsi="Century Schoolbook" w:cs="Calibri"/>
        </w:rPr>
        <w:t xml:space="preserve">Henriksen-Bulmer, Jane, and Sheridan Jeary. 2016. “Re-Identification Attacks—A Systematic Literature Review.” </w:t>
      </w:r>
      <w:r w:rsidRPr="00BD5A4F">
        <w:rPr>
          <w:rFonts w:ascii="Century Schoolbook" w:hAnsi="Century Schoolbook" w:cs="Calibri"/>
          <w:i/>
          <w:iCs/>
        </w:rPr>
        <w:t>International Journal of Information Management</w:t>
      </w:r>
      <w:r w:rsidRPr="00BD5A4F">
        <w:rPr>
          <w:rFonts w:ascii="Century Schoolbook" w:hAnsi="Century Schoolbook" w:cs="Calibri"/>
        </w:rPr>
        <w:t xml:space="preserve"> 36 (6): 1184–92. https://doi.org/10.1016/j.ijinfomgt.2016.08.002.</w:t>
      </w:r>
    </w:p>
    <w:p w14:paraId="506A6B66" w14:textId="5A7A96DB" w:rsidR="00D7680D" w:rsidRPr="00BD5A4F" w:rsidRDefault="00D7680D" w:rsidP="00BD5A4F">
      <w:pPr>
        <w:pStyle w:val="Bibliography"/>
        <w:spacing w:line="360" w:lineRule="auto"/>
        <w:jc w:val="both"/>
        <w:rPr>
          <w:rFonts w:ascii="Century Schoolbook" w:hAnsi="Century Schoolbook" w:cs="Calibri"/>
        </w:rPr>
      </w:pPr>
      <w:r w:rsidRPr="00BD5A4F">
        <w:rPr>
          <w:rFonts w:ascii="Century Schoolbook" w:hAnsi="Century Schoolbook" w:cs="Calibri"/>
        </w:rPr>
        <w:t xml:space="preserve">Mackay, Douglas, and Katherine Saylor. 2019. “Four Faces of Fair Subject Selection.” </w:t>
      </w:r>
      <w:r w:rsidRPr="00BD5A4F">
        <w:rPr>
          <w:rFonts w:ascii="Century Schoolbook" w:hAnsi="Century Schoolbook" w:cs="Calibri"/>
          <w:i/>
          <w:iCs/>
        </w:rPr>
        <w:t>American Journal of Bioethics</w:t>
      </w:r>
      <w:r w:rsidR="00BD5A4F">
        <w:rPr>
          <w:rFonts w:ascii="Century Schoolbook" w:hAnsi="Century Schoolbook" w:cs="Calibri"/>
          <w:i/>
          <w:iCs/>
        </w:rPr>
        <w:t xml:space="preserve"> 20(2): 5-19</w:t>
      </w:r>
      <w:r w:rsidRPr="00BD5A4F">
        <w:rPr>
          <w:rFonts w:ascii="Century Schoolbook" w:hAnsi="Century Schoolbook" w:cs="Calibri"/>
        </w:rPr>
        <w:t>.</w:t>
      </w:r>
    </w:p>
    <w:p w14:paraId="1DA71394" w14:textId="77777777" w:rsidR="00D7680D" w:rsidRPr="00BD5A4F" w:rsidRDefault="00D7680D" w:rsidP="00BD5A4F">
      <w:pPr>
        <w:pStyle w:val="Bibliography"/>
        <w:spacing w:line="360" w:lineRule="auto"/>
        <w:jc w:val="both"/>
        <w:rPr>
          <w:rFonts w:ascii="Century Schoolbook" w:hAnsi="Century Schoolbook" w:cs="Calibri"/>
        </w:rPr>
      </w:pPr>
      <w:r w:rsidRPr="00BD5A4F">
        <w:rPr>
          <w:rFonts w:ascii="Century Schoolbook" w:hAnsi="Century Schoolbook" w:cs="Calibri"/>
        </w:rPr>
        <w:t xml:space="preserve">Macklin, Ruth, and Gerald Friedland. 1986. “AIDS Research: The Ethics of Clinical Trials.” </w:t>
      </w:r>
      <w:r w:rsidRPr="00BD5A4F">
        <w:rPr>
          <w:rFonts w:ascii="Century Schoolbook" w:hAnsi="Century Schoolbook" w:cs="Calibri"/>
          <w:i/>
          <w:iCs/>
        </w:rPr>
        <w:t>Law, Medicine and Health Care</w:t>
      </w:r>
      <w:r w:rsidRPr="00BD5A4F">
        <w:rPr>
          <w:rFonts w:ascii="Century Schoolbook" w:hAnsi="Century Schoolbook" w:cs="Calibri"/>
        </w:rPr>
        <w:t xml:space="preserve"> 14 (5–6): 273–80. https://doi.org/10.1111/j.1748-720X.1986.tb00995.x.</w:t>
      </w:r>
    </w:p>
    <w:p w14:paraId="2DA6E158" w14:textId="77777777" w:rsidR="00D7680D" w:rsidRPr="00BD5A4F" w:rsidRDefault="00D7680D" w:rsidP="00BD5A4F">
      <w:pPr>
        <w:pStyle w:val="Bibliography"/>
        <w:spacing w:line="360" w:lineRule="auto"/>
        <w:jc w:val="both"/>
        <w:rPr>
          <w:rFonts w:ascii="Century Schoolbook" w:hAnsi="Century Schoolbook" w:cs="Calibri"/>
        </w:rPr>
      </w:pPr>
      <w:r w:rsidRPr="00BD5A4F">
        <w:rPr>
          <w:rFonts w:ascii="Century Schoolbook" w:hAnsi="Century Schoolbook" w:cs="Calibri"/>
        </w:rPr>
        <w:t xml:space="preserve">Moore, Andrew, and Andrew Donnelly. 2018. “The Job of ‘Ethics Committees.’” </w:t>
      </w:r>
      <w:r w:rsidRPr="00BD5A4F">
        <w:rPr>
          <w:rFonts w:ascii="Century Schoolbook" w:hAnsi="Century Schoolbook" w:cs="Calibri"/>
          <w:i/>
          <w:iCs/>
        </w:rPr>
        <w:t>Journal of Medical Ethics</w:t>
      </w:r>
      <w:r w:rsidRPr="00BD5A4F">
        <w:rPr>
          <w:rFonts w:ascii="Century Schoolbook" w:hAnsi="Century Schoolbook" w:cs="Calibri"/>
        </w:rPr>
        <w:t xml:space="preserve"> 44 (7): 481–87. https://doi.org/10.1136/medethics-2015-102688.</w:t>
      </w:r>
    </w:p>
    <w:p w14:paraId="761FB8DE" w14:textId="77777777" w:rsidR="00D7680D" w:rsidRPr="00BD5A4F" w:rsidRDefault="00D7680D" w:rsidP="00BD5A4F">
      <w:pPr>
        <w:pStyle w:val="Bibliography"/>
        <w:spacing w:line="360" w:lineRule="auto"/>
        <w:jc w:val="both"/>
        <w:rPr>
          <w:rFonts w:ascii="Century Schoolbook" w:hAnsi="Century Schoolbook" w:cs="Calibri"/>
        </w:rPr>
      </w:pPr>
      <w:r w:rsidRPr="00BD5A4F">
        <w:rPr>
          <w:rFonts w:ascii="Century Schoolbook" w:hAnsi="Century Schoolbook" w:cs="Calibri"/>
        </w:rPr>
        <w:t xml:space="preserve">Schaefer, G Owen. 2018. “Code-Consistent Ethics Review: Defence of a Hybrid Account.” </w:t>
      </w:r>
      <w:r w:rsidRPr="00BD5A4F">
        <w:rPr>
          <w:rFonts w:ascii="Century Schoolbook" w:hAnsi="Century Schoolbook" w:cs="Calibri"/>
          <w:i/>
          <w:iCs/>
        </w:rPr>
        <w:t>Journal of Medical Ethics</w:t>
      </w:r>
      <w:r w:rsidRPr="00BD5A4F">
        <w:rPr>
          <w:rFonts w:ascii="Century Schoolbook" w:hAnsi="Century Schoolbook" w:cs="Calibri"/>
        </w:rPr>
        <w:t xml:space="preserve"> 44 (7): 494–95. https://doi.org/10.1136/medethics-2015-103345.</w:t>
      </w:r>
    </w:p>
    <w:p w14:paraId="3A041CED" w14:textId="77777777" w:rsidR="00D7680D" w:rsidRPr="00BD5A4F" w:rsidRDefault="00D7680D" w:rsidP="00BD5A4F">
      <w:pPr>
        <w:pStyle w:val="Bibliography"/>
        <w:spacing w:line="360" w:lineRule="auto"/>
        <w:jc w:val="both"/>
        <w:rPr>
          <w:rFonts w:ascii="Century Schoolbook" w:hAnsi="Century Schoolbook" w:cs="Calibri"/>
        </w:rPr>
      </w:pPr>
      <w:r w:rsidRPr="00BD5A4F">
        <w:rPr>
          <w:rFonts w:ascii="Century Schoolbook" w:hAnsi="Century Schoolbook" w:cs="Calibri"/>
        </w:rPr>
        <w:t xml:space="preserve">Trace, Samantha, and Simon Erik Kolstoe. 2017. “Measuring Inconsistency in Research Ethics Committee Review.” </w:t>
      </w:r>
      <w:r w:rsidRPr="00BD5A4F">
        <w:rPr>
          <w:rFonts w:ascii="Century Schoolbook" w:hAnsi="Century Schoolbook" w:cs="Calibri"/>
          <w:i/>
          <w:iCs/>
        </w:rPr>
        <w:t>BMC Medical Ethics</w:t>
      </w:r>
      <w:r w:rsidRPr="00BD5A4F">
        <w:rPr>
          <w:rFonts w:ascii="Century Schoolbook" w:hAnsi="Century Schoolbook" w:cs="Calibri"/>
        </w:rPr>
        <w:t xml:space="preserve"> 18 (1). https://doi.org/10.1186/s12910-017-0224-7.</w:t>
      </w:r>
    </w:p>
    <w:p w14:paraId="6DCACE8C" w14:textId="1AF231E1" w:rsidR="0048739B" w:rsidRPr="00BD5A4F" w:rsidRDefault="00D7680D" w:rsidP="00BD5A4F">
      <w:pPr>
        <w:spacing w:line="360" w:lineRule="auto"/>
        <w:jc w:val="both"/>
        <w:rPr>
          <w:rFonts w:ascii="Century Schoolbook" w:hAnsi="Century Schoolbook"/>
        </w:rPr>
      </w:pPr>
      <w:r w:rsidRPr="00BD5A4F">
        <w:rPr>
          <w:rFonts w:ascii="Century Schoolbook" w:hAnsi="Century Schoolbook"/>
        </w:rPr>
        <w:fldChar w:fldCharType="end"/>
      </w:r>
    </w:p>
    <w:sectPr w:rsidR="0048739B" w:rsidRPr="00BD5A4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4CF3D" w14:textId="77777777" w:rsidR="001E5508" w:rsidRDefault="001E5508" w:rsidP="008C6DD0">
      <w:pPr>
        <w:spacing w:after="0" w:line="240" w:lineRule="auto"/>
      </w:pPr>
      <w:r>
        <w:separator/>
      </w:r>
    </w:p>
  </w:endnote>
  <w:endnote w:type="continuationSeparator" w:id="0">
    <w:p w14:paraId="08880A80" w14:textId="77777777" w:rsidR="001E5508" w:rsidRDefault="001E5508" w:rsidP="008C6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1708974"/>
      <w:docPartObj>
        <w:docPartGallery w:val="Page Numbers (Bottom of Page)"/>
        <w:docPartUnique/>
      </w:docPartObj>
    </w:sdtPr>
    <w:sdtEndPr>
      <w:rPr>
        <w:noProof/>
      </w:rPr>
    </w:sdtEndPr>
    <w:sdtContent>
      <w:p w14:paraId="31979E1F" w14:textId="4878C4D4" w:rsidR="008C6DD0" w:rsidRDefault="008C6D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99E834" w14:textId="77777777" w:rsidR="008C6DD0" w:rsidRDefault="008C6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DF6AB" w14:textId="77777777" w:rsidR="001E5508" w:rsidRDefault="001E5508" w:rsidP="008C6DD0">
      <w:pPr>
        <w:spacing w:after="0" w:line="240" w:lineRule="auto"/>
      </w:pPr>
      <w:r>
        <w:separator/>
      </w:r>
    </w:p>
  </w:footnote>
  <w:footnote w:type="continuationSeparator" w:id="0">
    <w:p w14:paraId="0B08D9AD" w14:textId="77777777" w:rsidR="001E5508" w:rsidRDefault="001E5508" w:rsidP="008C6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B2F00"/>
    <w:multiLevelType w:val="hybridMultilevel"/>
    <w:tmpl w:val="11A8991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39B"/>
    <w:rsid w:val="000966C4"/>
    <w:rsid w:val="000A5879"/>
    <w:rsid w:val="001E5508"/>
    <w:rsid w:val="00325E89"/>
    <w:rsid w:val="00454A85"/>
    <w:rsid w:val="0048739B"/>
    <w:rsid w:val="004B10A2"/>
    <w:rsid w:val="004F30D0"/>
    <w:rsid w:val="004F5CEC"/>
    <w:rsid w:val="00610C80"/>
    <w:rsid w:val="00646650"/>
    <w:rsid w:val="007132EA"/>
    <w:rsid w:val="007D4F79"/>
    <w:rsid w:val="00825AEB"/>
    <w:rsid w:val="008616D6"/>
    <w:rsid w:val="008C6DD0"/>
    <w:rsid w:val="008E6E02"/>
    <w:rsid w:val="00921A69"/>
    <w:rsid w:val="00925B2B"/>
    <w:rsid w:val="009625AA"/>
    <w:rsid w:val="00981E3B"/>
    <w:rsid w:val="0099351C"/>
    <w:rsid w:val="00AB4747"/>
    <w:rsid w:val="00B124DE"/>
    <w:rsid w:val="00BD5A4F"/>
    <w:rsid w:val="00C0115C"/>
    <w:rsid w:val="00C074AA"/>
    <w:rsid w:val="00CB77BE"/>
    <w:rsid w:val="00CF0D46"/>
    <w:rsid w:val="00D7680D"/>
    <w:rsid w:val="00DD0660"/>
    <w:rsid w:val="00F06772"/>
    <w:rsid w:val="00FB2E5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200D9"/>
  <w15:chartTrackingRefBased/>
  <w15:docId w15:val="{461D20FE-21C1-4524-AEA2-2593AEDB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39B"/>
    <w:pPr>
      <w:ind w:left="720"/>
      <w:contextualSpacing/>
    </w:pPr>
  </w:style>
  <w:style w:type="paragraph" w:styleId="Bibliography">
    <w:name w:val="Bibliography"/>
    <w:basedOn w:val="Normal"/>
    <w:next w:val="Normal"/>
    <w:uiPriority w:val="37"/>
    <w:unhideWhenUsed/>
    <w:rsid w:val="00D7680D"/>
    <w:pPr>
      <w:spacing w:after="0" w:line="240" w:lineRule="auto"/>
      <w:ind w:left="720" w:hanging="720"/>
    </w:pPr>
  </w:style>
  <w:style w:type="paragraph" w:styleId="Header">
    <w:name w:val="header"/>
    <w:basedOn w:val="Normal"/>
    <w:link w:val="HeaderChar"/>
    <w:uiPriority w:val="99"/>
    <w:unhideWhenUsed/>
    <w:rsid w:val="008C6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DD0"/>
  </w:style>
  <w:style w:type="paragraph" w:styleId="Footer">
    <w:name w:val="footer"/>
    <w:basedOn w:val="Normal"/>
    <w:link w:val="FooterChar"/>
    <w:uiPriority w:val="99"/>
    <w:unhideWhenUsed/>
    <w:rsid w:val="008C6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DD0"/>
  </w:style>
  <w:style w:type="character" w:styleId="Emphasis">
    <w:name w:val="Emphasis"/>
    <w:basedOn w:val="DefaultParagraphFont"/>
    <w:uiPriority w:val="20"/>
    <w:qFormat/>
    <w:rsid w:val="00BD5A4F"/>
    <w:rPr>
      <w:i/>
      <w:iCs/>
    </w:rPr>
  </w:style>
  <w:style w:type="character" w:styleId="Hyperlink">
    <w:name w:val="Hyperlink"/>
    <w:basedOn w:val="DefaultParagraphFont"/>
    <w:uiPriority w:val="99"/>
    <w:semiHidden/>
    <w:unhideWhenUsed/>
    <w:rsid w:val="00BD5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15265161.2019.1701731" TargetMode="External"/><Relationship Id="rId3" Type="http://schemas.openxmlformats.org/officeDocument/2006/relationships/settings" Target="settings.xml"/><Relationship Id="rId7" Type="http://schemas.openxmlformats.org/officeDocument/2006/relationships/hyperlink" Target="https://www.tandfonline.com/doi/full/10.1080/15265161.2019.17017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2670</Words>
  <Characters>15220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Schaefer</dc:creator>
  <cp:keywords/>
  <dc:description/>
  <cp:lastModifiedBy>Owen Schaefer</cp:lastModifiedBy>
  <cp:revision>9</cp:revision>
  <dcterms:created xsi:type="dcterms:W3CDTF">2020-01-29T03:43:00Z</dcterms:created>
  <dcterms:modified xsi:type="dcterms:W3CDTF">2020-01-29T03:55:00Z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zotero-version="5.0.76"&gt;&lt;session id="MHXsDVPN"/&gt;&lt;style id="http://www.zotero.org/styles/chicago-author-date" locale="en-US" hasBibliography="1" bibliographyStyleHasBeenSet="1"/&gt;&lt;prefs&gt;&lt;pref name="fieldType" value="Field"/&gt;&lt;/prefs&gt;&lt;/</vt:lpwstr>
  </property>
  <property fmtid="{D5CDD505-2E9C-101B-9397-08002B2CF9AE}" pid="3" name="ZOTERO_PREF_2">
    <vt:lpwstr>data&gt;</vt:lpwstr>
  </property>
</Properties>
</file>