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54" w:rsidRPr="00AC1C73" w:rsidRDefault="00D343F6" w:rsidP="00AC1C73">
      <w:pPr>
        <w:rPr>
          <w:rFonts w:ascii="Times New Roman" w:hAnsi="Times New Roman" w:cs="Times New Roman"/>
          <w:sz w:val="32"/>
          <w:szCs w:val="32"/>
        </w:rPr>
      </w:pPr>
      <w:r w:rsidRPr="00AC1C73">
        <w:rPr>
          <w:rFonts w:ascii="Times New Roman" w:hAnsi="Times New Roman" w:cs="Times New Roman"/>
          <w:sz w:val="32"/>
          <w:szCs w:val="32"/>
        </w:rPr>
        <w:t>Kants Logik</w:t>
      </w:r>
      <w:r w:rsidR="00672642" w:rsidRPr="00AC1C73">
        <w:rPr>
          <w:rFonts w:ascii="Times New Roman" w:hAnsi="Times New Roman" w:cs="Times New Roman"/>
          <w:sz w:val="32"/>
          <w:szCs w:val="32"/>
        </w:rPr>
        <w:t xml:space="preserve"> </w:t>
      </w:r>
      <w:r w:rsidR="00315DEC">
        <w:rPr>
          <w:rFonts w:ascii="Times New Roman" w:hAnsi="Times New Roman" w:cs="Times New Roman"/>
          <w:sz w:val="32"/>
          <w:szCs w:val="32"/>
        </w:rPr>
        <w:t>der Urteile</w:t>
      </w:r>
    </w:p>
    <w:p w:rsidR="00315DEC" w:rsidRDefault="00315DEC" w:rsidP="00AC1C73">
      <w:pPr>
        <w:rPr>
          <w:rFonts w:ascii="Times New Roman" w:hAnsi="Times New Roman" w:cs="Times New Roman"/>
          <w:sz w:val="24"/>
          <w:szCs w:val="24"/>
        </w:rPr>
      </w:pPr>
    </w:p>
    <w:p w:rsidR="00AC1C73" w:rsidRPr="00B04936" w:rsidRDefault="00AC1C73" w:rsidP="00AC1C73">
      <w:pPr>
        <w:rPr>
          <w:rFonts w:ascii="Times New Roman" w:hAnsi="Times New Roman" w:cs="Times New Roman"/>
          <w:sz w:val="24"/>
          <w:szCs w:val="24"/>
          <w:u w:val="single"/>
        </w:rPr>
      </w:pPr>
      <w:r w:rsidRPr="00B04936">
        <w:rPr>
          <w:rFonts w:ascii="Times New Roman" w:hAnsi="Times New Roman" w:cs="Times New Roman"/>
          <w:sz w:val="24"/>
          <w:szCs w:val="24"/>
          <w:u w:val="single"/>
        </w:rPr>
        <w:t>Gliederung</w:t>
      </w:r>
    </w:p>
    <w:p w:rsidR="00AC1C73" w:rsidRDefault="00AC1C73" w:rsidP="00AC1C73">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Die Sicht der Moderne</w:t>
      </w:r>
    </w:p>
    <w:p w:rsidR="00AC1C73" w:rsidRDefault="00AC1C73" w:rsidP="00AC1C73">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Kants Ansatz</w:t>
      </w:r>
      <w:bookmarkStart w:id="0" w:name="_GoBack"/>
      <w:bookmarkEnd w:id="0"/>
    </w:p>
    <w:p w:rsidR="00AC1C73" w:rsidRDefault="00AC1C73" w:rsidP="00AC1C73">
      <w:pPr>
        <w:pStyle w:val="Listenabsatz"/>
        <w:numPr>
          <w:ilvl w:val="0"/>
          <w:numId w:val="3"/>
        </w:numPr>
        <w:rPr>
          <w:rFonts w:ascii="Times New Roman" w:hAnsi="Times New Roman" w:cs="Times New Roman"/>
          <w:sz w:val="24"/>
          <w:szCs w:val="24"/>
        </w:rPr>
      </w:pPr>
      <w:r>
        <w:rPr>
          <w:rFonts w:ascii="Times New Roman" w:hAnsi="Times New Roman" w:cs="Times New Roman"/>
          <w:sz w:val="24"/>
          <w:szCs w:val="24"/>
        </w:rPr>
        <w:t>Die Urteilsformen</w:t>
      </w:r>
    </w:p>
    <w:p w:rsidR="00AC1C73" w:rsidRDefault="00AC1C73" w:rsidP="00AC1C73">
      <w:pPr>
        <w:pStyle w:val="Listenabsatz"/>
        <w:rPr>
          <w:rFonts w:ascii="Times New Roman" w:hAnsi="Times New Roman" w:cs="Times New Roman"/>
          <w:sz w:val="24"/>
          <w:szCs w:val="24"/>
        </w:rPr>
      </w:pPr>
      <w:r>
        <w:rPr>
          <w:rFonts w:ascii="Times New Roman" w:hAnsi="Times New Roman" w:cs="Times New Roman"/>
          <w:sz w:val="24"/>
          <w:szCs w:val="24"/>
        </w:rPr>
        <w:t xml:space="preserve">Literatur </w:t>
      </w:r>
    </w:p>
    <w:p w:rsidR="00AC1C73" w:rsidRDefault="00AC1C73" w:rsidP="00AC1C73">
      <w:pPr>
        <w:pStyle w:val="Listenabsatz"/>
        <w:rPr>
          <w:rFonts w:ascii="Times New Roman" w:hAnsi="Times New Roman" w:cs="Times New Roman"/>
          <w:sz w:val="24"/>
          <w:szCs w:val="24"/>
        </w:rPr>
      </w:pPr>
    </w:p>
    <w:p w:rsidR="00315DEC" w:rsidRPr="00AC1C73" w:rsidRDefault="00315DEC" w:rsidP="00AC1C73">
      <w:pPr>
        <w:pStyle w:val="Listenabsatz"/>
        <w:rPr>
          <w:rFonts w:ascii="Times New Roman" w:hAnsi="Times New Roman" w:cs="Times New Roman"/>
          <w:sz w:val="24"/>
          <w:szCs w:val="24"/>
        </w:rPr>
      </w:pPr>
    </w:p>
    <w:p w:rsidR="008A3FDB" w:rsidRPr="00AC1C73" w:rsidRDefault="000E3D54" w:rsidP="000E3D54">
      <w:pPr>
        <w:spacing w:line="360" w:lineRule="auto"/>
        <w:rPr>
          <w:rFonts w:ascii="Times New Roman" w:hAnsi="Times New Roman" w:cs="Times New Roman"/>
          <w:sz w:val="24"/>
          <w:szCs w:val="24"/>
          <w:u w:val="single"/>
        </w:rPr>
      </w:pPr>
      <w:r w:rsidRPr="00AC1C73">
        <w:rPr>
          <w:rFonts w:ascii="Times New Roman" w:hAnsi="Times New Roman" w:cs="Times New Roman"/>
          <w:sz w:val="24"/>
          <w:szCs w:val="24"/>
          <w:u w:val="single"/>
        </w:rPr>
        <w:t>Zusammenfassung</w:t>
      </w:r>
    </w:p>
    <w:p w:rsidR="008A3FDB" w:rsidRPr="00795714" w:rsidRDefault="00795714" w:rsidP="000E3D54">
      <w:pPr>
        <w:spacing w:line="360" w:lineRule="auto"/>
        <w:rPr>
          <w:rFonts w:ascii="Times New Roman" w:hAnsi="Times New Roman" w:cs="Times New Roman"/>
          <w:sz w:val="24"/>
          <w:szCs w:val="24"/>
          <w:lang w:val="en-US"/>
        </w:rPr>
      </w:pPr>
      <w:r>
        <w:rPr>
          <w:rFonts w:ascii="Times New Roman" w:hAnsi="Times New Roman" w:cs="Times New Roman"/>
          <w:sz w:val="24"/>
          <w:szCs w:val="24"/>
        </w:rPr>
        <w:t xml:space="preserve">Kants Anspruch, seine Tafel der Urteilsformen sei vollständig, ist nach wie vor umstritten. </w:t>
      </w:r>
      <w:r w:rsidR="00F06A1A">
        <w:rPr>
          <w:rFonts w:ascii="Times New Roman" w:hAnsi="Times New Roman" w:cs="Times New Roman"/>
          <w:sz w:val="24"/>
          <w:szCs w:val="24"/>
        </w:rPr>
        <w:t>Die</w:t>
      </w:r>
      <w:r>
        <w:rPr>
          <w:rFonts w:ascii="Times New Roman" w:hAnsi="Times New Roman" w:cs="Times New Roman"/>
          <w:sz w:val="24"/>
          <w:szCs w:val="24"/>
        </w:rPr>
        <w:t xml:space="preserve"> Gründe </w:t>
      </w:r>
      <w:r w:rsidR="00F06A1A">
        <w:rPr>
          <w:rFonts w:ascii="Times New Roman" w:hAnsi="Times New Roman" w:cs="Times New Roman"/>
          <w:sz w:val="24"/>
          <w:szCs w:val="24"/>
        </w:rPr>
        <w:t>für diesen Anspruch liegen in Kants</w:t>
      </w:r>
      <w:r>
        <w:rPr>
          <w:rFonts w:ascii="Times New Roman" w:hAnsi="Times New Roman" w:cs="Times New Roman"/>
          <w:sz w:val="24"/>
          <w:szCs w:val="24"/>
        </w:rPr>
        <w:t xml:space="preserve"> Auf</w:t>
      </w:r>
      <w:r w:rsidR="00792829">
        <w:rPr>
          <w:rFonts w:ascii="Times New Roman" w:hAnsi="Times New Roman" w:cs="Times New Roman"/>
          <w:sz w:val="24"/>
          <w:szCs w:val="24"/>
        </w:rPr>
        <w:t>fassung von formaler Logik. Für ihn ist sie in ihrem Kern e</w:t>
      </w:r>
      <w:r w:rsidR="008A3FDB" w:rsidRPr="009404FC">
        <w:rPr>
          <w:rFonts w:ascii="Times New Roman" w:hAnsi="Times New Roman" w:cs="Times New Roman"/>
          <w:sz w:val="24"/>
          <w:szCs w:val="24"/>
        </w:rPr>
        <w:t>ine Theorie der Verwendung von Merkmalen zur Un</w:t>
      </w:r>
      <w:r w:rsidR="00792829">
        <w:rPr>
          <w:rFonts w:ascii="Times New Roman" w:hAnsi="Times New Roman" w:cs="Times New Roman"/>
          <w:sz w:val="24"/>
          <w:szCs w:val="24"/>
        </w:rPr>
        <w:t>terscheidung von Dingen. Formal betrachtet können diese</w:t>
      </w:r>
      <w:r w:rsidR="00EF5F69" w:rsidRPr="009404FC">
        <w:rPr>
          <w:rFonts w:ascii="Times New Roman" w:hAnsi="Times New Roman" w:cs="Times New Roman"/>
          <w:sz w:val="24"/>
          <w:szCs w:val="24"/>
        </w:rPr>
        <w:t xml:space="preserve"> dadurch nach Art und Gattung unterschieden werden, dass Kennzeichnungen in Urteilen erster Stufe durch Urteile zweiter Stufe in die Verhältnisse der alternativen oder der abhängigen Gültigkeit gesetzt werden. Aus den so aufgebauten Teilklassenverhältnissen ergeben sich Folgerungsverhältnisse zwischen Aussagen. </w:t>
      </w:r>
      <w:r w:rsidR="005D5211" w:rsidRPr="00795714">
        <w:rPr>
          <w:rFonts w:ascii="Times New Roman" w:hAnsi="Times New Roman" w:cs="Times New Roman"/>
          <w:sz w:val="24"/>
          <w:szCs w:val="24"/>
          <w:lang w:val="en-US"/>
        </w:rPr>
        <w:t>Diese machen aber nicht die Basis der Logik aus.</w:t>
      </w:r>
    </w:p>
    <w:p w:rsidR="0055078A" w:rsidRPr="00795714" w:rsidRDefault="0055078A" w:rsidP="000E3D54">
      <w:pPr>
        <w:spacing w:line="360" w:lineRule="auto"/>
        <w:rPr>
          <w:rFonts w:ascii="Times New Roman" w:hAnsi="Times New Roman" w:cs="Times New Roman"/>
          <w:sz w:val="24"/>
          <w:szCs w:val="24"/>
          <w:lang w:val="en-US"/>
        </w:rPr>
      </w:pPr>
    </w:p>
    <w:p w:rsidR="000E3D54" w:rsidRPr="00795714" w:rsidRDefault="000E3D54" w:rsidP="000E3D54">
      <w:pPr>
        <w:spacing w:line="360" w:lineRule="auto"/>
        <w:rPr>
          <w:rFonts w:ascii="Times New Roman" w:hAnsi="Times New Roman" w:cs="Times New Roman"/>
          <w:sz w:val="24"/>
          <w:szCs w:val="24"/>
          <w:lang w:val="en-US"/>
        </w:rPr>
      </w:pPr>
      <w:r w:rsidRPr="00795714">
        <w:rPr>
          <w:rFonts w:ascii="Times New Roman" w:hAnsi="Times New Roman" w:cs="Times New Roman"/>
          <w:sz w:val="24"/>
          <w:szCs w:val="24"/>
          <w:lang w:val="en-US"/>
        </w:rPr>
        <w:t>Summary</w:t>
      </w:r>
    </w:p>
    <w:p w:rsidR="001E0950" w:rsidRPr="00795714" w:rsidRDefault="00F06A1A" w:rsidP="001E095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Kant´s claim</w:t>
      </w:r>
      <w:r w:rsidR="00795714">
        <w:rPr>
          <w:rFonts w:ascii="Times New Roman" w:hAnsi="Times New Roman" w:cs="Times New Roman"/>
          <w:sz w:val="24"/>
          <w:szCs w:val="24"/>
          <w:lang w:val="en-US"/>
        </w:rPr>
        <w:t xml:space="preserve"> that his tab</w:t>
      </w:r>
      <w:r w:rsidR="00543F5E">
        <w:rPr>
          <w:rFonts w:ascii="Times New Roman" w:hAnsi="Times New Roman" w:cs="Times New Roman"/>
          <w:sz w:val="24"/>
          <w:szCs w:val="24"/>
          <w:lang w:val="en-US"/>
        </w:rPr>
        <w:t>le of the forms of judgment is</w:t>
      </w:r>
      <w:r w:rsidR="00795714">
        <w:rPr>
          <w:rFonts w:ascii="Times New Roman" w:hAnsi="Times New Roman" w:cs="Times New Roman"/>
          <w:sz w:val="24"/>
          <w:szCs w:val="24"/>
          <w:lang w:val="en-US"/>
        </w:rPr>
        <w:t xml:space="preserve"> complet</w:t>
      </w:r>
      <w:r w:rsidR="00543F5E">
        <w:rPr>
          <w:rFonts w:ascii="Times New Roman" w:hAnsi="Times New Roman" w:cs="Times New Roman"/>
          <w:sz w:val="24"/>
          <w:szCs w:val="24"/>
          <w:lang w:val="en-US"/>
        </w:rPr>
        <w:t>e</w:t>
      </w:r>
      <w:r w:rsidR="00795714">
        <w:rPr>
          <w:rFonts w:ascii="Times New Roman" w:hAnsi="Times New Roman" w:cs="Times New Roman"/>
          <w:sz w:val="24"/>
          <w:szCs w:val="24"/>
          <w:lang w:val="en-US"/>
        </w:rPr>
        <w:t xml:space="preserve"> still is in controversial discussion.</w:t>
      </w:r>
      <w:r>
        <w:rPr>
          <w:rFonts w:ascii="Times New Roman" w:hAnsi="Times New Roman" w:cs="Times New Roman"/>
          <w:sz w:val="24"/>
          <w:szCs w:val="24"/>
          <w:lang w:val="en-US"/>
        </w:rPr>
        <w:t xml:space="preserve"> The</w:t>
      </w:r>
      <w:r w:rsidR="00543F5E">
        <w:rPr>
          <w:rFonts w:ascii="Times New Roman" w:hAnsi="Times New Roman" w:cs="Times New Roman"/>
          <w:sz w:val="24"/>
          <w:szCs w:val="24"/>
          <w:lang w:val="en-US"/>
        </w:rPr>
        <w:t xml:space="preserve"> reasons </w:t>
      </w:r>
      <w:r>
        <w:rPr>
          <w:rFonts w:ascii="Times New Roman" w:hAnsi="Times New Roman" w:cs="Times New Roman"/>
          <w:sz w:val="24"/>
          <w:szCs w:val="24"/>
          <w:lang w:val="en-US"/>
        </w:rPr>
        <w:t>for this claim lay in Kants</w:t>
      </w:r>
      <w:r w:rsidR="00543F5E">
        <w:rPr>
          <w:rFonts w:ascii="Times New Roman" w:hAnsi="Times New Roman" w:cs="Times New Roman"/>
          <w:sz w:val="24"/>
          <w:szCs w:val="24"/>
          <w:lang w:val="en-US"/>
        </w:rPr>
        <w:t xml:space="preserve"> comprehension of formal logic. This, according to Kant,</w:t>
      </w:r>
      <w:r w:rsidR="001E0950" w:rsidRPr="001E0950">
        <w:rPr>
          <w:rFonts w:ascii="Times New Roman" w:hAnsi="Times New Roman" w:cs="Times New Roman"/>
          <w:sz w:val="24"/>
          <w:szCs w:val="24"/>
          <w:lang w:val="en-US"/>
        </w:rPr>
        <w:t xml:space="preserve"> is at its core a theory of the use of chara</w:t>
      </w:r>
      <w:r w:rsidR="00543F5E">
        <w:rPr>
          <w:rFonts w:ascii="Times New Roman" w:hAnsi="Times New Roman" w:cs="Times New Roman"/>
          <w:sz w:val="24"/>
          <w:szCs w:val="24"/>
          <w:lang w:val="en-US"/>
        </w:rPr>
        <w:t>cteristics to distinguish objects</w:t>
      </w:r>
      <w:r w:rsidR="00792829">
        <w:rPr>
          <w:rFonts w:ascii="Times New Roman" w:hAnsi="Times New Roman" w:cs="Times New Roman"/>
          <w:sz w:val="24"/>
          <w:szCs w:val="24"/>
          <w:lang w:val="en-US"/>
        </w:rPr>
        <w:t>. In respect to the forms of judgment objects</w:t>
      </w:r>
      <w:r w:rsidR="001E0950" w:rsidRPr="001E0950">
        <w:rPr>
          <w:rFonts w:ascii="Times New Roman" w:hAnsi="Times New Roman" w:cs="Times New Roman"/>
          <w:sz w:val="24"/>
          <w:szCs w:val="24"/>
          <w:lang w:val="en-US"/>
        </w:rPr>
        <w:t xml:space="preserve"> can be distinguished according to kind and genus by placing labels in first-level judgments into the relations of alternative or dependent validity by second-level judgments. Inference relations between propositions result from the subclass relations thus constructed. </w:t>
      </w:r>
      <w:r w:rsidR="001E0950" w:rsidRPr="00795714">
        <w:rPr>
          <w:rFonts w:ascii="Times New Roman" w:hAnsi="Times New Roman" w:cs="Times New Roman"/>
          <w:sz w:val="24"/>
          <w:szCs w:val="24"/>
          <w:lang w:val="en-US"/>
        </w:rPr>
        <w:t>However, these do not constitute the basis of logic.</w:t>
      </w:r>
    </w:p>
    <w:p w:rsidR="0055078A" w:rsidRPr="004F2039" w:rsidRDefault="0055078A" w:rsidP="000E3D54">
      <w:pPr>
        <w:spacing w:line="360" w:lineRule="auto"/>
        <w:rPr>
          <w:rFonts w:ascii="Times New Roman" w:hAnsi="Times New Roman" w:cs="Times New Roman"/>
          <w:sz w:val="24"/>
          <w:szCs w:val="24"/>
          <w:lang w:val="en-US"/>
        </w:rPr>
      </w:pPr>
    </w:p>
    <w:p w:rsidR="00BB72B9" w:rsidRPr="00AC1C73" w:rsidRDefault="00BB72B9" w:rsidP="00F71653">
      <w:pPr>
        <w:pStyle w:val="Listenabsatz"/>
        <w:numPr>
          <w:ilvl w:val="0"/>
          <w:numId w:val="1"/>
        </w:numPr>
        <w:spacing w:line="360" w:lineRule="auto"/>
        <w:rPr>
          <w:rFonts w:ascii="Times New Roman" w:hAnsi="Times New Roman" w:cs="Times New Roman"/>
          <w:sz w:val="24"/>
          <w:szCs w:val="24"/>
          <w:u w:val="single"/>
        </w:rPr>
      </w:pPr>
      <w:r w:rsidRPr="00AC1C73">
        <w:rPr>
          <w:rFonts w:ascii="Times New Roman" w:hAnsi="Times New Roman" w:cs="Times New Roman"/>
          <w:sz w:val="24"/>
          <w:szCs w:val="24"/>
          <w:u w:val="single"/>
        </w:rPr>
        <w:t>Die Sicht der Moderne</w:t>
      </w:r>
    </w:p>
    <w:p w:rsidR="00B46F64" w:rsidRPr="009404FC" w:rsidRDefault="00E1591E" w:rsidP="009404FC">
      <w:pPr>
        <w:spacing w:line="360" w:lineRule="auto"/>
        <w:rPr>
          <w:rFonts w:ascii="Times New Roman" w:hAnsi="Times New Roman" w:cs="Times New Roman"/>
          <w:sz w:val="24"/>
          <w:szCs w:val="24"/>
        </w:rPr>
      </w:pPr>
      <w:r>
        <w:rPr>
          <w:rFonts w:ascii="Times New Roman" w:hAnsi="Times New Roman" w:cs="Times New Roman"/>
          <w:sz w:val="24"/>
          <w:szCs w:val="24"/>
        </w:rPr>
        <w:t xml:space="preserve">Gottlob Frege hat mit seiner </w:t>
      </w:r>
      <w:r w:rsidRPr="00E1591E">
        <w:rPr>
          <w:rFonts w:ascii="Times New Roman" w:hAnsi="Times New Roman" w:cs="Times New Roman"/>
          <w:i/>
          <w:sz w:val="24"/>
          <w:szCs w:val="24"/>
        </w:rPr>
        <w:t>Begriffsschrift</w:t>
      </w:r>
      <w:r w:rsidR="00D343F6" w:rsidRPr="009404FC">
        <w:rPr>
          <w:rFonts w:ascii="Times New Roman" w:hAnsi="Times New Roman" w:cs="Times New Roman"/>
          <w:sz w:val="24"/>
          <w:szCs w:val="24"/>
        </w:rPr>
        <w:t xml:space="preserve"> von 1879 einen Symbolismus in die Logik eingeführt, der es erlaubt, jede überprüfbare Aussage und alle </w:t>
      </w:r>
      <w:r w:rsidR="00626EF9" w:rsidRPr="009404FC">
        <w:rPr>
          <w:rFonts w:ascii="Times New Roman" w:hAnsi="Times New Roman" w:cs="Times New Roman"/>
          <w:sz w:val="24"/>
          <w:szCs w:val="24"/>
        </w:rPr>
        <w:t>gültigen Schlüsse aus solchen Aussagen</w:t>
      </w:r>
      <w:r w:rsidR="000F72CA" w:rsidRPr="009404FC">
        <w:rPr>
          <w:rFonts w:ascii="Times New Roman" w:hAnsi="Times New Roman" w:cs="Times New Roman"/>
          <w:sz w:val="24"/>
          <w:szCs w:val="24"/>
        </w:rPr>
        <w:t xml:space="preserve"> zu formalisieren. Die</w:t>
      </w:r>
      <w:r w:rsidR="00D343F6" w:rsidRPr="009404FC">
        <w:rPr>
          <w:rFonts w:ascii="Times New Roman" w:hAnsi="Times New Roman" w:cs="Times New Roman"/>
          <w:sz w:val="24"/>
          <w:szCs w:val="24"/>
        </w:rPr>
        <w:t xml:space="preserve"> Unterscheidung von einstelligen Prädikaten und Ausdrücken </w:t>
      </w:r>
      <w:r w:rsidR="000F72CA" w:rsidRPr="009404FC">
        <w:rPr>
          <w:rFonts w:ascii="Times New Roman" w:hAnsi="Times New Roman" w:cs="Times New Roman"/>
          <w:sz w:val="24"/>
          <w:szCs w:val="24"/>
        </w:rPr>
        <w:lastRenderedPageBreak/>
        <w:t xml:space="preserve">für mehrstellige Funktionen machte es </w:t>
      </w:r>
      <w:r w:rsidR="00D17FFE" w:rsidRPr="009404FC">
        <w:rPr>
          <w:rFonts w:ascii="Times New Roman" w:hAnsi="Times New Roman" w:cs="Times New Roman"/>
          <w:sz w:val="24"/>
          <w:szCs w:val="24"/>
        </w:rPr>
        <w:t xml:space="preserve">möglich, nicht nur Bezeichnungen von Eigenschaften, sondern auch von </w:t>
      </w:r>
      <w:r w:rsidR="00E501AA" w:rsidRPr="009404FC">
        <w:rPr>
          <w:rFonts w:ascii="Times New Roman" w:hAnsi="Times New Roman" w:cs="Times New Roman"/>
          <w:sz w:val="24"/>
          <w:szCs w:val="24"/>
        </w:rPr>
        <w:t xml:space="preserve">mehrstelligen </w:t>
      </w:r>
      <w:r w:rsidR="00D17FFE" w:rsidRPr="009404FC">
        <w:rPr>
          <w:rFonts w:ascii="Times New Roman" w:hAnsi="Times New Roman" w:cs="Times New Roman"/>
          <w:sz w:val="24"/>
          <w:szCs w:val="24"/>
        </w:rPr>
        <w:t>Relationen wiederzugeben</w:t>
      </w:r>
      <w:r w:rsidR="00626EF9" w:rsidRPr="009404FC">
        <w:rPr>
          <w:rFonts w:ascii="Times New Roman" w:hAnsi="Times New Roman" w:cs="Times New Roman"/>
          <w:sz w:val="24"/>
          <w:szCs w:val="24"/>
        </w:rPr>
        <w:t xml:space="preserve"> wie z.B. ´ist größer als´ oder ´liegt zwischen´</w:t>
      </w:r>
      <w:r w:rsidR="00D17FFE" w:rsidRPr="009404FC">
        <w:rPr>
          <w:rFonts w:ascii="Times New Roman" w:hAnsi="Times New Roman" w:cs="Times New Roman"/>
          <w:sz w:val="24"/>
          <w:szCs w:val="24"/>
        </w:rPr>
        <w:t xml:space="preserve">. Durch die Definition einer überschaubaren Zahl von Junktoren anhand der Negation und des Konditionals </w:t>
      </w:r>
      <w:r w:rsidR="000F72CA" w:rsidRPr="009404FC">
        <w:rPr>
          <w:rFonts w:ascii="Times New Roman" w:hAnsi="Times New Roman" w:cs="Times New Roman"/>
          <w:sz w:val="24"/>
          <w:szCs w:val="24"/>
        </w:rPr>
        <w:t>gelang es</w:t>
      </w:r>
      <w:r w:rsidR="00D17FFE" w:rsidRPr="009404FC">
        <w:rPr>
          <w:rFonts w:ascii="Times New Roman" w:hAnsi="Times New Roman" w:cs="Times New Roman"/>
          <w:sz w:val="24"/>
          <w:szCs w:val="24"/>
        </w:rPr>
        <w:t xml:space="preserve">, </w:t>
      </w:r>
      <w:r w:rsidR="009F1110" w:rsidRPr="009404FC">
        <w:rPr>
          <w:rFonts w:ascii="Times New Roman" w:hAnsi="Times New Roman" w:cs="Times New Roman"/>
          <w:sz w:val="24"/>
          <w:szCs w:val="24"/>
        </w:rPr>
        <w:t>den</w:t>
      </w:r>
      <w:r w:rsidR="00D17FFE" w:rsidRPr="009404FC">
        <w:rPr>
          <w:rFonts w:ascii="Times New Roman" w:hAnsi="Times New Roman" w:cs="Times New Roman"/>
          <w:sz w:val="24"/>
          <w:szCs w:val="24"/>
        </w:rPr>
        <w:t xml:space="preserve"> wahrheitswert</w:t>
      </w:r>
      <w:r w:rsidR="009F1110" w:rsidRPr="009404FC">
        <w:rPr>
          <w:rFonts w:ascii="Times New Roman" w:hAnsi="Times New Roman" w:cs="Times New Roman"/>
          <w:sz w:val="24"/>
          <w:szCs w:val="24"/>
        </w:rPr>
        <w:t>funktional</w:t>
      </w:r>
      <w:r w:rsidR="00C1162B" w:rsidRPr="009404FC">
        <w:rPr>
          <w:rFonts w:ascii="Times New Roman" w:hAnsi="Times New Roman" w:cs="Times New Roman"/>
          <w:sz w:val="24"/>
          <w:szCs w:val="24"/>
        </w:rPr>
        <w:t xml:space="preserve">en Kerngehalt aller </w:t>
      </w:r>
      <w:r w:rsidR="009F1110" w:rsidRPr="009404FC">
        <w:rPr>
          <w:rFonts w:ascii="Times New Roman" w:hAnsi="Times New Roman" w:cs="Times New Roman"/>
          <w:sz w:val="24"/>
          <w:szCs w:val="24"/>
        </w:rPr>
        <w:t>wesentlichen alltagssprachlichen Wörter für Satzverknüpfungen und Folgerungen darzustellen. Und d</w:t>
      </w:r>
      <w:r w:rsidR="00D251C2" w:rsidRPr="009404FC">
        <w:rPr>
          <w:rFonts w:ascii="Times New Roman" w:hAnsi="Times New Roman" w:cs="Times New Roman"/>
          <w:sz w:val="24"/>
          <w:szCs w:val="24"/>
        </w:rPr>
        <w:t>urch die Auffassung der</w:t>
      </w:r>
      <w:r w:rsidR="009F1110" w:rsidRPr="009404FC">
        <w:rPr>
          <w:rFonts w:ascii="Times New Roman" w:hAnsi="Times New Roman" w:cs="Times New Roman"/>
          <w:sz w:val="24"/>
          <w:szCs w:val="24"/>
        </w:rPr>
        <w:t xml:space="preserve"> Umfangsangaben </w:t>
      </w:r>
      <w:r w:rsidR="0076731E">
        <w:rPr>
          <w:rFonts w:ascii="Times New Roman" w:hAnsi="Times New Roman" w:cs="Times New Roman"/>
          <w:sz w:val="24"/>
          <w:szCs w:val="24"/>
        </w:rPr>
        <w:t>´alle´, ´jeder´, ´einige´</w:t>
      </w:r>
      <w:r w:rsidR="00D251C2" w:rsidRPr="009404FC">
        <w:rPr>
          <w:rFonts w:ascii="Times New Roman" w:hAnsi="Times New Roman" w:cs="Times New Roman"/>
          <w:sz w:val="24"/>
          <w:szCs w:val="24"/>
        </w:rPr>
        <w:t xml:space="preserve"> usw. </w:t>
      </w:r>
      <w:r w:rsidR="009F1110" w:rsidRPr="009404FC">
        <w:rPr>
          <w:rFonts w:ascii="Times New Roman" w:hAnsi="Times New Roman" w:cs="Times New Roman"/>
          <w:sz w:val="24"/>
          <w:szCs w:val="24"/>
        </w:rPr>
        <w:t xml:space="preserve">als Funktionen zweiter Stufe, die von den Argumenten </w:t>
      </w:r>
      <w:r w:rsidR="003C35BE" w:rsidRPr="009404FC">
        <w:rPr>
          <w:rFonts w:ascii="Times New Roman" w:hAnsi="Times New Roman" w:cs="Times New Roman"/>
          <w:sz w:val="24"/>
          <w:szCs w:val="24"/>
        </w:rPr>
        <w:t xml:space="preserve">je nach Umfang ihrer Erfüllung </w:t>
      </w:r>
      <w:r w:rsidR="009F1110" w:rsidRPr="009404FC">
        <w:rPr>
          <w:rFonts w:ascii="Times New Roman" w:hAnsi="Times New Roman" w:cs="Times New Roman"/>
          <w:sz w:val="24"/>
          <w:szCs w:val="24"/>
        </w:rPr>
        <w:t xml:space="preserve">der </w:t>
      </w:r>
      <w:r w:rsidR="004A1BE6" w:rsidRPr="009404FC">
        <w:rPr>
          <w:rFonts w:ascii="Times New Roman" w:hAnsi="Times New Roman" w:cs="Times New Roman"/>
          <w:sz w:val="24"/>
          <w:szCs w:val="24"/>
        </w:rPr>
        <w:t xml:space="preserve">Funktionen erster Stufe erfüllt werden, ist es möglich geworden, eine Mehrzahl von Individuen </w:t>
      </w:r>
      <w:r w:rsidR="00C1162B" w:rsidRPr="009404FC">
        <w:rPr>
          <w:rFonts w:ascii="Times New Roman" w:hAnsi="Times New Roman" w:cs="Times New Roman"/>
          <w:sz w:val="24"/>
          <w:szCs w:val="24"/>
        </w:rPr>
        <w:t xml:space="preserve">einerseits </w:t>
      </w:r>
      <w:r w:rsidR="004A1BE6" w:rsidRPr="009404FC">
        <w:rPr>
          <w:rFonts w:ascii="Times New Roman" w:hAnsi="Times New Roman" w:cs="Times New Roman"/>
          <w:sz w:val="24"/>
          <w:szCs w:val="24"/>
        </w:rPr>
        <w:t xml:space="preserve">und </w:t>
      </w:r>
      <w:r w:rsidR="00C1162B" w:rsidRPr="009404FC">
        <w:rPr>
          <w:rFonts w:ascii="Times New Roman" w:hAnsi="Times New Roman" w:cs="Times New Roman"/>
          <w:sz w:val="24"/>
          <w:szCs w:val="24"/>
        </w:rPr>
        <w:t xml:space="preserve">andererseits </w:t>
      </w:r>
      <w:r w:rsidR="004A1BE6" w:rsidRPr="009404FC">
        <w:rPr>
          <w:rFonts w:ascii="Times New Roman" w:hAnsi="Times New Roman" w:cs="Times New Roman"/>
          <w:sz w:val="24"/>
          <w:szCs w:val="24"/>
        </w:rPr>
        <w:t>ganze Klassen als Aussagegegenstände zu unterscheiden und Beziehungen zwischen Elementen von Klassen verschiedener Umfänge auszudrücken.</w:t>
      </w:r>
      <w:r w:rsidR="000F72CA" w:rsidRPr="009404FC">
        <w:rPr>
          <w:rFonts w:ascii="Times New Roman" w:hAnsi="Times New Roman" w:cs="Times New Roman"/>
          <w:sz w:val="24"/>
          <w:szCs w:val="24"/>
        </w:rPr>
        <w:t xml:space="preserve"> </w:t>
      </w:r>
      <w:r w:rsidR="007D3ACE" w:rsidRPr="009404FC">
        <w:rPr>
          <w:rFonts w:ascii="Times New Roman" w:hAnsi="Times New Roman" w:cs="Times New Roman"/>
          <w:sz w:val="24"/>
          <w:szCs w:val="24"/>
        </w:rPr>
        <w:t xml:space="preserve">Es ist eben etwas anderes, ob alle Musiker der Stadt in demselben Orchester </w:t>
      </w:r>
      <w:r w:rsidR="00D251C2" w:rsidRPr="009404FC">
        <w:rPr>
          <w:rFonts w:ascii="Times New Roman" w:hAnsi="Times New Roman" w:cs="Times New Roman"/>
          <w:sz w:val="24"/>
          <w:szCs w:val="24"/>
        </w:rPr>
        <w:t xml:space="preserve">spielen </w:t>
      </w:r>
      <w:r w:rsidR="007D3ACE" w:rsidRPr="009404FC">
        <w:rPr>
          <w:rFonts w:ascii="Times New Roman" w:hAnsi="Times New Roman" w:cs="Times New Roman"/>
          <w:sz w:val="24"/>
          <w:szCs w:val="24"/>
        </w:rPr>
        <w:t>oder je</w:t>
      </w:r>
      <w:r w:rsidR="00D251C2" w:rsidRPr="009404FC">
        <w:rPr>
          <w:rFonts w:ascii="Times New Roman" w:hAnsi="Times New Roman" w:cs="Times New Roman"/>
          <w:sz w:val="24"/>
          <w:szCs w:val="24"/>
        </w:rPr>
        <w:t>der es in irgendeinem tut</w:t>
      </w:r>
      <w:r w:rsidR="007D3ACE" w:rsidRPr="009404FC">
        <w:rPr>
          <w:rFonts w:ascii="Times New Roman" w:hAnsi="Times New Roman" w:cs="Times New Roman"/>
          <w:sz w:val="24"/>
          <w:szCs w:val="24"/>
        </w:rPr>
        <w:t xml:space="preserve">. </w:t>
      </w:r>
      <w:r w:rsidR="0076731E">
        <w:rPr>
          <w:rFonts w:ascii="Times New Roman" w:hAnsi="Times New Roman" w:cs="Times New Roman"/>
          <w:sz w:val="24"/>
          <w:szCs w:val="24"/>
        </w:rPr>
        <w:t xml:space="preserve">In seinem Aufsatz </w:t>
      </w:r>
      <w:r w:rsidR="0076731E" w:rsidRPr="0076731E">
        <w:rPr>
          <w:rFonts w:ascii="Times New Roman" w:hAnsi="Times New Roman" w:cs="Times New Roman"/>
          <w:i/>
          <w:sz w:val="24"/>
          <w:szCs w:val="24"/>
        </w:rPr>
        <w:t>Über Sinn und Bedeutung</w:t>
      </w:r>
      <w:r w:rsidR="000F72CA" w:rsidRPr="009404FC">
        <w:rPr>
          <w:rFonts w:ascii="Times New Roman" w:hAnsi="Times New Roman" w:cs="Times New Roman"/>
          <w:sz w:val="24"/>
          <w:szCs w:val="24"/>
        </w:rPr>
        <w:t xml:space="preserve"> von 1892 hat Frege schließlich den intersubjektiv mitteilbaren Sinn von Sätzen abstrakt durch die Wahrheitsbedingungen ihrer A</w:t>
      </w:r>
      <w:r w:rsidR="00B46F64" w:rsidRPr="009404FC">
        <w:rPr>
          <w:rFonts w:ascii="Times New Roman" w:hAnsi="Times New Roman" w:cs="Times New Roman"/>
          <w:sz w:val="24"/>
          <w:szCs w:val="24"/>
        </w:rPr>
        <w:t xml:space="preserve">ussagen bestimmt und von der Bedeutung als ihrer Erfüllung unterschieden und dabei offen gelassen, woher und auf welche Weise uns </w:t>
      </w:r>
      <w:r w:rsidR="006C3B10">
        <w:rPr>
          <w:rFonts w:ascii="Times New Roman" w:hAnsi="Times New Roman" w:cs="Times New Roman"/>
          <w:sz w:val="24"/>
          <w:szCs w:val="24"/>
        </w:rPr>
        <w:t>diese Bedingungen bekannt sind.</w:t>
      </w:r>
      <w:r w:rsidR="006C3B10">
        <w:rPr>
          <w:rStyle w:val="Funotenzeichen"/>
          <w:rFonts w:ascii="Times New Roman" w:hAnsi="Times New Roman" w:cs="Times New Roman"/>
          <w:sz w:val="24"/>
          <w:szCs w:val="24"/>
        </w:rPr>
        <w:footnoteReference w:id="1"/>
      </w:r>
      <w:r w:rsidR="006C3B10">
        <w:rPr>
          <w:rFonts w:ascii="Times New Roman" w:hAnsi="Times New Roman" w:cs="Times New Roman"/>
          <w:sz w:val="24"/>
          <w:szCs w:val="24"/>
        </w:rPr>
        <w:t xml:space="preserve"> </w:t>
      </w:r>
      <w:r w:rsidR="00F210C6" w:rsidRPr="009404FC">
        <w:rPr>
          <w:rFonts w:ascii="Times New Roman" w:hAnsi="Times New Roman" w:cs="Times New Roman"/>
          <w:sz w:val="24"/>
          <w:szCs w:val="24"/>
        </w:rPr>
        <w:t xml:space="preserve">Beschreibbar sein </w:t>
      </w:r>
      <w:r w:rsidR="003C35BE" w:rsidRPr="009404FC">
        <w:rPr>
          <w:rFonts w:ascii="Times New Roman" w:hAnsi="Times New Roman" w:cs="Times New Roman"/>
          <w:sz w:val="24"/>
          <w:szCs w:val="24"/>
        </w:rPr>
        <w:t>müssen die Wahrheitsbedingungen als Dinge – bei denen es sich auch um Abstrakta handeln kann -, die je nach Eigenschaften oder Relationen, die zwischen ihnen bestehen, v</w:t>
      </w:r>
      <w:r w:rsidR="006C3B10">
        <w:rPr>
          <w:rFonts w:ascii="Times New Roman" w:hAnsi="Times New Roman" w:cs="Times New Roman"/>
          <w:sz w:val="24"/>
          <w:szCs w:val="24"/>
        </w:rPr>
        <w:t>erschiedenen Klassen angehören.</w:t>
      </w:r>
      <w:r w:rsidR="006C3B10">
        <w:rPr>
          <w:rStyle w:val="Funotenzeichen"/>
          <w:rFonts w:ascii="Times New Roman" w:hAnsi="Times New Roman" w:cs="Times New Roman"/>
          <w:sz w:val="24"/>
          <w:szCs w:val="24"/>
        </w:rPr>
        <w:footnoteReference w:id="2"/>
      </w:r>
    </w:p>
    <w:p w:rsidR="003C6E19" w:rsidRDefault="007D3ACE"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Dass all dies in der Kantischen Logik nicht möglich ist oder von Kant </w:t>
      </w:r>
      <w:r w:rsidR="00B068E1">
        <w:rPr>
          <w:rFonts w:ascii="Times New Roman" w:hAnsi="Times New Roman" w:cs="Times New Roman"/>
          <w:sz w:val="24"/>
          <w:szCs w:val="24"/>
        </w:rPr>
        <w:t xml:space="preserve">so nicht gemacht wird, wird </w:t>
      </w:r>
      <w:r w:rsidRPr="009404FC">
        <w:rPr>
          <w:rFonts w:ascii="Times New Roman" w:hAnsi="Times New Roman" w:cs="Times New Roman"/>
          <w:sz w:val="24"/>
          <w:szCs w:val="24"/>
        </w:rPr>
        <w:t>heute nicht nur als Mangel</w:t>
      </w:r>
      <w:r w:rsidR="00B068E1">
        <w:rPr>
          <w:rFonts w:ascii="Times New Roman" w:hAnsi="Times New Roman" w:cs="Times New Roman"/>
          <w:sz w:val="24"/>
          <w:szCs w:val="24"/>
        </w:rPr>
        <w:t xml:space="preserve"> gesehen, sondern Kant</w:t>
      </w:r>
      <w:r w:rsidRPr="009404FC">
        <w:rPr>
          <w:rFonts w:ascii="Times New Roman" w:hAnsi="Times New Roman" w:cs="Times New Roman"/>
          <w:sz w:val="24"/>
          <w:szCs w:val="24"/>
        </w:rPr>
        <w:t xml:space="preserve"> oft auch als Fehler vorgeworfen. Bei Aristoteles und seit F</w:t>
      </w:r>
      <w:r w:rsidR="00E501AA" w:rsidRPr="009404FC">
        <w:rPr>
          <w:rFonts w:ascii="Times New Roman" w:hAnsi="Times New Roman" w:cs="Times New Roman"/>
          <w:sz w:val="24"/>
          <w:szCs w:val="24"/>
        </w:rPr>
        <w:t>r</w:t>
      </w:r>
      <w:r w:rsidRPr="009404FC">
        <w:rPr>
          <w:rFonts w:ascii="Times New Roman" w:hAnsi="Times New Roman" w:cs="Times New Roman"/>
          <w:sz w:val="24"/>
          <w:szCs w:val="24"/>
        </w:rPr>
        <w:t xml:space="preserve">ege werde die Logik ganz richtig als </w:t>
      </w:r>
      <w:r w:rsidR="007355FE" w:rsidRPr="009404FC">
        <w:rPr>
          <w:rFonts w:ascii="Times New Roman" w:hAnsi="Times New Roman" w:cs="Times New Roman"/>
          <w:sz w:val="24"/>
          <w:szCs w:val="24"/>
        </w:rPr>
        <w:t>Lehre vom gült</w:t>
      </w:r>
      <w:r w:rsidR="00D251C2" w:rsidRPr="009404FC">
        <w:rPr>
          <w:rFonts w:ascii="Times New Roman" w:hAnsi="Times New Roman" w:cs="Times New Roman"/>
          <w:sz w:val="24"/>
          <w:szCs w:val="24"/>
        </w:rPr>
        <w:t>igen Schließen verstanden. D</w:t>
      </w:r>
      <w:r w:rsidR="007355FE" w:rsidRPr="009404FC">
        <w:rPr>
          <w:rFonts w:ascii="Times New Roman" w:hAnsi="Times New Roman" w:cs="Times New Roman"/>
          <w:sz w:val="24"/>
          <w:szCs w:val="24"/>
        </w:rPr>
        <w:t>ie</w:t>
      </w:r>
      <w:r w:rsidR="00D251C2" w:rsidRPr="009404FC">
        <w:rPr>
          <w:rFonts w:ascii="Times New Roman" w:hAnsi="Times New Roman" w:cs="Times New Roman"/>
          <w:sz w:val="24"/>
          <w:szCs w:val="24"/>
        </w:rPr>
        <w:t xml:space="preserve"> Philosophen der Neuzeit hätten </w:t>
      </w:r>
      <w:r w:rsidR="007355FE" w:rsidRPr="009404FC">
        <w:rPr>
          <w:rFonts w:ascii="Times New Roman" w:hAnsi="Times New Roman" w:cs="Times New Roman"/>
          <w:sz w:val="24"/>
          <w:szCs w:val="24"/>
        </w:rPr>
        <w:t xml:space="preserve">sie aber </w:t>
      </w:r>
      <w:r w:rsidR="00D251C2" w:rsidRPr="009404FC">
        <w:rPr>
          <w:rFonts w:ascii="Times New Roman" w:hAnsi="Times New Roman" w:cs="Times New Roman"/>
          <w:sz w:val="24"/>
          <w:szCs w:val="24"/>
        </w:rPr>
        <w:t xml:space="preserve">psychologisch als </w:t>
      </w:r>
      <w:r w:rsidR="007355FE" w:rsidRPr="009404FC">
        <w:rPr>
          <w:rFonts w:ascii="Times New Roman" w:hAnsi="Times New Roman" w:cs="Times New Roman"/>
          <w:sz w:val="24"/>
          <w:szCs w:val="24"/>
        </w:rPr>
        <w:t>die Lehre vom richtigen</w:t>
      </w:r>
      <w:r w:rsidR="00626EF9" w:rsidRPr="009404FC">
        <w:rPr>
          <w:rFonts w:ascii="Times New Roman" w:hAnsi="Times New Roman" w:cs="Times New Roman"/>
          <w:sz w:val="24"/>
          <w:szCs w:val="24"/>
        </w:rPr>
        <w:t xml:space="preserve"> Denken aufgefasst</w:t>
      </w:r>
      <w:r w:rsidR="00D251C2" w:rsidRPr="009404FC">
        <w:rPr>
          <w:rFonts w:ascii="Times New Roman" w:hAnsi="Times New Roman" w:cs="Times New Roman"/>
          <w:sz w:val="24"/>
          <w:szCs w:val="24"/>
        </w:rPr>
        <w:t>;</w:t>
      </w:r>
      <w:r w:rsidR="007355FE" w:rsidRPr="009404FC">
        <w:rPr>
          <w:rFonts w:ascii="Times New Roman" w:hAnsi="Times New Roman" w:cs="Times New Roman"/>
          <w:sz w:val="24"/>
          <w:szCs w:val="24"/>
        </w:rPr>
        <w:t xml:space="preserve"> und </w:t>
      </w:r>
      <w:r w:rsidR="00D251C2" w:rsidRPr="009404FC">
        <w:rPr>
          <w:rFonts w:ascii="Times New Roman" w:hAnsi="Times New Roman" w:cs="Times New Roman"/>
          <w:sz w:val="24"/>
          <w:szCs w:val="24"/>
        </w:rPr>
        <w:t>daher sei sie für diese</w:t>
      </w:r>
      <w:r w:rsidR="00626EF9" w:rsidRPr="009404FC">
        <w:rPr>
          <w:rFonts w:ascii="Times New Roman" w:hAnsi="Times New Roman" w:cs="Times New Roman"/>
          <w:sz w:val="24"/>
          <w:szCs w:val="24"/>
        </w:rPr>
        <w:t xml:space="preserve"> Autoren</w:t>
      </w:r>
      <w:r w:rsidR="00D251C2" w:rsidRPr="009404FC">
        <w:rPr>
          <w:rFonts w:ascii="Times New Roman" w:hAnsi="Times New Roman" w:cs="Times New Roman"/>
          <w:sz w:val="24"/>
          <w:szCs w:val="24"/>
        </w:rPr>
        <w:t xml:space="preserve"> </w:t>
      </w:r>
      <w:r w:rsidR="00C64D7C" w:rsidRPr="009404FC">
        <w:rPr>
          <w:rFonts w:ascii="Times New Roman" w:hAnsi="Times New Roman" w:cs="Times New Roman"/>
          <w:sz w:val="24"/>
          <w:szCs w:val="24"/>
        </w:rPr>
        <w:t>in</w:t>
      </w:r>
      <w:r w:rsidR="007355FE" w:rsidRPr="009404FC">
        <w:rPr>
          <w:rFonts w:ascii="Times New Roman" w:hAnsi="Times New Roman" w:cs="Times New Roman"/>
          <w:sz w:val="24"/>
          <w:szCs w:val="24"/>
        </w:rPr>
        <w:t xml:space="preserve"> Theorien zu den Themenbereichen Begriff,</w:t>
      </w:r>
      <w:r w:rsidR="006C3B10">
        <w:rPr>
          <w:rFonts w:ascii="Times New Roman" w:hAnsi="Times New Roman" w:cs="Times New Roman"/>
          <w:sz w:val="24"/>
          <w:szCs w:val="24"/>
        </w:rPr>
        <w:t xml:space="preserve"> Urteil und Schluss zerfallen.</w:t>
      </w:r>
      <w:r w:rsidR="006C3B10">
        <w:rPr>
          <w:rStyle w:val="Funotenzeichen"/>
          <w:rFonts w:ascii="Times New Roman" w:hAnsi="Times New Roman" w:cs="Times New Roman"/>
          <w:sz w:val="24"/>
          <w:szCs w:val="24"/>
        </w:rPr>
        <w:footnoteReference w:id="3"/>
      </w:r>
      <w:r w:rsidR="00C64D7C" w:rsidRPr="009404FC">
        <w:rPr>
          <w:rFonts w:ascii="Times New Roman" w:hAnsi="Times New Roman" w:cs="Times New Roman"/>
          <w:sz w:val="24"/>
          <w:szCs w:val="24"/>
        </w:rPr>
        <w:t xml:space="preserve"> Insbesondere</w:t>
      </w:r>
      <w:r w:rsidR="00E501AA" w:rsidRPr="009404FC">
        <w:rPr>
          <w:rFonts w:ascii="Times New Roman" w:hAnsi="Times New Roman" w:cs="Times New Roman"/>
          <w:sz w:val="24"/>
          <w:szCs w:val="24"/>
        </w:rPr>
        <w:t xml:space="preserve"> Kant </w:t>
      </w:r>
      <w:r w:rsidR="00C64D7C" w:rsidRPr="009404FC">
        <w:rPr>
          <w:rFonts w:ascii="Times New Roman" w:hAnsi="Times New Roman" w:cs="Times New Roman"/>
          <w:sz w:val="24"/>
          <w:szCs w:val="24"/>
        </w:rPr>
        <w:t xml:space="preserve">habe </w:t>
      </w:r>
      <w:r w:rsidR="00E501AA" w:rsidRPr="009404FC">
        <w:rPr>
          <w:rFonts w:ascii="Times New Roman" w:hAnsi="Times New Roman" w:cs="Times New Roman"/>
          <w:sz w:val="24"/>
          <w:szCs w:val="24"/>
        </w:rPr>
        <w:t>die Logik</w:t>
      </w:r>
      <w:r w:rsidR="00A91CBF" w:rsidRPr="009404FC">
        <w:rPr>
          <w:rFonts w:ascii="Times New Roman" w:hAnsi="Times New Roman" w:cs="Times New Roman"/>
          <w:sz w:val="24"/>
          <w:szCs w:val="24"/>
        </w:rPr>
        <w:t xml:space="preserve"> als die „Wissenschaft von den notwendigen Gesetzen des Verstandes und der Vernunft überhaupt oder, welches einerlei ist, von der bloß</w:t>
      </w:r>
      <w:r w:rsidR="00067844">
        <w:rPr>
          <w:rFonts w:ascii="Times New Roman" w:hAnsi="Times New Roman" w:cs="Times New Roman"/>
          <w:sz w:val="24"/>
          <w:szCs w:val="24"/>
        </w:rPr>
        <w:t>en Form des Denkens überhaupt“</w:t>
      </w:r>
      <w:r w:rsidR="00067844">
        <w:rPr>
          <w:rStyle w:val="Funotenzeichen"/>
          <w:rFonts w:ascii="Times New Roman" w:hAnsi="Times New Roman" w:cs="Times New Roman"/>
          <w:sz w:val="24"/>
          <w:szCs w:val="24"/>
        </w:rPr>
        <w:footnoteReference w:id="4"/>
      </w:r>
      <w:r w:rsidR="00A91CBF" w:rsidRPr="009404FC">
        <w:rPr>
          <w:rFonts w:ascii="Times New Roman" w:hAnsi="Times New Roman" w:cs="Times New Roman"/>
          <w:sz w:val="24"/>
          <w:szCs w:val="24"/>
        </w:rPr>
        <w:t xml:space="preserve"> angesehen; und auch wenn er betone, dass dies nicht psychologisch versta</w:t>
      </w:r>
      <w:r w:rsidR="00E501AA" w:rsidRPr="009404FC">
        <w:rPr>
          <w:rFonts w:ascii="Times New Roman" w:hAnsi="Times New Roman" w:cs="Times New Roman"/>
          <w:sz w:val="24"/>
          <w:szCs w:val="24"/>
        </w:rPr>
        <w:t xml:space="preserve">nden werden dürfe, da die Logik den </w:t>
      </w:r>
      <w:r w:rsidR="00151088" w:rsidRPr="009404FC">
        <w:rPr>
          <w:rFonts w:ascii="Times New Roman" w:hAnsi="Times New Roman" w:cs="Times New Roman"/>
          <w:sz w:val="24"/>
          <w:szCs w:val="24"/>
        </w:rPr>
        <w:t>Vernunftgebrauch</w:t>
      </w:r>
      <w:r w:rsidR="00E501AA" w:rsidRPr="009404FC">
        <w:rPr>
          <w:rFonts w:ascii="Times New Roman" w:hAnsi="Times New Roman" w:cs="Times New Roman"/>
          <w:sz w:val="24"/>
          <w:szCs w:val="24"/>
        </w:rPr>
        <w:t xml:space="preserve"> </w:t>
      </w:r>
      <w:r w:rsidR="00151088" w:rsidRPr="009404FC">
        <w:rPr>
          <w:rFonts w:ascii="Times New Roman" w:hAnsi="Times New Roman" w:cs="Times New Roman"/>
          <w:sz w:val="24"/>
          <w:szCs w:val="24"/>
        </w:rPr>
        <w:t>„</w:t>
      </w:r>
      <w:r w:rsidR="00F52EA5" w:rsidRPr="009404FC">
        <w:rPr>
          <w:rFonts w:ascii="Times New Roman" w:hAnsi="Times New Roman" w:cs="Times New Roman"/>
          <w:sz w:val="24"/>
          <w:szCs w:val="24"/>
        </w:rPr>
        <w:t>nicht subjektiv, d.h. nicht nach empirischen (psychologischen) Prinzipien</w:t>
      </w:r>
      <w:r w:rsidR="00151088" w:rsidRPr="009404FC">
        <w:rPr>
          <w:rFonts w:ascii="Times New Roman" w:hAnsi="Times New Roman" w:cs="Times New Roman"/>
          <w:sz w:val="24"/>
          <w:szCs w:val="24"/>
        </w:rPr>
        <w:t>“ betrachtet</w:t>
      </w:r>
      <w:r w:rsidR="00F52EA5" w:rsidRPr="009404FC">
        <w:rPr>
          <w:rFonts w:ascii="Times New Roman" w:hAnsi="Times New Roman" w:cs="Times New Roman"/>
          <w:sz w:val="24"/>
          <w:szCs w:val="24"/>
        </w:rPr>
        <w:t xml:space="preserve">, </w:t>
      </w:r>
      <w:r w:rsidR="00151088" w:rsidRPr="009404FC">
        <w:rPr>
          <w:rFonts w:ascii="Times New Roman" w:hAnsi="Times New Roman" w:cs="Times New Roman"/>
          <w:sz w:val="24"/>
          <w:szCs w:val="24"/>
        </w:rPr>
        <w:t>„</w:t>
      </w:r>
      <w:r w:rsidR="00F52EA5" w:rsidRPr="009404FC">
        <w:rPr>
          <w:rFonts w:ascii="Times New Roman" w:hAnsi="Times New Roman" w:cs="Times New Roman"/>
          <w:sz w:val="24"/>
          <w:szCs w:val="24"/>
        </w:rPr>
        <w:t>wie der Verstand denkt, sondern objektiv, d.i. nach Prinzipien a priori, wie er denken s</w:t>
      </w:r>
      <w:r w:rsidR="00300802">
        <w:rPr>
          <w:rFonts w:ascii="Times New Roman" w:hAnsi="Times New Roman" w:cs="Times New Roman"/>
          <w:sz w:val="24"/>
          <w:szCs w:val="24"/>
        </w:rPr>
        <w:t>oll“</w:t>
      </w:r>
      <w:r w:rsidR="00300802">
        <w:rPr>
          <w:rStyle w:val="Funotenzeichen"/>
          <w:rFonts w:ascii="Times New Roman" w:hAnsi="Times New Roman" w:cs="Times New Roman"/>
          <w:sz w:val="24"/>
          <w:szCs w:val="24"/>
        </w:rPr>
        <w:footnoteReference w:id="5"/>
      </w:r>
      <w:r w:rsidR="00151088" w:rsidRPr="009404FC">
        <w:rPr>
          <w:rFonts w:ascii="Times New Roman" w:hAnsi="Times New Roman" w:cs="Times New Roman"/>
          <w:sz w:val="24"/>
          <w:szCs w:val="24"/>
        </w:rPr>
        <w:t xml:space="preserve">, so vertrete Kant dennoch eine </w:t>
      </w:r>
      <w:r w:rsidR="00F52EA5" w:rsidRPr="009404FC">
        <w:rPr>
          <w:rFonts w:ascii="Times New Roman" w:hAnsi="Times New Roman" w:cs="Times New Roman"/>
          <w:sz w:val="24"/>
          <w:szCs w:val="24"/>
        </w:rPr>
        <w:t>extrem</w:t>
      </w:r>
      <w:r w:rsidR="00D251C2" w:rsidRPr="009404FC">
        <w:rPr>
          <w:rFonts w:ascii="Times New Roman" w:hAnsi="Times New Roman" w:cs="Times New Roman"/>
          <w:sz w:val="24"/>
          <w:szCs w:val="24"/>
        </w:rPr>
        <w:t xml:space="preserve"> psychologische</w:t>
      </w:r>
      <w:r w:rsidR="00151088" w:rsidRPr="009404FC">
        <w:rPr>
          <w:rFonts w:ascii="Times New Roman" w:hAnsi="Times New Roman" w:cs="Times New Roman"/>
          <w:sz w:val="24"/>
          <w:szCs w:val="24"/>
        </w:rPr>
        <w:t xml:space="preserve"> </w:t>
      </w:r>
      <w:r w:rsidR="00151088" w:rsidRPr="009404FC">
        <w:rPr>
          <w:rFonts w:ascii="Times New Roman" w:hAnsi="Times New Roman" w:cs="Times New Roman"/>
          <w:sz w:val="24"/>
          <w:szCs w:val="24"/>
        </w:rPr>
        <w:lastRenderedPageBreak/>
        <w:t>Auffassung</w:t>
      </w:r>
      <w:r w:rsidR="00F52EA5" w:rsidRPr="009404FC">
        <w:rPr>
          <w:rFonts w:ascii="Times New Roman" w:hAnsi="Times New Roman" w:cs="Times New Roman"/>
          <w:sz w:val="24"/>
          <w:szCs w:val="24"/>
        </w:rPr>
        <w:t>, da</w:t>
      </w:r>
      <w:r w:rsidR="00C64D7C" w:rsidRPr="009404FC">
        <w:rPr>
          <w:rFonts w:ascii="Times New Roman" w:hAnsi="Times New Roman" w:cs="Times New Roman"/>
          <w:sz w:val="24"/>
          <w:szCs w:val="24"/>
        </w:rPr>
        <w:t xml:space="preserve"> er</w:t>
      </w:r>
      <w:r w:rsidR="00151088" w:rsidRPr="009404FC">
        <w:rPr>
          <w:rFonts w:ascii="Times New Roman" w:hAnsi="Times New Roman" w:cs="Times New Roman"/>
          <w:sz w:val="24"/>
          <w:szCs w:val="24"/>
        </w:rPr>
        <w:t xml:space="preserve"> Urteil</w:t>
      </w:r>
      <w:r w:rsidR="00C64D7C" w:rsidRPr="009404FC">
        <w:rPr>
          <w:rFonts w:ascii="Times New Roman" w:hAnsi="Times New Roman" w:cs="Times New Roman"/>
          <w:sz w:val="24"/>
          <w:szCs w:val="24"/>
        </w:rPr>
        <w:t>e allgemein</w:t>
      </w:r>
      <w:r w:rsidR="00151088" w:rsidRPr="009404FC">
        <w:rPr>
          <w:rFonts w:ascii="Times New Roman" w:hAnsi="Times New Roman" w:cs="Times New Roman"/>
          <w:sz w:val="24"/>
          <w:szCs w:val="24"/>
        </w:rPr>
        <w:t xml:space="preserve"> als „</w:t>
      </w:r>
      <w:r w:rsidR="00D251C2" w:rsidRPr="009404FC">
        <w:rPr>
          <w:rFonts w:ascii="Times New Roman" w:hAnsi="Times New Roman" w:cs="Times New Roman"/>
          <w:sz w:val="24"/>
          <w:szCs w:val="24"/>
        </w:rPr>
        <w:t>die Vorstellung der Einheit des Bewusstsein</w:t>
      </w:r>
      <w:r w:rsidR="00300802">
        <w:rPr>
          <w:rFonts w:ascii="Times New Roman" w:hAnsi="Times New Roman" w:cs="Times New Roman"/>
          <w:sz w:val="24"/>
          <w:szCs w:val="24"/>
        </w:rPr>
        <w:t>s verschiedener Vorstellungen“</w:t>
      </w:r>
      <w:r w:rsidR="00300802">
        <w:rPr>
          <w:rStyle w:val="Funotenzeichen"/>
          <w:rFonts w:ascii="Times New Roman" w:hAnsi="Times New Roman" w:cs="Times New Roman"/>
          <w:sz w:val="24"/>
          <w:szCs w:val="24"/>
        </w:rPr>
        <w:footnoteReference w:id="6"/>
      </w:r>
      <w:r w:rsidR="00151088" w:rsidRPr="009404FC">
        <w:rPr>
          <w:rFonts w:ascii="Times New Roman" w:hAnsi="Times New Roman" w:cs="Times New Roman"/>
          <w:sz w:val="24"/>
          <w:szCs w:val="24"/>
        </w:rPr>
        <w:t xml:space="preserve"> definiere</w:t>
      </w:r>
      <w:r w:rsidR="00300802">
        <w:rPr>
          <w:rFonts w:ascii="Times New Roman" w:hAnsi="Times New Roman" w:cs="Times New Roman"/>
          <w:sz w:val="24"/>
          <w:szCs w:val="24"/>
        </w:rPr>
        <w:t>.</w:t>
      </w:r>
      <w:r w:rsidR="00300802">
        <w:rPr>
          <w:rStyle w:val="Funotenzeichen"/>
          <w:rFonts w:ascii="Times New Roman" w:hAnsi="Times New Roman" w:cs="Times New Roman"/>
          <w:sz w:val="24"/>
          <w:szCs w:val="24"/>
        </w:rPr>
        <w:footnoteReference w:id="7"/>
      </w:r>
      <w:r w:rsidR="006E70D6" w:rsidRPr="009404FC">
        <w:rPr>
          <w:rFonts w:ascii="Times New Roman" w:hAnsi="Times New Roman" w:cs="Times New Roman"/>
          <w:sz w:val="24"/>
          <w:szCs w:val="24"/>
        </w:rPr>
        <w:t xml:space="preserve"> </w:t>
      </w:r>
    </w:p>
    <w:p w:rsidR="00B46F64" w:rsidRDefault="00C817B1"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Auch in Bezug auf die </w:t>
      </w:r>
      <w:r w:rsidR="00775BE2" w:rsidRPr="009404FC">
        <w:rPr>
          <w:rFonts w:ascii="Times New Roman" w:hAnsi="Times New Roman" w:cs="Times New Roman"/>
          <w:sz w:val="24"/>
          <w:szCs w:val="24"/>
        </w:rPr>
        <w:t>logisch relevanten Urteilsformen seien Kants Ansprüche unberechtigt, wenn er Vollständigkeit für seine Urteilstafel beanspruche. Zwar verfüge er mit „Allquantor, Negator und Subjunktor immerhin über ein funktional vollständiges System der logischen Grundzeichen der heute faktisch verwendeten (extensionalen) Junktoren- und Quantorenlogik“,</w:t>
      </w:r>
      <w:r w:rsidR="00382F69" w:rsidRPr="009404FC">
        <w:rPr>
          <w:rFonts w:ascii="Times New Roman" w:hAnsi="Times New Roman" w:cs="Times New Roman"/>
          <w:sz w:val="24"/>
          <w:szCs w:val="24"/>
        </w:rPr>
        <w:t xml:space="preserve"> aber</w:t>
      </w:r>
      <w:r w:rsidR="00775BE2" w:rsidRPr="009404FC">
        <w:rPr>
          <w:rFonts w:ascii="Times New Roman" w:hAnsi="Times New Roman" w:cs="Times New Roman"/>
          <w:sz w:val="24"/>
          <w:szCs w:val="24"/>
        </w:rPr>
        <w:t xml:space="preserve"> </w:t>
      </w:r>
      <w:r w:rsidR="00626EF9" w:rsidRPr="009404FC">
        <w:rPr>
          <w:rFonts w:ascii="Times New Roman" w:hAnsi="Times New Roman" w:cs="Times New Roman"/>
          <w:sz w:val="24"/>
          <w:szCs w:val="24"/>
        </w:rPr>
        <w:t xml:space="preserve">er erfasse keineswegs </w:t>
      </w:r>
      <w:r w:rsidR="00775BE2" w:rsidRPr="009404FC">
        <w:rPr>
          <w:rFonts w:ascii="Times New Roman" w:hAnsi="Times New Roman" w:cs="Times New Roman"/>
          <w:sz w:val="24"/>
          <w:szCs w:val="24"/>
        </w:rPr>
        <w:t>„jedes überhaupt nur mögliche logische Form</w:t>
      </w:r>
      <w:r w:rsidR="00626EF9" w:rsidRPr="009404FC">
        <w:rPr>
          <w:rFonts w:ascii="Times New Roman" w:hAnsi="Times New Roman" w:cs="Times New Roman"/>
          <w:sz w:val="24"/>
          <w:szCs w:val="24"/>
        </w:rPr>
        <w:t>element“</w:t>
      </w:r>
      <w:r w:rsidR="00382F69" w:rsidRPr="009404FC">
        <w:rPr>
          <w:rFonts w:ascii="Times New Roman" w:hAnsi="Times New Roman" w:cs="Times New Roman"/>
          <w:sz w:val="24"/>
          <w:szCs w:val="24"/>
        </w:rPr>
        <w:t>, da sich mit seinem Instrumentarium eben nicht unterscheiden lasse, ob „der Prädikat</w:t>
      </w:r>
      <w:r w:rsidR="003F730B" w:rsidRPr="009404FC">
        <w:rPr>
          <w:rFonts w:ascii="Times New Roman" w:hAnsi="Times New Roman" w:cs="Times New Roman"/>
          <w:sz w:val="24"/>
          <w:szCs w:val="24"/>
        </w:rPr>
        <w:t>sterminus sämtlichen Exemplaren des Subjektsterminus zugesprochen“ oder „auf die volle Menge der Instanzen des</w:t>
      </w:r>
      <w:r w:rsidR="00300802">
        <w:rPr>
          <w:rFonts w:ascii="Times New Roman" w:hAnsi="Times New Roman" w:cs="Times New Roman"/>
          <w:sz w:val="24"/>
          <w:szCs w:val="24"/>
        </w:rPr>
        <w:t xml:space="preserve"> Subjektsterimus bezogen wird“</w:t>
      </w:r>
      <w:r w:rsidR="003A3E63">
        <w:rPr>
          <w:rFonts w:ascii="Times New Roman" w:hAnsi="Times New Roman" w:cs="Times New Roman"/>
          <w:sz w:val="24"/>
          <w:szCs w:val="24"/>
        </w:rPr>
        <w:t>.</w:t>
      </w:r>
      <w:r w:rsidR="00300802">
        <w:rPr>
          <w:rStyle w:val="Funotenzeichen"/>
          <w:rFonts w:ascii="Times New Roman" w:hAnsi="Times New Roman" w:cs="Times New Roman"/>
          <w:sz w:val="24"/>
          <w:szCs w:val="24"/>
        </w:rPr>
        <w:footnoteReference w:id="8"/>
      </w:r>
      <w:r w:rsidR="003F730B" w:rsidRPr="009404FC">
        <w:rPr>
          <w:rFonts w:ascii="Times New Roman" w:hAnsi="Times New Roman" w:cs="Times New Roman"/>
          <w:sz w:val="24"/>
          <w:szCs w:val="24"/>
        </w:rPr>
        <w:t xml:space="preserve"> </w:t>
      </w:r>
      <w:r w:rsidR="00A209A7" w:rsidRPr="009404FC">
        <w:rPr>
          <w:rFonts w:ascii="Times New Roman" w:hAnsi="Times New Roman" w:cs="Times New Roman"/>
          <w:sz w:val="24"/>
          <w:szCs w:val="24"/>
        </w:rPr>
        <w:t>Und</w:t>
      </w:r>
      <w:r w:rsidR="00C64D7C" w:rsidRPr="009404FC">
        <w:rPr>
          <w:rFonts w:ascii="Times New Roman" w:hAnsi="Times New Roman" w:cs="Times New Roman"/>
          <w:sz w:val="24"/>
          <w:szCs w:val="24"/>
        </w:rPr>
        <w:t xml:space="preserve"> wenn Kant über die universellen</w:t>
      </w:r>
      <w:r w:rsidR="00A209A7" w:rsidRPr="009404FC">
        <w:rPr>
          <w:rFonts w:ascii="Times New Roman" w:hAnsi="Times New Roman" w:cs="Times New Roman"/>
          <w:sz w:val="24"/>
          <w:szCs w:val="24"/>
        </w:rPr>
        <w:t xml:space="preserve"> Aussagen hinaus unter dem Gesichtspunkt der Quantität</w:t>
      </w:r>
      <w:r w:rsidR="00C64D7C" w:rsidRPr="009404FC">
        <w:rPr>
          <w:rFonts w:ascii="Times New Roman" w:hAnsi="Times New Roman" w:cs="Times New Roman"/>
          <w:sz w:val="24"/>
          <w:szCs w:val="24"/>
        </w:rPr>
        <w:t xml:space="preserve"> nur noch die Form der partikularen</w:t>
      </w:r>
      <w:r w:rsidR="00A209A7" w:rsidRPr="009404FC">
        <w:rPr>
          <w:rFonts w:ascii="Times New Roman" w:hAnsi="Times New Roman" w:cs="Times New Roman"/>
          <w:sz w:val="24"/>
          <w:szCs w:val="24"/>
        </w:rPr>
        <w:t xml:space="preserve"> Aussagen angibt, so berücksichtige er nicht, dass </w:t>
      </w:r>
      <w:r w:rsidR="00E82EC6" w:rsidRPr="009404FC">
        <w:rPr>
          <w:rFonts w:ascii="Times New Roman" w:hAnsi="Times New Roman" w:cs="Times New Roman"/>
          <w:sz w:val="24"/>
          <w:szCs w:val="24"/>
        </w:rPr>
        <w:t>es „viele Möglichkeiten“ gibt, „in einer Aussage von Subjekt-Prädikat-Struktur den Prädikatsterminus auf eine ´unbestimmte´ Teilmenge des Umfangs des jeweiligen Subjektsterminus zu beziehen“, z.B. „zu sagen, dass ´die meisten´ U auch V seien“ oder „´die Hälfte´“ oder „´mehr als abzählbar unendlic</w:t>
      </w:r>
      <w:r w:rsidR="00300802">
        <w:rPr>
          <w:rFonts w:ascii="Times New Roman" w:hAnsi="Times New Roman" w:cs="Times New Roman"/>
          <w:sz w:val="24"/>
          <w:szCs w:val="24"/>
        </w:rPr>
        <w:t>h viele (jedoch nicht alle)´“.</w:t>
      </w:r>
      <w:r w:rsidR="00300802">
        <w:rPr>
          <w:rStyle w:val="Funotenzeichen"/>
          <w:rFonts w:ascii="Times New Roman" w:hAnsi="Times New Roman" w:cs="Times New Roman"/>
          <w:sz w:val="24"/>
          <w:szCs w:val="24"/>
        </w:rPr>
        <w:footnoteReference w:id="9"/>
      </w:r>
    </w:p>
    <w:p w:rsidR="003C6E19" w:rsidRDefault="003C6E19" w:rsidP="009404FC">
      <w:pPr>
        <w:spacing w:line="360" w:lineRule="auto"/>
        <w:rPr>
          <w:rFonts w:ascii="Times New Roman" w:hAnsi="Times New Roman" w:cs="Times New Roman"/>
          <w:sz w:val="24"/>
          <w:szCs w:val="24"/>
        </w:rPr>
      </w:pPr>
    </w:p>
    <w:p w:rsidR="003C6E19" w:rsidRPr="00AC1C73" w:rsidRDefault="003C6E19" w:rsidP="009404FC">
      <w:pPr>
        <w:pStyle w:val="Listenabsatz"/>
        <w:numPr>
          <w:ilvl w:val="0"/>
          <w:numId w:val="1"/>
        </w:numPr>
        <w:spacing w:line="360" w:lineRule="auto"/>
        <w:rPr>
          <w:rFonts w:ascii="Times New Roman" w:hAnsi="Times New Roman" w:cs="Times New Roman"/>
          <w:sz w:val="24"/>
          <w:szCs w:val="24"/>
          <w:u w:val="single"/>
        </w:rPr>
      </w:pPr>
      <w:r w:rsidRPr="00AC1C73">
        <w:rPr>
          <w:rFonts w:ascii="Times New Roman" w:hAnsi="Times New Roman" w:cs="Times New Roman"/>
          <w:sz w:val="24"/>
          <w:szCs w:val="24"/>
          <w:u w:val="single"/>
        </w:rPr>
        <w:t>Kants Ansatz</w:t>
      </w:r>
    </w:p>
    <w:p w:rsidR="00BB72B9" w:rsidRPr="009404FC" w:rsidRDefault="005D651B"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Als Maßstab der Beurteilung von Kants Logik wird hier die Prädikatenlogik genommen und nicht berücksichtigt, dass er </w:t>
      </w:r>
      <w:r w:rsidR="00CA2915" w:rsidRPr="009404FC">
        <w:rPr>
          <w:rFonts w:ascii="Times New Roman" w:hAnsi="Times New Roman" w:cs="Times New Roman"/>
          <w:sz w:val="24"/>
          <w:szCs w:val="24"/>
        </w:rPr>
        <w:t>das erkenntnistheoretische Ziel verfolgte, möglichst elementare Funktionen von Begri</w:t>
      </w:r>
      <w:r w:rsidR="003C6E19">
        <w:rPr>
          <w:rFonts w:ascii="Times New Roman" w:hAnsi="Times New Roman" w:cs="Times New Roman"/>
          <w:sz w:val="24"/>
          <w:szCs w:val="24"/>
        </w:rPr>
        <w:t>ffen in Urteilen und von Urteilsv</w:t>
      </w:r>
      <w:r w:rsidR="00CA2915" w:rsidRPr="009404FC">
        <w:rPr>
          <w:rFonts w:ascii="Times New Roman" w:hAnsi="Times New Roman" w:cs="Times New Roman"/>
          <w:sz w:val="24"/>
          <w:szCs w:val="24"/>
        </w:rPr>
        <w:t>erknüpfungen auszuweisen, deren Verwendung notwendige Bedingung jeder möglichen Erkenntnis ist. Solche Funktionen müssen basal und konstitutiv für jedes mögliche wahrheitsf</w:t>
      </w:r>
      <w:r w:rsidR="00334D08" w:rsidRPr="009404FC">
        <w:rPr>
          <w:rFonts w:ascii="Times New Roman" w:hAnsi="Times New Roman" w:cs="Times New Roman"/>
          <w:sz w:val="24"/>
          <w:szCs w:val="24"/>
        </w:rPr>
        <w:t>ähige Erkenntnisurteil sein, d.h.</w:t>
      </w:r>
      <w:r w:rsidR="00CA2915" w:rsidRPr="009404FC">
        <w:rPr>
          <w:rFonts w:ascii="Times New Roman" w:hAnsi="Times New Roman" w:cs="Times New Roman"/>
          <w:sz w:val="24"/>
          <w:szCs w:val="24"/>
        </w:rPr>
        <w:t xml:space="preserve"> ihre</w:t>
      </w:r>
      <w:r w:rsidR="0097040B" w:rsidRPr="009404FC">
        <w:rPr>
          <w:rFonts w:ascii="Times New Roman" w:hAnsi="Times New Roman" w:cs="Times New Roman"/>
          <w:sz w:val="24"/>
          <w:szCs w:val="24"/>
        </w:rPr>
        <w:t xml:space="preserve"> Verw</w:t>
      </w:r>
      <w:r w:rsidR="00334D08" w:rsidRPr="009404FC">
        <w:rPr>
          <w:rFonts w:ascii="Times New Roman" w:hAnsi="Times New Roman" w:cs="Times New Roman"/>
          <w:sz w:val="24"/>
          <w:szCs w:val="24"/>
        </w:rPr>
        <w:t>endung darf nicht auf</w:t>
      </w:r>
      <w:r w:rsidR="0097040B" w:rsidRPr="009404FC">
        <w:rPr>
          <w:rFonts w:ascii="Times New Roman" w:hAnsi="Times New Roman" w:cs="Times New Roman"/>
          <w:sz w:val="24"/>
          <w:szCs w:val="24"/>
        </w:rPr>
        <w:t xml:space="preserve"> empirischen Erken</w:t>
      </w:r>
      <w:r w:rsidR="00453B5C" w:rsidRPr="009404FC">
        <w:rPr>
          <w:rFonts w:ascii="Times New Roman" w:hAnsi="Times New Roman" w:cs="Times New Roman"/>
          <w:sz w:val="24"/>
          <w:szCs w:val="24"/>
        </w:rPr>
        <w:t>n</w:t>
      </w:r>
      <w:r w:rsidR="00334D08" w:rsidRPr="009404FC">
        <w:rPr>
          <w:rFonts w:ascii="Times New Roman" w:hAnsi="Times New Roman" w:cs="Times New Roman"/>
          <w:sz w:val="24"/>
          <w:szCs w:val="24"/>
        </w:rPr>
        <w:t>tnissen beruhen</w:t>
      </w:r>
      <w:r w:rsidR="0097040B" w:rsidRPr="009404FC">
        <w:rPr>
          <w:rFonts w:ascii="Times New Roman" w:hAnsi="Times New Roman" w:cs="Times New Roman"/>
          <w:sz w:val="24"/>
          <w:szCs w:val="24"/>
        </w:rPr>
        <w:t xml:space="preserve">, sondern </w:t>
      </w:r>
      <w:r w:rsidR="00334D08" w:rsidRPr="009404FC">
        <w:rPr>
          <w:rFonts w:ascii="Times New Roman" w:hAnsi="Times New Roman" w:cs="Times New Roman"/>
          <w:sz w:val="24"/>
          <w:szCs w:val="24"/>
        </w:rPr>
        <w:t xml:space="preserve">muss </w:t>
      </w:r>
      <w:r w:rsidR="0097040B" w:rsidRPr="009404FC">
        <w:rPr>
          <w:rFonts w:ascii="Times New Roman" w:hAnsi="Times New Roman" w:cs="Times New Roman"/>
          <w:sz w:val="24"/>
          <w:szCs w:val="24"/>
        </w:rPr>
        <w:t xml:space="preserve">in Form unmittelbarer Vertrautheit möglich </w:t>
      </w:r>
      <w:r w:rsidR="00334D08" w:rsidRPr="009404FC">
        <w:rPr>
          <w:rFonts w:ascii="Times New Roman" w:hAnsi="Times New Roman" w:cs="Times New Roman"/>
          <w:sz w:val="24"/>
          <w:szCs w:val="24"/>
        </w:rPr>
        <w:t>sein</w:t>
      </w:r>
      <w:r w:rsidR="0097040B" w:rsidRPr="009404FC">
        <w:rPr>
          <w:rFonts w:ascii="Times New Roman" w:hAnsi="Times New Roman" w:cs="Times New Roman"/>
          <w:sz w:val="24"/>
          <w:szCs w:val="24"/>
        </w:rPr>
        <w:t xml:space="preserve">. Kant beschreibt sie daher als Formen zunächst nur subjektiv und undeutlich bewusster Denkakte, d.h. als Formen mentaler Leistungen. Auf einer höheren Stufe werden diese Denkleistungen reflexiv, sodass das Bewusstsein dieser Formen </w:t>
      </w:r>
      <w:r w:rsidR="008062F7" w:rsidRPr="009404FC">
        <w:rPr>
          <w:rFonts w:ascii="Times New Roman" w:hAnsi="Times New Roman" w:cs="Times New Roman"/>
          <w:sz w:val="24"/>
          <w:szCs w:val="24"/>
        </w:rPr>
        <w:t>erkenntnisleitend wird und sie dabei des Status von Normen bekommen. Dieser Status</w:t>
      </w:r>
      <w:r w:rsidR="00120AF1" w:rsidRPr="009404FC">
        <w:rPr>
          <w:rFonts w:ascii="Times New Roman" w:hAnsi="Times New Roman" w:cs="Times New Roman"/>
          <w:sz w:val="24"/>
          <w:szCs w:val="24"/>
        </w:rPr>
        <w:t xml:space="preserve"> tut </w:t>
      </w:r>
      <w:r w:rsidR="00120AF1" w:rsidRPr="009404FC">
        <w:rPr>
          <w:rFonts w:ascii="Times New Roman" w:hAnsi="Times New Roman" w:cs="Times New Roman"/>
          <w:sz w:val="24"/>
          <w:szCs w:val="24"/>
        </w:rPr>
        <w:lastRenderedPageBreak/>
        <w:t xml:space="preserve">ihrer </w:t>
      </w:r>
      <w:r w:rsidR="008062F7" w:rsidRPr="009404FC">
        <w:rPr>
          <w:rFonts w:ascii="Times New Roman" w:hAnsi="Times New Roman" w:cs="Times New Roman"/>
          <w:sz w:val="24"/>
          <w:szCs w:val="24"/>
        </w:rPr>
        <w:t xml:space="preserve">funktionalen </w:t>
      </w:r>
      <w:r w:rsidR="00120AF1" w:rsidRPr="009404FC">
        <w:rPr>
          <w:rFonts w:ascii="Times New Roman" w:hAnsi="Times New Roman" w:cs="Times New Roman"/>
          <w:sz w:val="24"/>
          <w:szCs w:val="24"/>
        </w:rPr>
        <w:t xml:space="preserve">Beschreibung </w:t>
      </w:r>
      <w:r w:rsidR="008062F7" w:rsidRPr="009404FC">
        <w:rPr>
          <w:rFonts w:ascii="Times New Roman" w:hAnsi="Times New Roman" w:cs="Times New Roman"/>
          <w:sz w:val="24"/>
          <w:szCs w:val="24"/>
        </w:rPr>
        <w:t xml:space="preserve">aber </w:t>
      </w:r>
      <w:r w:rsidR="00120AF1" w:rsidRPr="009404FC">
        <w:rPr>
          <w:rFonts w:ascii="Times New Roman" w:hAnsi="Times New Roman" w:cs="Times New Roman"/>
          <w:sz w:val="24"/>
          <w:szCs w:val="24"/>
        </w:rPr>
        <w:t xml:space="preserve">genauso wenig Abbruch wie </w:t>
      </w:r>
      <w:r w:rsidR="008062F7" w:rsidRPr="009404FC">
        <w:rPr>
          <w:rFonts w:ascii="Times New Roman" w:hAnsi="Times New Roman" w:cs="Times New Roman"/>
          <w:sz w:val="24"/>
          <w:szCs w:val="24"/>
        </w:rPr>
        <w:t>das</w:t>
      </w:r>
      <w:r w:rsidR="0076731E">
        <w:rPr>
          <w:rFonts w:ascii="Times New Roman" w:hAnsi="Times New Roman" w:cs="Times New Roman"/>
          <w:sz w:val="24"/>
          <w:szCs w:val="24"/>
        </w:rPr>
        <w:t xml:space="preserve"> sprachphilosophische</w:t>
      </w:r>
      <w:r w:rsidR="00120AF1" w:rsidRPr="009404FC">
        <w:rPr>
          <w:rFonts w:ascii="Times New Roman" w:hAnsi="Times New Roman" w:cs="Times New Roman"/>
          <w:sz w:val="24"/>
          <w:szCs w:val="24"/>
        </w:rPr>
        <w:t xml:space="preserve"> Verständnis </w:t>
      </w:r>
      <w:r w:rsidR="008062F7" w:rsidRPr="009404FC">
        <w:rPr>
          <w:rFonts w:ascii="Times New Roman" w:hAnsi="Times New Roman" w:cs="Times New Roman"/>
          <w:sz w:val="24"/>
          <w:szCs w:val="24"/>
        </w:rPr>
        <w:t xml:space="preserve">logischer Formen </w:t>
      </w:r>
      <w:r w:rsidR="00120AF1" w:rsidRPr="009404FC">
        <w:rPr>
          <w:rFonts w:ascii="Times New Roman" w:hAnsi="Times New Roman" w:cs="Times New Roman"/>
          <w:sz w:val="24"/>
          <w:szCs w:val="24"/>
        </w:rPr>
        <w:t xml:space="preserve">als Strukturen von Zeichengebilden oder </w:t>
      </w:r>
      <w:r w:rsidR="00A860FB">
        <w:rPr>
          <w:rFonts w:ascii="Times New Roman" w:hAnsi="Times New Roman" w:cs="Times New Roman"/>
          <w:sz w:val="24"/>
          <w:szCs w:val="24"/>
        </w:rPr>
        <w:t xml:space="preserve">von </w:t>
      </w:r>
      <w:r w:rsidR="00120AF1" w:rsidRPr="009404FC">
        <w:rPr>
          <w:rFonts w:ascii="Times New Roman" w:hAnsi="Times New Roman" w:cs="Times New Roman"/>
          <w:sz w:val="24"/>
          <w:szCs w:val="24"/>
        </w:rPr>
        <w:t xml:space="preserve">Sprechakten. </w:t>
      </w:r>
    </w:p>
    <w:p w:rsidR="00C64D7C" w:rsidRPr="009404FC" w:rsidRDefault="00C64D7C"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Die Voraussetzung der Prädikatenlogik, dass sich die Erfüllungsbedingungen </w:t>
      </w:r>
      <w:r w:rsidR="00E877CD" w:rsidRPr="009404FC">
        <w:rPr>
          <w:rFonts w:ascii="Times New Roman" w:hAnsi="Times New Roman" w:cs="Times New Roman"/>
          <w:sz w:val="24"/>
          <w:szCs w:val="24"/>
        </w:rPr>
        <w:t>ihrer Formulierungen als Zugehörigkeit von Dingen zu wohlunterscheidbaren Klassen angeben lassen, wäre Kant zu stark. Er will die Logik nicht als Instrumentarium bei der rationalen Reformulierung oder Überformung alltagssprachlicher oder vorläufiger wissenschaftlicher Aussagen beschreiben, sondern ist überzeugt, dass Begriffe mit ihren Funktionen in Urteilen schon konstitutiv für unsere ersten Urteile über Dinge sind</w:t>
      </w:r>
      <w:r w:rsidR="0052022A" w:rsidRPr="009404FC">
        <w:rPr>
          <w:rFonts w:ascii="Times New Roman" w:hAnsi="Times New Roman" w:cs="Times New Roman"/>
          <w:sz w:val="24"/>
          <w:szCs w:val="24"/>
        </w:rPr>
        <w:t>. Mit diesen Funktion</w:t>
      </w:r>
      <w:r w:rsidR="000C595D" w:rsidRPr="009404FC">
        <w:rPr>
          <w:rFonts w:ascii="Times New Roman" w:hAnsi="Times New Roman" w:cs="Times New Roman"/>
          <w:sz w:val="24"/>
          <w:szCs w:val="24"/>
        </w:rPr>
        <w:t xml:space="preserve">en müssen wir seines Erachtens </w:t>
      </w:r>
      <w:r w:rsidR="0052022A" w:rsidRPr="009404FC">
        <w:rPr>
          <w:rFonts w:ascii="Times New Roman" w:hAnsi="Times New Roman" w:cs="Times New Roman"/>
          <w:sz w:val="24"/>
          <w:szCs w:val="24"/>
        </w:rPr>
        <w:t xml:space="preserve">schon a priori, d.h. systematisch vor jedem Urteil und jeder Erkenntnis </w:t>
      </w:r>
      <w:r w:rsidR="00A267D2">
        <w:rPr>
          <w:rFonts w:ascii="Times New Roman" w:hAnsi="Times New Roman" w:cs="Times New Roman"/>
          <w:sz w:val="24"/>
          <w:szCs w:val="24"/>
        </w:rPr>
        <w:t>vertraut sein, die wir mit ihrer</w:t>
      </w:r>
      <w:r w:rsidR="00E37E8A" w:rsidRPr="009404FC">
        <w:rPr>
          <w:rFonts w:ascii="Times New Roman" w:hAnsi="Times New Roman" w:cs="Times New Roman"/>
          <w:sz w:val="24"/>
          <w:szCs w:val="24"/>
        </w:rPr>
        <w:t xml:space="preserve"> Hilfe gewinnen. Die</w:t>
      </w:r>
      <w:r w:rsidR="0052022A" w:rsidRPr="009404FC">
        <w:rPr>
          <w:rFonts w:ascii="Times New Roman" w:hAnsi="Times New Roman" w:cs="Times New Roman"/>
          <w:sz w:val="24"/>
          <w:szCs w:val="24"/>
        </w:rPr>
        <w:t xml:space="preserve"> v</w:t>
      </w:r>
      <w:r w:rsidR="0076731E">
        <w:rPr>
          <w:rFonts w:ascii="Times New Roman" w:hAnsi="Times New Roman" w:cs="Times New Roman"/>
          <w:sz w:val="24"/>
          <w:szCs w:val="24"/>
        </w:rPr>
        <w:t xml:space="preserve">on ihm in der Urteilstafel der </w:t>
      </w:r>
      <w:r w:rsidR="0076731E" w:rsidRPr="0076731E">
        <w:rPr>
          <w:rFonts w:ascii="Times New Roman" w:hAnsi="Times New Roman" w:cs="Times New Roman"/>
          <w:i/>
          <w:sz w:val="24"/>
          <w:szCs w:val="24"/>
        </w:rPr>
        <w:t>Kritik der reinen Vernunft</w:t>
      </w:r>
      <w:r w:rsidR="0052022A" w:rsidRPr="009404FC">
        <w:rPr>
          <w:rFonts w:ascii="Times New Roman" w:hAnsi="Times New Roman" w:cs="Times New Roman"/>
          <w:sz w:val="24"/>
          <w:szCs w:val="24"/>
        </w:rPr>
        <w:t xml:space="preserve"> genannten zwölf Urteilsformen soll</w:t>
      </w:r>
      <w:r w:rsidR="00E37E8A" w:rsidRPr="009404FC">
        <w:rPr>
          <w:rFonts w:ascii="Times New Roman" w:hAnsi="Times New Roman" w:cs="Times New Roman"/>
          <w:sz w:val="24"/>
          <w:szCs w:val="24"/>
        </w:rPr>
        <w:t>en nicht hinreichen</w:t>
      </w:r>
      <w:r w:rsidR="003A3E63">
        <w:rPr>
          <w:rFonts w:ascii="Times New Roman" w:hAnsi="Times New Roman" w:cs="Times New Roman"/>
          <w:sz w:val="24"/>
          <w:szCs w:val="24"/>
        </w:rPr>
        <w:t>,</w:t>
      </w:r>
      <w:r w:rsidR="00E37E8A" w:rsidRPr="009404FC">
        <w:rPr>
          <w:rFonts w:ascii="Times New Roman" w:hAnsi="Times New Roman" w:cs="Times New Roman"/>
          <w:sz w:val="24"/>
          <w:szCs w:val="24"/>
        </w:rPr>
        <w:t xml:space="preserve"> um jeden mehrstelligen Funktionsausdruck zu bilden, sondern sie alle sollen</w:t>
      </w:r>
      <w:r w:rsidR="0052022A" w:rsidRPr="009404FC">
        <w:rPr>
          <w:rFonts w:ascii="Times New Roman" w:hAnsi="Times New Roman" w:cs="Times New Roman"/>
          <w:sz w:val="24"/>
          <w:szCs w:val="24"/>
        </w:rPr>
        <w:t xml:space="preserve"> bei jedem </w:t>
      </w:r>
      <w:r w:rsidR="00E37E8A" w:rsidRPr="009404FC">
        <w:rPr>
          <w:rFonts w:ascii="Times New Roman" w:hAnsi="Times New Roman" w:cs="Times New Roman"/>
          <w:sz w:val="24"/>
          <w:szCs w:val="24"/>
        </w:rPr>
        <w:t xml:space="preserve">beliebigen </w:t>
      </w:r>
      <w:r w:rsidR="0052022A" w:rsidRPr="009404FC">
        <w:rPr>
          <w:rFonts w:ascii="Times New Roman" w:hAnsi="Times New Roman" w:cs="Times New Roman"/>
          <w:sz w:val="24"/>
          <w:szCs w:val="24"/>
        </w:rPr>
        <w:t xml:space="preserve">Urteil zum Einsatz kommen. </w:t>
      </w:r>
      <w:r w:rsidR="00E37E8A" w:rsidRPr="009404FC">
        <w:rPr>
          <w:rFonts w:ascii="Times New Roman" w:hAnsi="Times New Roman" w:cs="Times New Roman"/>
          <w:sz w:val="24"/>
          <w:szCs w:val="24"/>
        </w:rPr>
        <w:t xml:space="preserve">Das ist in Bezug auf nur ein einziges Urteil offensichtlich unmöglich, denn </w:t>
      </w:r>
      <w:r w:rsidR="00A45285" w:rsidRPr="009404FC">
        <w:rPr>
          <w:rFonts w:ascii="Times New Roman" w:hAnsi="Times New Roman" w:cs="Times New Roman"/>
          <w:sz w:val="24"/>
          <w:szCs w:val="24"/>
        </w:rPr>
        <w:t>die unter den vier Titeln der ´Quantität´, ´Qualität´, ´Relation´ und ´Mo</w:t>
      </w:r>
      <w:r w:rsidR="00FC4F51">
        <w:rPr>
          <w:rFonts w:ascii="Times New Roman" w:hAnsi="Times New Roman" w:cs="Times New Roman"/>
          <w:sz w:val="24"/>
          <w:szCs w:val="24"/>
        </w:rPr>
        <w:t xml:space="preserve">dalität´ </w:t>
      </w:r>
      <w:r w:rsidR="00300802">
        <w:rPr>
          <w:rFonts w:ascii="Times New Roman" w:hAnsi="Times New Roman" w:cs="Times New Roman"/>
          <w:sz w:val="24"/>
          <w:szCs w:val="24"/>
        </w:rPr>
        <w:t>genannten drei Formen</w:t>
      </w:r>
      <w:r w:rsidR="00300802">
        <w:rPr>
          <w:rStyle w:val="Funotenzeichen"/>
          <w:rFonts w:ascii="Times New Roman" w:hAnsi="Times New Roman" w:cs="Times New Roman"/>
          <w:sz w:val="24"/>
          <w:szCs w:val="24"/>
        </w:rPr>
        <w:footnoteReference w:id="10"/>
      </w:r>
      <w:r w:rsidR="00A45285" w:rsidRPr="009404FC">
        <w:rPr>
          <w:rFonts w:ascii="Times New Roman" w:hAnsi="Times New Roman" w:cs="Times New Roman"/>
          <w:sz w:val="24"/>
          <w:szCs w:val="24"/>
        </w:rPr>
        <w:t xml:space="preserve"> schließen einander jeweils aus. Ein Urteil kann nur entweder ´allgemein´ oder ´besonders´ oder ´einzeln´, nur entweder ´bejahend´, ´verneinend´ oder ´unendlich´, nur entweder ´kategorisch´, ´hypothetisch´ oder ´disjunktiv´ und nur entweder ´problematisch´, ´assertorisch´ oder ´apodiktisch´ sein. </w:t>
      </w:r>
      <w:r w:rsidR="00EB040D" w:rsidRPr="009404FC">
        <w:rPr>
          <w:rFonts w:ascii="Times New Roman" w:hAnsi="Times New Roman" w:cs="Times New Roman"/>
          <w:sz w:val="24"/>
          <w:szCs w:val="24"/>
        </w:rPr>
        <w:t>Auch untereinander sind die Funktionen der vier Aspekte nicht frei kombinierbar. Die Formen der Quantität scheinen sich „nur auf kategorische Urteile beziehen zu können“; und es gibt auch „kein negatives hypothetisches oder disjunktives Urteil“, sondern „solche Ur</w:t>
      </w:r>
      <w:r w:rsidR="00804840">
        <w:rPr>
          <w:rFonts w:ascii="Times New Roman" w:hAnsi="Times New Roman" w:cs="Times New Roman"/>
          <w:sz w:val="24"/>
          <w:szCs w:val="24"/>
        </w:rPr>
        <w:t>teile sind sämtlich bejahend“.</w:t>
      </w:r>
      <w:r w:rsidR="00804840">
        <w:rPr>
          <w:rStyle w:val="Funotenzeichen"/>
          <w:rFonts w:ascii="Times New Roman" w:hAnsi="Times New Roman" w:cs="Times New Roman"/>
          <w:sz w:val="24"/>
          <w:szCs w:val="24"/>
        </w:rPr>
        <w:footnoteReference w:id="11"/>
      </w:r>
      <w:r w:rsidR="00B200E4" w:rsidRPr="009404FC">
        <w:rPr>
          <w:rFonts w:ascii="Times New Roman" w:hAnsi="Times New Roman" w:cs="Times New Roman"/>
          <w:sz w:val="24"/>
          <w:szCs w:val="24"/>
        </w:rPr>
        <w:t xml:space="preserve"> </w:t>
      </w:r>
    </w:p>
    <w:p w:rsidR="00B200E4" w:rsidRPr="009404FC" w:rsidRDefault="0074170B" w:rsidP="009404FC">
      <w:pPr>
        <w:spacing w:line="360" w:lineRule="auto"/>
        <w:rPr>
          <w:rFonts w:ascii="Times New Roman" w:hAnsi="Times New Roman" w:cs="Times New Roman"/>
          <w:sz w:val="24"/>
          <w:szCs w:val="24"/>
        </w:rPr>
      </w:pPr>
      <w:r w:rsidRPr="00E564AC">
        <w:rPr>
          <w:rFonts w:ascii="Times New Roman" w:hAnsi="Times New Roman" w:cs="Times New Roman"/>
          <w:sz w:val="24"/>
          <w:szCs w:val="24"/>
        </w:rPr>
        <w:t>Die hier vermuteten Widersprüche lösen sich auf, wenn man die Urteilsformen als hierarchisch geordnet versteht.</w:t>
      </w:r>
      <w:r w:rsidRPr="009404FC">
        <w:rPr>
          <w:rFonts w:ascii="Times New Roman" w:hAnsi="Times New Roman" w:cs="Times New Roman"/>
          <w:sz w:val="24"/>
          <w:szCs w:val="24"/>
        </w:rPr>
        <w:t xml:space="preserve"> </w:t>
      </w:r>
      <w:r w:rsidR="00B200E4" w:rsidRPr="009404FC">
        <w:rPr>
          <w:rFonts w:ascii="Times New Roman" w:hAnsi="Times New Roman" w:cs="Times New Roman"/>
          <w:sz w:val="24"/>
          <w:szCs w:val="24"/>
        </w:rPr>
        <w:t xml:space="preserve">Jedes beliebige Urteil ist nach Kant – schon formal – nur dann korrekt gebildet, wenn es im Verbund mit </w:t>
      </w:r>
      <w:r w:rsidR="001243B1" w:rsidRPr="009404FC">
        <w:rPr>
          <w:rFonts w:ascii="Times New Roman" w:hAnsi="Times New Roman" w:cs="Times New Roman"/>
          <w:sz w:val="24"/>
          <w:szCs w:val="24"/>
        </w:rPr>
        <w:t>anderen steht, die entweder selbst oder im Verhältnis zueinander die anderen Urteilsformen erfüllen. Der Gesichtspunkt dieser funktionalen Korrektheit ist die Unterscheidungsfunktion seines Prädika</w:t>
      </w:r>
      <w:r w:rsidR="009D0E8E" w:rsidRPr="009404FC">
        <w:rPr>
          <w:rFonts w:ascii="Times New Roman" w:hAnsi="Times New Roman" w:cs="Times New Roman"/>
          <w:sz w:val="24"/>
          <w:szCs w:val="24"/>
        </w:rPr>
        <w:t>ts. Diese Funktion ist nicht</w:t>
      </w:r>
      <w:r w:rsidR="001243B1" w:rsidRPr="009404FC">
        <w:rPr>
          <w:rFonts w:ascii="Times New Roman" w:hAnsi="Times New Roman" w:cs="Times New Roman"/>
          <w:sz w:val="24"/>
          <w:szCs w:val="24"/>
        </w:rPr>
        <w:t xml:space="preserve"> ein der Logik fremdes erkenntnistheoretisches Erfordernis, sondern wird in der Logik selbst vorausgesetzt.</w:t>
      </w:r>
      <w:r w:rsidR="0079095C" w:rsidRPr="009404FC">
        <w:rPr>
          <w:rFonts w:ascii="Times New Roman" w:hAnsi="Times New Roman" w:cs="Times New Roman"/>
          <w:sz w:val="24"/>
          <w:szCs w:val="24"/>
        </w:rPr>
        <w:t xml:space="preserve"> Denn wir „können in einem prädikativen Satz nur etwas Bestimmtes sagen, wenn das Prädika</w:t>
      </w:r>
      <w:r w:rsidR="00F50809">
        <w:rPr>
          <w:rFonts w:ascii="Times New Roman" w:hAnsi="Times New Roman" w:cs="Times New Roman"/>
          <w:sz w:val="24"/>
          <w:szCs w:val="24"/>
        </w:rPr>
        <w:t>t etwas Bestimmtes bedeutet“; obwohl „der Gegenstand […]</w:t>
      </w:r>
      <w:r w:rsidR="0079095C" w:rsidRPr="009404FC">
        <w:rPr>
          <w:rFonts w:ascii="Times New Roman" w:hAnsi="Times New Roman" w:cs="Times New Roman"/>
          <w:sz w:val="24"/>
          <w:szCs w:val="24"/>
        </w:rPr>
        <w:t xml:space="preserve"> in einer unbestimmten Mannigfaltigkeit von Aspekten“ gegeben sein kann, „muss die Bedeutung des Prädikats </w:t>
      </w:r>
      <w:r w:rsidR="00804840">
        <w:rPr>
          <w:rFonts w:ascii="Times New Roman" w:hAnsi="Times New Roman" w:cs="Times New Roman"/>
          <w:sz w:val="24"/>
          <w:szCs w:val="24"/>
        </w:rPr>
        <w:t>eine eindeutig bestimmte sein“</w:t>
      </w:r>
      <w:r w:rsidR="00192F86">
        <w:rPr>
          <w:rFonts w:ascii="Times New Roman" w:hAnsi="Times New Roman" w:cs="Times New Roman"/>
          <w:sz w:val="24"/>
          <w:szCs w:val="24"/>
        </w:rPr>
        <w:t>.</w:t>
      </w:r>
      <w:r w:rsidR="00804840">
        <w:rPr>
          <w:rStyle w:val="Funotenzeichen"/>
          <w:rFonts w:ascii="Times New Roman" w:hAnsi="Times New Roman" w:cs="Times New Roman"/>
          <w:sz w:val="24"/>
          <w:szCs w:val="24"/>
        </w:rPr>
        <w:footnoteReference w:id="12"/>
      </w:r>
      <w:r w:rsidR="0079095C" w:rsidRPr="009404FC">
        <w:rPr>
          <w:rFonts w:ascii="Times New Roman" w:hAnsi="Times New Roman" w:cs="Times New Roman"/>
          <w:sz w:val="24"/>
          <w:szCs w:val="24"/>
        </w:rPr>
        <w:t xml:space="preserve"> „Der Sinn der Verwendung eines Prädikats – seine </w:t>
      </w:r>
      <w:r w:rsidR="0079095C" w:rsidRPr="009404FC">
        <w:rPr>
          <w:rFonts w:ascii="Times New Roman" w:hAnsi="Times New Roman" w:cs="Times New Roman"/>
          <w:sz w:val="24"/>
          <w:szCs w:val="24"/>
        </w:rPr>
        <w:lastRenderedPageBreak/>
        <w:t>Funktion – ist, … dass wir damit einen Gegenstand klassifizieren (verg</w:t>
      </w:r>
      <w:r w:rsidR="00804840">
        <w:rPr>
          <w:rFonts w:ascii="Times New Roman" w:hAnsi="Times New Roman" w:cs="Times New Roman"/>
          <w:sz w:val="24"/>
          <w:szCs w:val="24"/>
        </w:rPr>
        <w:t>leichen-und-unterscheiden).“</w:t>
      </w:r>
      <w:r w:rsidR="00804840">
        <w:rPr>
          <w:rStyle w:val="Funotenzeichen"/>
          <w:rFonts w:ascii="Times New Roman" w:hAnsi="Times New Roman" w:cs="Times New Roman"/>
          <w:sz w:val="24"/>
          <w:szCs w:val="24"/>
        </w:rPr>
        <w:footnoteReference w:id="13"/>
      </w:r>
      <w:r w:rsidR="0079095C" w:rsidRPr="009404FC">
        <w:rPr>
          <w:rFonts w:ascii="Times New Roman" w:hAnsi="Times New Roman" w:cs="Times New Roman"/>
          <w:sz w:val="24"/>
          <w:szCs w:val="24"/>
        </w:rPr>
        <w:t xml:space="preserve"> Dieses Vergleichen und Unterscheiden findet nach Kant </w:t>
      </w:r>
      <w:r w:rsidR="0013709A" w:rsidRPr="009404FC">
        <w:rPr>
          <w:rFonts w:ascii="Times New Roman" w:hAnsi="Times New Roman" w:cs="Times New Roman"/>
          <w:sz w:val="24"/>
          <w:szCs w:val="24"/>
        </w:rPr>
        <w:t>in der Form der Systematisierung der Dinge nach Gattung</w:t>
      </w:r>
      <w:r w:rsidR="006364FA">
        <w:rPr>
          <w:rFonts w:ascii="Times New Roman" w:hAnsi="Times New Roman" w:cs="Times New Roman"/>
          <w:sz w:val="24"/>
          <w:szCs w:val="24"/>
        </w:rPr>
        <w:t>en</w:t>
      </w:r>
      <w:r w:rsidR="0013709A" w:rsidRPr="009404FC">
        <w:rPr>
          <w:rFonts w:ascii="Times New Roman" w:hAnsi="Times New Roman" w:cs="Times New Roman"/>
          <w:sz w:val="24"/>
          <w:szCs w:val="24"/>
        </w:rPr>
        <w:t>, Art</w:t>
      </w:r>
      <w:r w:rsidR="009D0E8E" w:rsidRPr="009404FC">
        <w:rPr>
          <w:rFonts w:ascii="Times New Roman" w:hAnsi="Times New Roman" w:cs="Times New Roman"/>
          <w:sz w:val="24"/>
          <w:szCs w:val="24"/>
        </w:rPr>
        <w:t>en</w:t>
      </w:r>
      <w:r w:rsidR="0013709A" w:rsidRPr="009404FC">
        <w:rPr>
          <w:rFonts w:ascii="Times New Roman" w:hAnsi="Times New Roman" w:cs="Times New Roman"/>
          <w:sz w:val="24"/>
          <w:szCs w:val="24"/>
        </w:rPr>
        <w:t>, Unterart</w:t>
      </w:r>
      <w:r w:rsidR="009D0E8E" w:rsidRPr="009404FC">
        <w:rPr>
          <w:rFonts w:ascii="Times New Roman" w:hAnsi="Times New Roman" w:cs="Times New Roman"/>
          <w:sz w:val="24"/>
          <w:szCs w:val="24"/>
        </w:rPr>
        <w:t>en</w:t>
      </w:r>
      <w:r w:rsidR="0013709A" w:rsidRPr="009404FC">
        <w:rPr>
          <w:rFonts w:ascii="Times New Roman" w:hAnsi="Times New Roman" w:cs="Times New Roman"/>
          <w:sz w:val="24"/>
          <w:szCs w:val="24"/>
        </w:rPr>
        <w:t xml:space="preserve"> und schließlich Individuen statt. </w:t>
      </w:r>
    </w:p>
    <w:p w:rsidR="00C64D7C" w:rsidRPr="009404FC" w:rsidRDefault="00C64D7C" w:rsidP="009404FC">
      <w:pPr>
        <w:spacing w:line="360" w:lineRule="auto"/>
        <w:rPr>
          <w:rFonts w:ascii="Times New Roman" w:hAnsi="Times New Roman" w:cs="Times New Roman"/>
          <w:sz w:val="24"/>
          <w:szCs w:val="24"/>
        </w:rPr>
      </w:pPr>
    </w:p>
    <w:p w:rsidR="00BB72B9" w:rsidRPr="00AC1C73" w:rsidRDefault="00BB72B9" w:rsidP="003C6E19">
      <w:pPr>
        <w:pStyle w:val="Listenabsatz"/>
        <w:numPr>
          <w:ilvl w:val="0"/>
          <w:numId w:val="1"/>
        </w:numPr>
        <w:spacing w:line="360" w:lineRule="auto"/>
        <w:rPr>
          <w:rFonts w:ascii="Times New Roman" w:hAnsi="Times New Roman" w:cs="Times New Roman"/>
          <w:sz w:val="24"/>
          <w:szCs w:val="24"/>
          <w:u w:val="single"/>
        </w:rPr>
      </w:pPr>
      <w:r w:rsidRPr="00AC1C73">
        <w:rPr>
          <w:rFonts w:ascii="Times New Roman" w:hAnsi="Times New Roman" w:cs="Times New Roman"/>
          <w:sz w:val="24"/>
          <w:szCs w:val="24"/>
          <w:u w:val="single"/>
        </w:rPr>
        <w:t>Die Urteilsformen</w:t>
      </w:r>
    </w:p>
    <w:p w:rsidR="007D371A" w:rsidRPr="009404FC" w:rsidRDefault="00BD783A"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Kants Lehre der Funktionen von Begriffen in Urteilen mach</w:t>
      </w:r>
      <w:r w:rsidR="009B0ECD" w:rsidRPr="009404FC">
        <w:rPr>
          <w:rFonts w:ascii="Times New Roman" w:hAnsi="Times New Roman" w:cs="Times New Roman"/>
          <w:sz w:val="24"/>
          <w:szCs w:val="24"/>
        </w:rPr>
        <w:t>t</w:t>
      </w:r>
      <w:r w:rsidRPr="009404FC">
        <w:rPr>
          <w:rFonts w:ascii="Times New Roman" w:hAnsi="Times New Roman" w:cs="Times New Roman"/>
          <w:sz w:val="24"/>
          <w:szCs w:val="24"/>
        </w:rPr>
        <w:t xml:space="preserve"> keineswegs eine ganz eigenständige Disziplin aus, </w:t>
      </w:r>
      <w:r w:rsidR="009B0ECD" w:rsidRPr="009404FC">
        <w:rPr>
          <w:rFonts w:ascii="Times New Roman" w:hAnsi="Times New Roman" w:cs="Times New Roman"/>
          <w:sz w:val="24"/>
          <w:szCs w:val="24"/>
        </w:rPr>
        <w:t>sondern führt zur Bestimmung von Urteilen bestimmter Formen, denn von „Begriffen kann der Verstand keinen anderen Gebrauch machen, als dass</w:t>
      </w:r>
      <w:r w:rsidR="00804840">
        <w:rPr>
          <w:rFonts w:ascii="Times New Roman" w:hAnsi="Times New Roman" w:cs="Times New Roman"/>
          <w:sz w:val="24"/>
          <w:szCs w:val="24"/>
        </w:rPr>
        <w:t xml:space="preserve"> er dadurch urteilt“</w:t>
      </w:r>
      <w:r w:rsidR="00804840">
        <w:rPr>
          <w:rStyle w:val="Funotenzeichen"/>
          <w:rFonts w:ascii="Times New Roman" w:hAnsi="Times New Roman" w:cs="Times New Roman"/>
          <w:sz w:val="24"/>
          <w:szCs w:val="24"/>
        </w:rPr>
        <w:footnoteReference w:id="14"/>
      </w:r>
      <w:r w:rsidR="0013709A" w:rsidRPr="009404FC">
        <w:rPr>
          <w:rFonts w:ascii="Times New Roman" w:hAnsi="Times New Roman" w:cs="Times New Roman"/>
          <w:sz w:val="24"/>
          <w:szCs w:val="24"/>
        </w:rPr>
        <w:t xml:space="preserve">. In </w:t>
      </w:r>
      <w:r w:rsidR="0093208B" w:rsidRPr="009404FC">
        <w:rPr>
          <w:rFonts w:ascii="Times New Roman" w:hAnsi="Times New Roman" w:cs="Times New Roman"/>
          <w:sz w:val="24"/>
          <w:szCs w:val="24"/>
        </w:rPr>
        <w:t>sog. ´kategorischen´</w:t>
      </w:r>
      <w:r w:rsidR="00453B5C" w:rsidRPr="009404FC">
        <w:rPr>
          <w:rFonts w:ascii="Times New Roman" w:hAnsi="Times New Roman" w:cs="Times New Roman"/>
          <w:sz w:val="24"/>
          <w:szCs w:val="24"/>
        </w:rPr>
        <w:t xml:space="preserve"> </w:t>
      </w:r>
      <w:r w:rsidR="0013709A" w:rsidRPr="009404FC">
        <w:rPr>
          <w:rFonts w:ascii="Times New Roman" w:hAnsi="Times New Roman" w:cs="Times New Roman"/>
          <w:sz w:val="24"/>
          <w:szCs w:val="24"/>
        </w:rPr>
        <w:t xml:space="preserve">Urteilen erster Stufe wird </w:t>
      </w:r>
      <w:r w:rsidR="009B0ECD" w:rsidRPr="009404FC">
        <w:rPr>
          <w:rFonts w:ascii="Times New Roman" w:hAnsi="Times New Roman" w:cs="Times New Roman"/>
          <w:sz w:val="24"/>
          <w:szCs w:val="24"/>
        </w:rPr>
        <w:t xml:space="preserve">irgendwelchen qualitativ oder numerisch ganz </w:t>
      </w:r>
      <w:r w:rsidR="0013709A" w:rsidRPr="009404FC">
        <w:rPr>
          <w:rFonts w:ascii="Times New Roman" w:hAnsi="Times New Roman" w:cs="Times New Roman"/>
          <w:sz w:val="24"/>
          <w:szCs w:val="24"/>
        </w:rPr>
        <w:t>unbestimmten Dingen irgendeine</w:t>
      </w:r>
      <w:r w:rsidR="009B0ECD" w:rsidRPr="009404FC">
        <w:rPr>
          <w:rFonts w:ascii="Times New Roman" w:hAnsi="Times New Roman" w:cs="Times New Roman"/>
          <w:sz w:val="24"/>
          <w:szCs w:val="24"/>
        </w:rPr>
        <w:t xml:space="preserve"> </w:t>
      </w:r>
      <w:r w:rsidR="00FC4F51">
        <w:rPr>
          <w:rFonts w:ascii="Times New Roman" w:hAnsi="Times New Roman" w:cs="Times New Roman"/>
          <w:sz w:val="24"/>
          <w:szCs w:val="24"/>
        </w:rPr>
        <w:t>qualitativ</w:t>
      </w:r>
      <w:r w:rsidR="00453B5C" w:rsidRPr="009404FC">
        <w:rPr>
          <w:rFonts w:ascii="Times New Roman" w:hAnsi="Times New Roman" w:cs="Times New Roman"/>
          <w:sz w:val="24"/>
          <w:szCs w:val="24"/>
        </w:rPr>
        <w:t xml:space="preserve"> n</w:t>
      </w:r>
      <w:r w:rsidR="006364FA">
        <w:rPr>
          <w:rFonts w:ascii="Times New Roman" w:hAnsi="Times New Roman" w:cs="Times New Roman"/>
          <w:sz w:val="24"/>
          <w:szCs w:val="24"/>
        </w:rPr>
        <w:t>icht allgemein zu beschreibende Eigenschaft</w:t>
      </w:r>
      <w:r w:rsidR="00453B5C" w:rsidRPr="009404FC">
        <w:rPr>
          <w:rFonts w:ascii="Times New Roman" w:hAnsi="Times New Roman" w:cs="Times New Roman"/>
          <w:sz w:val="24"/>
          <w:szCs w:val="24"/>
        </w:rPr>
        <w:t xml:space="preserve"> zu- oder abgesprochen. </w:t>
      </w:r>
      <w:r w:rsidR="007D371A" w:rsidRPr="009404FC">
        <w:rPr>
          <w:rFonts w:ascii="Times New Roman" w:hAnsi="Times New Roman" w:cs="Times New Roman"/>
          <w:sz w:val="24"/>
          <w:szCs w:val="24"/>
        </w:rPr>
        <w:t>Die Form der Verbindung von Subjekt- und Prädikatbegriff, die „Kopula“ kategorischer Urteile ist entweder die der „Einstimmung</w:t>
      </w:r>
      <w:r w:rsidR="00804840">
        <w:rPr>
          <w:rFonts w:ascii="Times New Roman" w:hAnsi="Times New Roman" w:cs="Times New Roman"/>
          <w:sz w:val="24"/>
          <w:szCs w:val="24"/>
        </w:rPr>
        <w:t>“ oder die des „Widerstreits“</w:t>
      </w:r>
      <w:r w:rsidR="00804840">
        <w:rPr>
          <w:rStyle w:val="Funotenzeichen"/>
          <w:rFonts w:ascii="Times New Roman" w:hAnsi="Times New Roman" w:cs="Times New Roman"/>
          <w:sz w:val="24"/>
          <w:szCs w:val="24"/>
        </w:rPr>
        <w:footnoteReference w:id="15"/>
      </w:r>
      <w:r w:rsidR="007D371A" w:rsidRPr="009404FC">
        <w:rPr>
          <w:rFonts w:ascii="Times New Roman" w:hAnsi="Times New Roman" w:cs="Times New Roman"/>
          <w:sz w:val="24"/>
          <w:szCs w:val="24"/>
        </w:rPr>
        <w:t>, d.h. alle kategorischen Urteile sind entweder beja</w:t>
      </w:r>
      <w:r w:rsidR="00804840">
        <w:rPr>
          <w:rFonts w:ascii="Times New Roman" w:hAnsi="Times New Roman" w:cs="Times New Roman"/>
          <w:sz w:val="24"/>
          <w:szCs w:val="24"/>
        </w:rPr>
        <w:t>hende oder verneinende Urteile</w:t>
      </w:r>
      <w:r w:rsidR="00804840">
        <w:rPr>
          <w:rStyle w:val="Funotenzeichen"/>
          <w:rFonts w:ascii="Times New Roman" w:hAnsi="Times New Roman" w:cs="Times New Roman"/>
          <w:sz w:val="24"/>
          <w:szCs w:val="24"/>
        </w:rPr>
        <w:footnoteReference w:id="16"/>
      </w:r>
      <w:r w:rsidR="007D371A" w:rsidRPr="009404FC">
        <w:rPr>
          <w:rFonts w:ascii="Times New Roman" w:hAnsi="Times New Roman" w:cs="Times New Roman"/>
          <w:sz w:val="24"/>
          <w:szCs w:val="24"/>
        </w:rPr>
        <w:t>. In einem widerspruchsfreien Urteil darf einem Ding keine Eigenschaft abgesprochen werden, d</w:t>
      </w:r>
      <w:r w:rsidR="005C135F" w:rsidRPr="009404FC">
        <w:rPr>
          <w:rFonts w:ascii="Times New Roman" w:hAnsi="Times New Roman" w:cs="Times New Roman"/>
          <w:sz w:val="24"/>
          <w:szCs w:val="24"/>
        </w:rPr>
        <w:t>e</w:t>
      </w:r>
      <w:r w:rsidR="007D371A" w:rsidRPr="009404FC">
        <w:rPr>
          <w:rFonts w:ascii="Times New Roman" w:hAnsi="Times New Roman" w:cs="Times New Roman"/>
          <w:sz w:val="24"/>
          <w:szCs w:val="24"/>
        </w:rPr>
        <w:t>ren Begriff in dem Begriff von diesem Ding als Teilbegriff „schon (obgleich ve</w:t>
      </w:r>
      <w:r w:rsidR="007334C6">
        <w:rPr>
          <w:rFonts w:ascii="Times New Roman" w:hAnsi="Times New Roman" w:cs="Times New Roman"/>
          <w:sz w:val="24"/>
          <w:szCs w:val="24"/>
        </w:rPr>
        <w:t>rworren) gedacht“ wird</w:t>
      </w:r>
      <w:r w:rsidR="007334C6">
        <w:rPr>
          <w:rStyle w:val="Funotenzeichen"/>
          <w:rFonts w:ascii="Times New Roman" w:hAnsi="Times New Roman" w:cs="Times New Roman"/>
          <w:sz w:val="24"/>
          <w:szCs w:val="24"/>
        </w:rPr>
        <w:footnoteReference w:id="17"/>
      </w:r>
      <w:r w:rsidR="009D0E8E" w:rsidRPr="009404FC">
        <w:rPr>
          <w:rFonts w:ascii="Times New Roman" w:hAnsi="Times New Roman" w:cs="Times New Roman"/>
          <w:sz w:val="24"/>
          <w:szCs w:val="24"/>
        </w:rPr>
        <w:t>, und</w:t>
      </w:r>
      <w:r w:rsidR="007D371A" w:rsidRPr="009404FC">
        <w:rPr>
          <w:rFonts w:ascii="Times New Roman" w:hAnsi="Times New Roman" w:cs="Times New Roman"/>
          <w:sz w:val="24"/>
          <w:szCs w:val="24"/>
        </w:rPr>
        <w:t xml:space="preserve"> es darf ihm keine Eigenschaft zugesprochen werden, die mit einer seiner im Subjektbegriff erfassten </w:t>
      </w:r>
      <w:r w:rsidR="009D0E8E" w:rsidRPr="009404FC">
        <w:rPr>
          <w:rFonts w:ascii="Times New Roman" w:hAnsi="Times New Roman" w:cs="Times New Roman"/>
          <w:sz w:val="24"/>
          <w:szCs w:val="24"/>
        </w:rPr>
        <w:t>Eigenschaften unverträglich ist;</w:t>
      </w:r>
      <w:r w:rsidR="007D371A" w:rsidRPr="009404FC">
        <w:rPr>
          <w:rFonts w:ascii="Times New Roman" w:hAnsi="Times New Roman" w:cs="Times New Roman"/>
          <w:sz w:val="24"/>
          <w:szCs w:val="24"/>
        </w:rPr>
        <w:t xml:space="preserve"> d.</w:t>
      </w:r>
      <w:r w:rsidR="00F50809">
        <w:rPr>
          <w:rFonts w:ascii="Times New Roman" w:hAnsi="Times New Roman" w:cs="Times New Roman"/>
          <w:sz w:val="24"/>
          <w:szCs w:val="24"/>
        </w:rPr>
        <w:t xml:space="preserve">h. in formaler Betrachtung, es </w:t>
      </w:r>
      <w:r w:rsidR="007D371A" w:rsidRPr="009404FC">
        <w:rPr>
          <w:rFonts w:ascii="Times New Roman" w:hAnsi="Times New Roman" w:cs="Times New Roman"/>
          <w:sz w:val="24"/>
          <w:szCs w:val="24"/>
        </w:rPr>
        <w:t>darf einem „Ding = A, welches etwas = B ist“</w:t>
      </w:r>
      <w:r w:rsidR="005C135F" w:rsidRPr="009404FC">
        <w:rPr>
          <w:rFonts w:ascii="Times New Roman" w:hAnsi="Times New Roman" w:cs="Times New Roman"/>
          <w:sz w:val="24"/>
          <w:szCs w:val="24"/>
        </w:rPr>
        <w:t>, nicht die Eigenscha</w:t>
      </w:r>
      <w:r w:rsidR="00F50809">
        <w:rPr>
          <w:rFonts w:ascii="Times New Roman" w:hAnsi="Times New Roman" w:cs="Times New Roman"/>
          <w:sz w:val="24"/>
          <w:szCs w:val="24"/>
        </w:rPr>
        <w:t>ft zugesprochen werden</w:t>
      </w:r>
      <w:r w:rsidR="00804840">
        <w:rPr>
          <w:rFonts w:ascii="Times New Roman" w:hAnsi="Times New Roman" w:cs="Times New Roman"/>
          <w:sz w:val="24"/>
          <w:szCs w:val="24"/>
        </w:rPr>
        <w:t>, „non B“ zu sein</w:t>
      </w:r>
      <w:r w:rsidR="00804840">
        <w:rPr>
          <w:rStyle w:val="Funotenzeichen"/>
          <w:rFonts w:ascii="Times New Roman" w:hAnsi="Times New Roman" w:cs="Times New Roman"/>
          <w:sz w:val="24"/>
          <w:szCs w:val="24"/>
        </w:rPr>
        <w:footnoteReference w:id="18"/>
      </w:r>
      <w:r w:rsidR="005C135F" w:rsidRPr="009404FC">
        <w:rPr>
          <w:rFonts w:ascii="Times New Roman" w:hAnsi="Times New Roman" w:cs="Times New Roman"/>
          <w:sz w:val="24"/>
          <w:szCs w:val="24"/>
        </w:rPr>
        <w:t xml:space="preserve"> oder </w:t>
      </w:r>
      <w:r w:rsidR="00F50809">
        <w:rPr>
          <w:rFonts w:ascii="Times New Roman" w:hAnsi="Times New Roman" w:cs="Times New Roman"/>
          <w:sz w:val="24"/>
          <w:szCs w:val="24"/>
        </w:rPr>
        <w:t>ihm die Eigenschaft B abgesprochen werden</w:t>
      </w:r>
      <w:r w:rsidR="005C135F" w:rsidRPr="009404FC">
        <w:rPr>
          <w:rFonts w:ascii="Times New Roman" w:hAnsi="Times New Roman" w:cs="Times New Roman"/>
          <w:sz w:val="24"/>
          <w:szCs w:val="24"/>
        </w:rPr>
        <w:t xml:space="preserve">. </w:t>
      </w:r>
    </w:p>
    <w:p w:rsidR="005C135F" w:rsidRPr="00751822" w:rsidRDefault="005C135F" w:rsidP="006364FA">
      <w:pPr>
        <w:spacing w:line="240" w:lineRule="auto"/>
        <w:ind w:left="708"/>
        <w:rPr>
          <w:rFonts w:ascii="Times New Roman" w:hAnsi="Times New Roman" w:cs="Times New Roman"/>
        </w:rPr>
      </w:pPr>
      <w:r w:rsidRPr="00751822">
        <w:rPr>
          <w:rFonts w:ascii="Times New Roman" w:hAnsi="Times New Roman" w:cs="Times New Roman"/>
        </w:rPr>
        <w:t xml:space="preserve">Der Unterschied zwischen der Verbindung der Vorstellungen in einem Begriff und der in einem Urteil z.B. der schwarze Mensch und der Mensch ist schwarz, </w:t>
      </w:r>
      <w:r w:rsidR="007D4EC0">
        <w:rPr>
          <w:rFonts w:ascii="Times New Roman" w:hAnsi="Times New Roman" w:cs="Times New Roman"/>
        </w:rPr>
        <w:t>[</w:t>
      </w:r>
      <w:r w:rsidRPr="00751822">
        <w:rPr>
          <w:rFonts w:ascii="Times New Roman" w:hAnsi="Times New Roman" w:cs="Times New Roman"/>
        </w:rPr>
        <w:t>…</w:t>
      </w:r>
      <w:r w:rsidR="007D4EC0">
        <w:rPr>
          <w:rFonts w:ascii="Times New Roman" w:hAnsi="Times New Roman" w:cs="Times New Roman"/>
        </w:rPr>
        <w:t>]</w:t>
      </w:r>
      <w:r w:rsidRPr="00751822">
        <w:rPr>
          <w:rFonts w:ascii="Times New Roman" w:hAnsi="Times New Roman" w:cs="Times New Roman"/>
        </w:rPr>
        <w:t xml:space="preserve"> liegt </w:t>
      </w:r>
      <w:r w:rsidR="007D4EC0">
        <w:rPr>
          <w:rFonts w:ascii="Times New Roman" w:hAnsi="Times New Roman" w:cs="Times New Roman"/>
        </w:rPr>
        <w:t>[</w:t>
      </w:r>
      <w:r w:rsidRPr="00751822">
        <w:rPr>
          <w:rFonts w:ascii="Times New Roman" w:hAnsi="Times New Roman" w:cs="Times New Roman"/>
        </w:rPr>
        <w:t>…</w:t>
      </w:r>
      <w:r w:rsidR="007D4EC0">
        <w:rPr>
          <w:rFonts w:ascii="Times New Roman" w:hAnsi="Times New Roman" w:cs="Times New Roman"/>
        </w:rPr>
        <w:t>]</w:t>
      </w:r>
      <w:r w:rsidRPr="00751822">
        <w:rPr>
          <w:rFonts w:ascii="Times New Roman" w:hAnsi="Times New Roman" w:cs="Times New Roman"/>
        </w:rPr>
        <w:t xml:space="preserve"> darin, dass im ersteren ein Begriff als bestimmt im zweiten die Handlung meines Bestimme</w:t>
      </w:r>
      <w:r w:rsidR="00751822" w:rsidRPr="00751822">
        <w:rPr>
          <w:rFonts w:ascii="Times New Roman" w:hAnsi="Times New Roman" w:cs="Times New Roman"/>
        </w:rPr>
        <w:t>ns dieses Begriffs gedacht wird</w:t>
      </w:r>
      <w:r w:rsidR="00804840">
        <w:rPr>
          <w:rFonts w:ascii="Times New Roman" w:hAnsi="Times New Roman" w:cs="Times New Roman"/>
        </w:rPr>
        <w:t>.</w:t>
      </w:r>
      <w:r w:rsidR="00804840">
        <w:rPr>
          <w:rStyle w:val="Funotenzeichen"/>
          <w:rFonts w:ascii="Times New Roman" w:hAnsi="Times New Roman" w:cs="Times New Roman"/>
        </w:rPr>
        <w:footnoteReference w:id="19"/>
      </w:r>
    </w:p>
    <w:p w:rsidR="006364FA" w:rsidRPr="009404FC" w:rsidRDefault="006364FA" w:rsidP="006364FA">
      <w:pPr>
        <w:spacing w:line="240" w:lineRule="auto"/>
        <w:ind w:left="708"/>
        <w:rPr>
          <w:rFonts w:ascii="Times New Roman" w:hAnsi="Times New Roman" w:cs="Times New Roman"/>
          <w:sz w:val="24"/>
          <w:szCs w:val="24"/>
        </w:rPr>
      </w:pPr>
    </w:p>
    <w:p w:rsidR="009D0E8E" w:rsidRPr="009404FC" w:rsidRDefault="009D0E8E"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Die Bildung von Begriffen durch die Zusprechung oder Verbindung von Merkmalen geschieht in synthetischen Urteilen. Urteile, in denen der Inhalt eines</w:t>
      </w:r>
      <w:r w:rsidR="00006216" w:rsidRPr="009404FC">
        <w:rPr>
          <w:rFonts w:ascii="Times New Roman" w:hAnsi="Times New Roman" w:cs="Times New Roman"/>
          <w:sz w:val="24"/>
          <w:szCs w:val="24"/>
        </w:rPr>
        <w:t xml:space="preserve"> zuvor</w:t>
      </w:r>
      <w:r w:rsidRPr="009404FC">
        <w:rPr>
          <w:rFonts w:ascii="Times New Roman" w:hAnsi="Times New Roman" w:cs="Times New Roman"/>
          <w:sz w:val="24"/>
          <w:szCs w:val="24"/>
        </w:rPr>
        <w:t xml:space="preserve"> </w:t>
      </w:r>
      <w:r w:rsidR="00006216" w:rsidRPr="009404FC">
        <w:rPr>
          <w:rFonts w:ascii="Times New Roman" w:hAnsi="Times New Roman" w:cs="Times New Roman"/>
          <w:sz w:val="24"/>
          <w:szCs w:val="24"/>
        </w:rPr>
        <w:t xml:space="preserve">– mehr oder </w:t>
      </w:r>
      <w:r w:rsidR="00006216" w:rsidRPr="009404FC">
        <w:rPr>
          <w:rFonts w:ascii="Times New Roman" w:hAnsi="Times New Roman" w:cs="Times New Roman"/>
          <w:sz w:val="24"/>
          <w:szCs w:val="24"/>
        </w:rPr>
        <w:lastRenderedPageBreak/>
        <w:t xml:space="preserve">weniger bewusst - </w:t>
      </w:r>
      <w:r w:rsidRPr="009404FC">
        <w:rPr>
          <w:rFonts w:ascii="Times New Roman" w:hAnsi="Times New Roman" w:cs="Times New Roman"/>
          <w:sz w:val="24"/>
          <w:szCs w:val="24"/>
        </w:rPr>
        <w:t xml:space="preserve">gebildeten komplexen Begriffs </w:t>
      </w:r>
      <w:r w:rsidR="00006216" w:rsidRPr="009404FC">
        <w:rPr>
          <w:rFonts w:ascii="Times New Roman" w:hAnsi="Times New Roman" w:cs="Times New Roman"/>
          <w:sz w:val="24"/>
          <w:szCs w:val="24"/>
        </w:rPr>
        <w:t>verdeutlicht wird wie ´Junggesellen sind unverheiratet´, nennt Kant analytische Urteile. Der Begriff des Analytischen umfasst also nicht alle rein formalen Wahrheiten</w:t>
      </w:r>
      <w:r w:rsidR="00DD6C23" w:rsidRPr="009404FC">
        <w:rPr>
          <w:rFonts w:ascii="Times New Roman" w:hAnsi="Times New Roman" w:cs="Times New Roman"/>
          <w:sz w:val="24"/>
          <w:szCs w:val="24"/>
        </w:rPr>
        <w:t xml:space="preserve">, nicht z.B. ´Es gibt Götter oder es gibt keine Götter´. </w:t>
      </w:r>
    </w:p>
    <w:p w:rsidR="007D371A" w:rsidRPr="009404FC" w:rsidRDefault="005C135F"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Begriffe, deren Merkmalsgehalt negativ bestimmt ist, wie z.B. der Begriff ´unsterblich´ werden nach Kant in d</w:t>
      </w:r>
      <w:r w:rsidR="0056725D" w:rsidRPr="009404FC">
        <w:rPr>
          <w:rFonts w:ascii="Times New Roman" w:hAnsi="Times New Roman" w:cs="Times New Roman"/>
          <w:sz w:val="24"/>
          <w:szCs w:val="24"/>
        </w:rPr>
        <w:t>e</w:t>
      </w:r>
      <w:r w:rsidRPr="009404FC">
        <w:rPr>
          <w:rFonts w:ascii="Times New Roman" w:hAnsi="Times New Roman" w:cs="Times New Roman"/>
          <w:sz w:val="24"/>
          <w:szCs w:val="24"/>
        </w:rPr>
        <w:t xml:space="preserve">r </w:t>
      </w:r>
      <w:r w:rsidR="0056725D" w:rsidRPr="009404FC">
        <w:rPr>
          <w:rFonts w:ascii="Times New Roman" w:hAnsi="Times New Roman" w:cs="Times New Roman"/>
          <w:sz w:val="24"/>
          <w:szCs w:val="24"/>
        </w:rPr>
        <w:t>a</w:t>
      </w:r>
      <w:r w:rsidRPr="009404FC">
        <w:rPr>
          <w:rFonts w:ascii="Times New Roman" w:hAnsi="Times New Roman" w:cs="Times New Roman"/>
          <w:sz w:val="24"/>
          <w:szCs w:val="24"/>
        </w:rPr>
        <w:t>llgemeinen Logik nur in ihrem Gegensatz zu Begriffen mit demselben beliebigen, aber unnegierten Merkmalsgehalt</w:t>
      </w:r>
      <w:r w:rsidR="0056725D" w:rsidRPr="009404FC">
        <w:rPr>
          <w:rFonts w:ascii="Times New Roman" w:hAnsi="Times New Roman" w:cs="Times New Roman"/>
          <w:sz w:val="24"/>
          <w:szCs w:val="24"/>
        </w:rPr>
        <w:t>,</w:t>
      </w:r>
      <w:r w:rsidRPr="009404FC">
        <w:rPr>
          <w:rFonts w:ascii="Times New Roman" w:hAnsi="Times New Roman" w:cs="Times New Roman"/>
          <w:sz w:val="24"/>
          <w:szCs w:val="24"/>
        </w:rPr>
        <w:t xml:space="preserve"> nicht jedoch in ihrem positiven alternativen Merkmalsgehalt </w:t>
      </w:r>
      <w:r w:rsidR="0056725D" w:rsidRPr="009404FC">
        <w:rPr>
          <w:rFonts w:ascii="Times New Roman" w:hAnsi="Times New Roman" w:cs="Times New Roman"/>
          <w:sz w:val="24"/>
          <w:szCs w:val="24"/>
        </w:rPr>
        <w:t xml:space="preserve">(etwa ´ewig lebend´) </w:t>
      </w:r>
      <w:r w:rsidRPr="009404FC">
        <w:rPr>
          <w:rFonts w:ascii="Times New Roman" w:hAnsi="Times New Roman" w:cs="Times New Roman"/>
          <w:sz w:val="24"/>
          <w:szCs w:val="24"/>
        </w:rPr>
        <w:t>berücksichtigt. Negative Merkmalsgehalte sind damit inhaltlich nur so weit bestimmt, als ihr Inhalt von d</w:t>
      </w:r>
      <w:r w:rsidR="0056725D" w:rsidRPr="009404FC">
        <w:rPr>
          <w:rFonts w:ascii="Times New Roman" w:hAnsi="Times New Roman" w:cs="Times New Roman"/>
          <w:sz w:val="24"/>
          <w:szCs w:val="24"/>
        </w:rPr>
        <w:t>e</w:t>
      </w:r>
      <w:r w:rsidRPr="009404FC">
        <w:rPr>
          <w:rFonts w:ascii="Times New Roman" w:hAnsi="Times New Roman" w:cs="Times New Roman"/>
          <w:sz w:val="24"/>
          <w:szCs w:val="24"/>
        </w:rPr>
        <w:t xml:space="preserve">m eines beliebigen </w:t>
      </w:r>
      <w:r w:rsidR="0056725D" w:rsidRPr="009404FC">
        <w:rPr>
          <w:rFonts w:ascii="Times New Roman" w:hAnsi="Times New Roman" w:cs="Times New Roman"/>
          <w:sz w:val="24"/>
          <w:szCs w:val="24"/>
        </w:rPr>
        <w:t xml:space="preserve">bestimmten </w:t>
      </w:r>
      <w:r w:rsidRPr="009404FC">
        <w:rPr>
          <w:rFonts w:ascii="Times New Roman" w:hAnsi="Times New Roman" w:cs="Times New Roman"/>
          <w:sz w:val="24"/>
          <w:szCs w:val="24"/>
        </w:rPr>
        <w:t xml:space="preserve">positiven </w:t>
      </w:r>
      <w:r w:rsidR="0056725D" w:rsidRPr="009404FC">
        <w:rPr>
          <w:rFonts w:ascii="Times New Roman" w:hAnsi="Times New Roman" w:cs="Times New Roman"/>
          <w:sz w:val="24"/>
          <w:szCs w:val="24"/>
        </w:rPr>
        <w:t>Merkmals verschieden ist und irgendeiner der unendlich vielen möglichen anderen Begriffsinhalte sein kann. Kant nennt Urteile mit Prädikatbegriffen mit negativ bestimmtem Merkmalsgeh</w:t>
      </w:r>
      <w:r w:rsidR="00A54E19">
        <w:rPr>
          <w:rFonts w:ascii="Times New Roman" w:hAnsi="Times New Roman" w:cs="Times New Roman"/>
          <w:sz w:val="24"/>
          <w:szCs w:val="24"/>
        </w:rPr>
        <w:t>alt daher „unendliche Urteile“</w:t>
      </w:r>
      <w:r w:rsidR="00A54E19">
        <w:rPr>
          <w:rStyle w:val="Funotenzeichen"/>
          <w:rFonts w:ascii="Times New Roman" w:hAnsi="Times New Roman" w:cs="Times New Roman"/>
          <w:sz w:val="24"/>
          <w:szCs w:val="24"/>
        </w:rPr>
        <w:footnoteReference w:id="20"/>
      </w:r>
      <w:r w:rsidR="0056725D" w:rsidRPr="009404FC">
        <w:rPr>
          <w:rFonts w:ascii="Times New Roman" w:hAnsi="Times New Roman" w:cs="Times New Roman"/>
          <w:sz w:val="24"/>
          <w:szCs w:val="24"/>
        </w:rPr>
        <w:t>. Da die allgemeine Logik die Möglichkeit der Unterscheidung von Merkmalsgehalten jedoch nicht voraussetzen kann, muss sie Begriffe mit negativem und mit positivem Merkmalsgehalt gleichbehandeln. „In der allgemeinen Logik“ werden die unendlichen Urteile de</w:t>
      </w:r>
      <w:r w:rsidR="00A54E19">
        <w:rPr>
          <w:rFonts w:ascii="Times New Roman" w:hAnsi="Times New Roman" w:cs="Times New Roman"/>
          <w:sz w:val="24"/>
          <w:szCs w:val="24"/>
        </w:rPr>
        <w:t>mentsprechend den „bejahenden“</w:t>
      </w:r>
      <w:r w:rsidR="00A54E19">
        <w:rPr>
          <w:rStyle w:val="Funotenzeichen"/>
          <w:rFonts w:ascii="Times New Roman" w:hAnsi="Times New Roman" w:cs="Times New Roman"/>
          <w:sz w:val="24"/>
          <w:szCs w:val="24"/>
        </w:rPr>
        <w:footnoteReference w:id="21"/>
      </w:r>
      <w:r w:rsidR="0056725D" w:rsidRPr="009404FC">
        <w:rPr>
          <w:rFonts w:ascii="Times New Roman" w:hAnsi="Times New Roman" w:cs="Times New Roman"/>
          <w:sz w:val="24"/>
          <w:szCs w:val="24"/>
        </w:rPr>
        <w:t xml:space="preserve"> bzw. „den negativen Urtei</w:t>
      </w:r>
      <w:r w:rsidR="00A54E19">
        <w:rPr>
          <w:rFonts w:ascii="Times New Roman" w:hAnsi="Times New Roman" w:cs="Times New Roman"/>
          <w:sz w:val="24"/>
          <w:szCs w:val="24"/>
        </w:rPr>
        <w:t>len“ gleichgestellt.</w:t>
      </w:r>
      <w:r w:rsidR="00A54E19">
        <w:rPr>
          <w:rStyle w:val="Funotenzeichen"/>
          <w:rFonts w:ascii="Times New Roman" w:hAnsi="Times New Roman" w:cs="Times New Roman"/>
          <w:sz w:val="24"/>
          <w:szCs w:val="24"/>
        </w:rPr>
        <w:footnoteReference w:id="22"/>
      </w:r>
    </w:p>
    <w:p w:rsidR="007D371A" w:rsidRPr="009404FC" w:rsidRDefault="00833BE1"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Ihrer „Quantität“, d.h.</w:t>
      </w:r>
      <w:r w:rsidR="00EB484E" w:rsidRPr="009404FC">
        <w:rPr>
          <w:rFonts w:ascii="Times New Roman" w:hAnsi="Times New Roman" w:cs="Times New Roman"/>
          <w:sz w:val="24"/>
          <w:szCs w:val="24"/>
        </w:rPr>
        <w:t xml:space="preserve"> ihrem Umfang nach sind alle kategorischen Urteile „entweder allgemeine oder besondere oder einzelne, ja nachdem das Subjekt im Urteile entweder ganz von der Notation des Prädikats ein- oder ausgeschlossen, oder davon zum Teil nur ein-, zum </w:t>
      </w:r>
      <w:r w:rsidR="006364FA">
        <w:rPr>
          <w:rFonts w:ascii="Times New Roman" w:hAnsi="Times New Roman" w:cs="Times New Roman"/>
          <w:sz w:val="24"/>
          <w:szCs w:val="24"/>
        </w:rPr>
        <w:t>Teil ausgeschlosse</w:t>
      </w:r>
      <w:r w:rsidR="00D56180">
        <w:rPr>
          <w:rFonts w:ascii="Times New Roman" w:hAnsi="Times New Roman" w:cs="Times New Roman"/>
          <w:sz w:val="24"/>
          <w:szCs w:val="24"/>
        </w:rPr>
        <w:t>n ist“.</w:t>
      </w:r>
      <w:r w:rsidR="00D56180">
        <w:rPr>
          <w:rStyle w:val="Funotenzeichen"/>
          <w:rFonts w:ascii="Times New Roman" w:hAnsi="Times New Roman" w:cs="Times New Roman"/>
          <w:sz w:val="24"/>
          <w:szCs w:val="24"/>
        </w:rPr>
        <w:footnoteReference w:id="23"/>
      </w:r>
      <w:r w:rsidR="00DD6C23" w:rsidRPr="009404FC">
        <w:rPr>
          <w:rFonts w:ascii="Times New Roman" w:hAnsi="Times New Roman" w:cs="Times New Roman"/>
          <w:sz w:val="24"/>
          <w:szCs w:val="24"/>
        </w:rPr>
        <w:t xml:space="preserve"> </w:t>
      </w:r>
      <w:r w:rsidR="00EB484E" w:rsidRPr="009404FC">
        <w:rPr>
          <w:rFonts w:ascii="Times New Roman" w:hAnsi="Times New Roman" w:cs="Times New Roman"/>
          <w:sz w:val="24"/>
          <w:szCs w:val="24"/>
        </w:rPr>
        <w:t>Eine Verwendung von Individuenkonstanten oder von Variablen, die auf Elemente bestimmter Klassen bezogen werden können, würde Kant in der allgem</w:t>
      </w:r>
      <w:r w:rsidR="006364FA">
        <w:rPr>
          <w:rFonts w:ascii="Times New Roman" w:hAnsi="Times New Roman" w:cs="Times New Roman"/>
          <w:sz w:val="24"/>
          <w:szCs w:val="24"/>
        </w:rPr>
        <w:t>einen Logik ausschließen</w:t>
      </w:r>
      <w:r w:rsidR="00EB484E" w:rsidRPr="009404FC">
        <w:rPr>
          <w:rFonts w:ascii="Times New Roman" w:hAnsi="Times New Roman" w:cs="Times New Roman"/>
          <w:sz w:val="24"/>
          <w:szCs w:val="24"/>
        </w:rPr>
        <w:t>, da sie die Möglichkeit der Verwendung besonderer Kriterien zu Unterscheidung von Gegenständen voraussetzt</w:t>
      </w:r>
      <w:r w:rsidR="00103FF9" w:rsidRPr="009404FC">
        <w:rPr>
          <w:rFonts w:ascii="Times New Roman" w:hAnsi="Times New Roman" w:cs="Times New Roman"/>
          <w:sz w:val="24"/>
          <w:szCs w:val="24"/>
        </w:rPr>
        <w:t xml:space="preserve"> und diese Kriterien nicht allgemein gelten können. Welchen Inhalt sie auch immer haben mögen. „Einzelne Urteile“, in denen ein einzelnes Ding gekennzeichnet wird, können in der der allgemeinen, „bloß auf den Gebrauch der Urteile untereinander eingeschränkten Logik nicht berücksichtigt werden, sondern sind „den allgemeinen gleich zu schätzen, denn bei beiden gilt das Prädi</w:t>
      </w:r>
      <w:r w:rsidR="00D56180">
        <w:rPr>
          <w:rFonts w:ascii="Times New Roman" w:hAnsi="Times New Roman" w:cs="Times New Roman"/>
          <w:sz w:val="24"/>
          <w:szCs w:val="24"/>
        </w:rPr>
        <w:t>kat vom Subjekt ohne Ausnahme“</w:t>
      </w:r>
      <w:r w:rsidR="00D56180">
        <w:rPr>
          <w:rStyle w:val="Funotenzeichen"/>
          <w:rFonts w:ascii="Times New Roman" w:hAnsi="Times New Roman" w:cs="Times New Roman"/>
          <w:sz w:val="24"/>
          <w:szCs w:val="24"/>
        </w:rPr>
        <w:footnoteReference w:id="24"/>
      </w:r>
      <w:r w:rsidR="00103FF9" w:rsidRPr="009404FC">
        <w:rPr>
          <w:rFonts w:ascii="Times New Roman" w:hAnsi="Times New Roman" w:cs="Times New Roman"/>
          <w:sz w:val="24"/>
          <w:szCs w:val="24"/>
        </w:rPr>
        <w:t xml:space="preserve">. </w:t>
      </w:r>
    </w:p>
    <w:p w:rsidR="00103FF9" w:rsidRPr="009404FC" w:rsidRDefault="00103FF9"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lastRenderedPageBreak/>
        <w:t xml:space="preserve">Über ihre „innerlich[e] </w:t>
      </w:r>
      <w:r w:rsidR="00D56180">
        <w:rPr>
          <w:rFonts w:ascii="Times New Roman" w:hAnsi="Times New Roman" w:cs="Times New Roman"/>
          <w:sz w:val="24"/>
          <w:szCs w:val="24"/>
        </w:rPr>
        <w:t>logisch[e] Wahrheit“</w:t>
      </w:r>
      <w:r w:rsidR="00D56180">
        <w:rPr>
          <w:rStyle w:val="Funotenzeichen"/>
          <w:rFonts w:ascii="Times New Roman" w:hAnsi="Times New Roman" w:cs="Times New Roman"/>
          <w:sz w:val="24"/>
          <w:szCs w:val="24"/>
        </w:rPr>
        <w:footnoteReference w:id="25"/>
      </w:r>
      <w:r w:rsidRPr="009404FC">
        <w:rPr>
          <w:rFonts w:ascii="Times New Roman" w:hAnsi="Times New Roman" w:cs="Times New Roman"/>
          <w:sz w:val="24"/>
          <w:szCs w:val="24"/>
        </w:rPr>
        <w:t xml:space="preserve"> hinaus können kategorische Urteile zueinander in verschiedenen Verhältnissen stehen. Das „Kriterium der äußerlichen logischen Wahrheit“ ist „der Satz des zureichenden Grundes“</w:t>
      </w:r>
      <w:r w:rsidR="00160DFC" w:rsidRPr="009404FC">
        <w:rPr>
          <w:rFonts w:ascii="Times New Roman" w:hAnsi="Times New Roman" w:cs="Times New Roman"/>
          <w:sz w:val="24"/>
          <w:szCs w:val="24"/>
        </w:rPr>
        <w:t>; er betrifft den „logischen Zusammenhang“ kategorischer Urteile und bestimmt deren logis</w:t>
      </w:r>
      <w:r w:rsidR="00D56180">
        <w:rPr>
          <w:rFonts w:ascii="Times New Roman" w:hAnsi="Times New Roman" w:cs="Times New Roman"/>
          <w:sz w:val="24"/>
          <w:szCs w:val="24"/>
        </w:rPr>
        <w:t>che Korrektheit „positiv"</w:t>
      </w:r>
      <w:r w:rsidR="00D56180">
        <w:rPr>
          <w:rStyle w:val="Funotenzeichen"/>
          <w:rFonts w:ascii="Times New Roman" w:hAnsi="Times New Roman" w:cs="Times New Roman"/>
          <w:sz w:val="24"/>
          <w:szCs w:val="24"/>
        </w:rPr>
        <w:footnoteReference w:id="26"/>
      </w:r>
      <w:r w:rsidR="00160DFC" w:rsidRPr="009404FC">
        <w:rPr>
          <w:rFonts w:ascii="Times New Roman" w:hAnsi="Times New Roman" w:cs="Times New Roman"/>
          <w:sz w:val="24"/>
          <w:szCs w:val="24"/>
        </w:rPr>
        <w:t xml:space="preserve">. „Der äußere Gebrauch“ von Begriffen </w:t>
      </w:r>
      <w:r w:rsidR="00501EFB" w:rsidRPr="009404FC">
        <w:rPr>
          <w:rFonts w:ascii="Times New Roman" w:hAnsi="Times New Roman" w:cs="Times New Roman"/>
          <w:sz w:val="24"/>
          <w:szCs w:val="24"/>
        </w:rPr>
        <w:t>in kategorischen Urteilen „besteht in der Vergleichung, sofern wir durch Merkmale ein Ding mit anderen nach den Regeln der Identität oder D</w:t>
      </w:r>
      <w:r w:rsidR="00D56180">
        <w:rPr>
          <w:rFonts w:ascii="Times New Roman" w:hAnsi="Times New Roman" w:cs="Times New Roman"/>
          <w:sz w:val="24"/>
          <w:szCs w:val="24"/>
        </w:rPr>
        <w:t>iversität vergleichen können.“</w:t>
      </w:r>
      <w:r w:rsidR="00D56180">
        <w:rPr>
          <w:rStyle w:val="Funotenzeichen"/>
          <w:rFonts w:ascii="Times New Roman" w:hAnsi="Times New Roman" w:cs="Times New Roman"/>
          <w:sz w:val="24"/>
          <w:szCs w:val="24"/>
        </w:rPr>
        <w:footnoteReference w:id="27"/>
      </w:r>
      <w:r w:rsidR="00501EFB" w:rsidRPr="009404FC">
        <w:rPr>
          <w:rFonts w:ascii="Times New Roman" w:hAnsi="Times New Roman" w:cs="Times New Roman"/>
          <w:sz w:val="24"/>
          <w:szCs w:val="24"/>
        </w:rPr>
        <w:t xml:space="preserve"> Hierbei muss einerseits die Gesamtmenge der Dinge und müssen andererseits die besonderen Teilklassen dieser Dinge, von denen einige von anderen unterschieden werden sollen, durch Merkmale gekennzeichnet werden. Ob es sich hierbei um eine Unterscheidung von einzelnen Dingen oder von Gegenstandsklassen handelt, kann in der allgemeinen Logik nicht unterschieden werden, da „</w:t>
      </w:r>
      <w:r w:rsidR="008C35CB" w:rsidRPr="009404FC">
        <w:rPr>
          <w:rFonts w:ascii="Times New Roman" w:hAnsi="Times New Roman" w:cs="Times New Roman"/>
          <w:sz w:val="24"/>
          <w:szCs w:val="24"/>
        </w:rPr>
        <w:t xml:space="preserve">die einzelnen Urteile </w:t>
      </w:r>
      <w:r w:rsidR="007D4EC0">
        <w:rPr>
          <w:rFonts w:ascii="Times New Roman" w:hAnsi="Times New Roman" w:cs="Times New Roman"/>
          <w:sz w:val="24"/>
          <w:szCs w:val="24"/>
        </w:rPr>
        <w:t>[</w:t>
      </w:r>
      <w:r w:rsidR="008C35CB" w:rsidRPr="009404FC">
        <w:rPr>
          <w:rFonts w:ascii="Times New Roman" w:hAnsi="Times New Roman" w:cs="Times New Roman"/>
          <w:sz w:val="24"/>
          <w:szCs w:val="24"/>
        </w:rPr>
        <w:t>…</w:t>
      </w:r>
      <w:r w:rsidR="007D4EC0">
        <w:rPr>
          <w:rFonts w:ascii="Times New Roman" w:hAnsi="Times New Roman" w:cs="Times New Roman"/>
          <w:sz w:val="24"/>
          <w:szCs w:val="24"/>
        </w:rPr>
        <w:t>]</w:t>
      </w:r>
      <w:r w:rsidR="008C35CB" w:rsidRPr="009404FC">
        <w:rPr>
          <w:rFonts w:ascii="Times New Roman" w:hAnsi="Times New Roman" w:cs="Times New Roman"/>
          <w:sz w:val="24"/>
          <w:szCs w:val="24"/>
        </w:rPr>
        <w:t xml:space="preserve"> der logischen Form nach den allgemeinen</w:t>
      </w:r>
      <w:r w:rsidR="00593B77">
        <w:rPr>
          <w:rFonts w:ascii="Times New Roman" w:hAnsi="Times New Roman" w:cs="Times New Roman"/>
          <w:sz w:val="24"/>
          <w:szCs w:val="24"/>
        </w:rPr>
        <w:t xml:space="preserve"> gleich zu schätzen“</w:t>
      </w:r>
      <w:r w:rsidR="00D56180">
        <w:rPr>
          <w:rStyle w:val="Funotenzeichen"/>
          <w:rFonts w:ascii="Times New Roman" w:hAnsi="Times New Roman" w:cs="Times New Roman"/>
          <w:sz w:val="24"/>
          <w:szCs w:val="24"/>
        </w:rPr>
        <w:footnoteReference w:id="28"/>
      </w:r>
      <w:r w:rsidR="00593B77">
        <w:rPr>
          <w:rFonts w:ascii="Times New Roman" w:hAnsi="Times New Roman" w:cs="Times New Roman"/>
          <w:sz w:val="24"/>
          <w:szCs w:val="24"/>
        </w:rPr>
        <w:t xml:space="preserve"> sind</w:t>
      </w:r>
      <w:r w:rsidR="008C35CB" w:rsidRPr="009404FC">
        <w:rPr>
          <w:rFonts w:ascii="Times New Roman" w:hAnsi="Times New Roman" w:cs="Times New Roman"/>
          <w:sz w:val="24"/>
          <w:szCs w:val="24"/>
        </w:rPr>
        <w:t xml:space="preserve">. </w:t>
      </w:r>
    </w:p>
    <w:p w:rsidR="001A3658" w:rsidRPr="009404FC" w:rsidRDefault="008C35CB"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Eine begriffliche Unterscheidung von Dingen ist nach Kant nur dadurch möglich, dass jeweils zwei kategorische Urteile</w:t>
      </w:r>
      <w:r w:rsidR="002937A6">
        <w:rPr>
          <w:rFonts w:ascii="Times New Roman" w:hAnsi="Times New Roman" w:cs="Times New Roman"/>
          <w:sz w:val="24"/>
          <w:szCs w:val="24"/>
        </w:rPr>
        <w:t xml:space="preserve"> in übergeordneten sog. ´</w:t>
      </w:r>
      <w:r w:rsidR="0013709A" w:rsidRPr="009404FC">
        <w:rPr>
          <w:rFonts w:ascii="Times New Roman" w:hAnsi="Times New Roman" w:cs="Times New Roman"/>
          <w:sz w:val="24"/>
          <w:szCs w:val="24"/>
        </w:rPr>
        <w:t>hypothetisch</w:t>
      </w:r>
      <w:r w:rsidR="002937A6">
        <w:rPr>
          <w:rFonts w:ascii="Times New Roman" w:hAnsi="Times New Roman" w:cs="Times New Roman"/>
          <w:sz w:val="24"/>
          <w:szCs w:val="24"/>
        </w:rPr>
        <w:t>en´</w:t>
      </w:r>
      <w:r w:rsidR="00453B5C" w:rsidRPr="009404FC">
        <w:rPr>
          <w:rFonts w:ascii="Times New Roman" w:hAnsi="Times New Roman" w:cs="Times New Roman"/>
          <w:sz w:val="24"/>
          <w:szCs w:val="24"/>
        </w:rPr>
        <w:t xml:space="preserve"> Urteilen als notwendige bzw. hinreichende Bedingung so miteinander verbunden</w:t>
      </w:r>
      <w:r w:rsidRPr="009404FC">
        <w:rPr>
          <w:rFonts w:ascii="Times New Roman" w:hAnsi="Times New Roman" w:cs="Times New Roman"/>
          <w:sz w:val="24"/>
          <w:szCs w:val="24"/>
        </w:rPr>
        <w:t xml:space="preserve"> werden</w:t>
      </w:r>
      <w:r w:rsidR="00453B5C" w:rsidRPr="009404FC">
        <w:rPr>
          <w:rFonts w:ascii="Times New Roman" w:hAnsi="Times New Roman" w:cs="Times New Roman"/>
          <w:sz w:val="24"/>
          <w:szCs w:val="24"/>
        </w:rPr>
        <w:t xml:space="preserve">, dass ihre Prädikatbegriffe einander als Gattungs- bzw. Artbezeichnung untergeordnet werden. </w:t>
      </w:r>
      <w:r w:rsidR="002E3504" w:rsidRPr="009404FC">
        <w:rPr>
          <w:rFonts w:ascii="Times New Roman" w:hAnsi="Times New Roman" w:cs="Times New Roman"/>
          <w:sz w:val="24"/>
          <w:szCs w:val="24"/>
        </w:rPr>
        <w:t xml:space="preserve">Alles, was zu einer Art gehört, muss auch zur Gattung gehören, aber nicht umgekehrt. </w:t>
      </w:r>
      <w:r w:rsidR="00906A0E" w:rsidRPr="009404FC">
        <w:rPr>
          <w:rFonts w:ascii="Times New Roman" w:hAnsi="Times New Roman" w:cs="Times New Roman"/>
          <w:sz w:val="24"/>
          <w:szCs w:val="24"/>
        </w:rPr>
        <w:t xml:space="preserve">Der „Satz vom zureichenden Grund“ ist das „Kriterium der äußerlichen logischen Wahrheit oder der Rationabilität“ kategorischer Urteile, und er fordert, </w:t>
      </w:r>
      <w:r w:rsidR="001D0D44" w:rsidRPr="009404FC">
        <w:rPr>
          <w:rFonts w:ascii="Times New Roman" w:hAnsi="Times New Roman" w:cs="Times New Roman"/>
          <w:sz w:val="24"/>
          <w:szCs w:val="24"/>
        </w:rPr>
        <w:t xml:space="preserve">dass </w:t>
      </w:r>
      <w:r w:rsidR="008A071E" w:rsidRPr="009404FC">
        <w:rPr>
          <w:rFonts w:ascii="Times New Roman" w:hAnsi="Times New Roman" w:cs="Times New Roman"/>
          <w:sz w:val="24"/>
          <w:szCs w:val="24"/>
        </w:rPr>
        <w:t>jedes Urteil „logisch gegründet sei, d.h. dass es a) Gründe habe und b) nicht falsche Fol</w:t>
      </w:r>
      <w:r w:rsidR="00D56180">
        <w:rPr>
          <w:rFonts w:ascii="Times New Roman" w:hAnsi="Times New Roman" w:cs="Times New Roman"/>
          <w:sz w:val="24"/>
          <w:szCs w:val="24"/>
        </w:rPr>
        <w:t>gen habe“</w:t>
      </w:r>
      <w:r w:rsidR="00593B77">
        <w:rPr>
          <w:rFonts w:ascii="Times New Roman" w:hAnsi="Times New Roman" w:cs="Times New Roman"/>
          <w:sz w:val="24"/>
          <w:szCs w:val="24"/>
        </w:rPr>
        <w:t>.</w:t>
      </w:r>
      <w:r w:rsidR="00D56180">
        <w:rPr>
          <w:rStyle w:val="Funotenzeichen"/>
          <w:rFonts w:ascii="Times New Roman" w:hAnsi="Times New Roman" w:cs="Times New Roman"/>
          <w:sz w:val="24"/>
          <w:szCs w:val="24"/>
        </w:rPr>
        <w:footnoteReference w:id="29"/>
      </w:r>
      <w:r w:rsidR="008A071E" w:rsidRPr="009404FC">
        <w:rPr>
          <w:rFonts w:ascii="Times New Roman" w:hAnsi="Times New Roman" w:cs="Times New Roman"/>
          <w:sz w:val="24"/>
          <w:szCs w:val="24"/>
        </w:rPr>
        <w:t xml:space="preserve"> Nach dem modus ponens ist eine Verknüpfung von zwei kategorischen Urteilen als Grund und Folge nur dann korrekt, wenn man mit ihrer Hilfe aus der Wahrheit eines Grundes in jedem Falle auf die Wahrheit des mit ihm als Folge verknüpften Urteils schließen kann. Doch auch wenn das Prinzip des modus ponens erfüllt ist und jeder wahre Grund stets eine wahre Folge hat, kann aus der Wahrheit eines Folgesatzes nicht umgekehrt auf die Wahrheit eines bestimmten Grundes geschlossen werden, da die Folge verschiedene Gründe haben kann. </w:t>
      </w:r>
      <w:r w:rsidR="00906A0E" w:rsidRPr="009404FC">
        <w:rPr>
          <w:rFonts w:ascii="Times New Roman" w:hAnsi="Times New Roman" w:cs="Times New Roman"/>
          <w:sz w:val="24"/>
          <w:szCs w:val="24"/>
        </w:rPr>
        <w:t>Aus der Wahrheit des Folgesatze</w:t>
      </w:r>
      <w:r w:rsidR="00026961">
        <w:rPr>
          <w:rFonts w:ascii="Times New Roman" w:hAnsi="Times New Roman" w:cs="Times New Roman"/>
          <w:sz w:val="24"/>
          <w:szCs w:val="24"/>
        </w:rPr>
        <w:t>s</w:t>
      </w:r>
      <w:r w:rsidR="00906A0E" w:rsidRPr="009404FC">
        <w:rPr>
          <w:rFonts w:ascii="Times New Roman" w:hAnsi="Times New Roman" w:cs="Times New Roman"/>
          <w:sz w:val="24"/>
          <w:szCs w:val="24"/>
        </w:rPr>
        <w:t xml:space="preserve"> kann nach dem modus tollens nur auf die Wahrheit irgendeines Grundes geschlossen werden, „ohne diesen G</w:t>
      </w:r>
      <w:r w:rsidR="007334C6">
        <w:rPr>
          <w:rFonts w:ascii="Times New Roman" w:hAnsi="Times New Roman" w:cs="Times New Roman"/>
          <w:sz w:val="24"/>
          <w:szCs w:val="24"/>
        </w:rPr>
        <w:t>rund bestimmen zu können“</w:t>
      </w:r>
      <w:r w:rsidR="007334C6">
        <w:rPr>
          <w:rStyle w:val="Funotenzeichen"/>
          <w:rFonts w:ascii="Times New Roman" w:hAnsi="Times New Roman" w:cs="Times New Roman"/>
          <w:sz w:val="24"/>
          <w:szCs w:val="24"/>
        </w:rPr>
        <w:footnoteReference w:id="30"/>
      </w:r>
      <w:r w:rsidR="00906A0E" w:rsidRPr="009404FC">
        <w:rPr>
          <w:rFonts w:ascii="Times New Roman" w:hAnsi="Times New Roman" w:cs="Times New Roman"/>
          <w:sz w:val="24"/>
          <w:szCs w:val="24"/>
        </w:rPr>
        <w:t xml:space="preserve">. </w:t>
      </w:r>
      <w:r w:rsidR="00453B5C" w:rsidRPr="009404FC">
        <w:rPr>
          <w:rFonts w:ascii="Times New Roman" w:hAnsi="Times New Roman" w:cs="Times New Roman"/>
          <w:sz w:val="24"/>
          <w:szCs w:val="24"/>
        </w:rPr>
        <w:t xml:space="preserve">Verknüpfungen im Sinne der materialen Implikation, </w:t>
      </w:r>
      <w:r w:rsidR="00C543ED" w:rsidRPr="009404FC">
        <w:rPr>
          <w:rFonts w:ascii="Times New Roman" w:hAnsi="Times New Roman" w:cs="Times New Roman"/>
          <w:sz w:val="24"/>
          <w:szCs w:val="24"/>
        </w:rPr>
        <w:t xml:space="preserve">also </w:t>
      </w:r>
      <w:r w:rsidR="00906A0E" w:rsidRPr="009404FC">
        <w:rPr>
          <w:rFonts w:ascii="Times New Roman" w:hAnsi="Times New Roman" w:cs="Times New Roman"/>
          <w:sz w:val="24"/>
          <w:szCs w:val="24"/>
        </w:rPr>
        <w:t xml:space="preserve">hypothetische </w:t>
      </w:r>
      <w:r w:rsidR="00C543ED" w:rsidRPr="009404FC">
        <w:rPr>
          <w:rFonts w:ascii="Times New Roman" w:hAnsi="Times New Roman" w:cs="Times New Roman"/>
          <w:sz w:val="24"/>
          <w:szCs w:val="24"/>
        </w:rPr>
        <w:t xml:space="preserve">Urteile, in denen eine betrachtete Teilklasse zwar der </w:t>
      </w:r>
      <w:r w:rsidR="00C543ED" w:rsidRPr="009404FC">
        <w:rPr>
          <w:rFonts w:ascii="Times New Roman" w:hAnsi="Times New Roman" w:cs="Times New Roman"/>
          <w:sz w:val="24"/>
          <w:szCs w:val="24"/>
        </w:rPr>
        <w:lastRenderedPageBreak/>
        <w:t>Gattung, aber nicht gerade der in Rede stehenden Art angehört, sondern irgendeiner anderen, ergeben</w:t>
      </w:r>
      <w:r w:rsidR="00906A0E" w:rsidRPr="009404FC">
        <w:rPr>
          <w:rFonts w:ascii="Times New Roman" w:hAnsi="Times New Roman" w:cs="Times New Roman"/>
          <w:sz w:val="24"/>
          <w:szCs w:val="24"/>
        </w:rPr>
        <w:t xml:space="preserve"> sich</w:t>
      </w:r>
      <w:r w:rsidR="0093208B" w:rsidRPr="009404FC">
        <w:rPr>
          <w:rFonts w:ascii="Times New Roman" w:hAnsi="Times New Roman" w:cs="Times New Roman"/>
          <w:sz w:val="24"/>
          <w:szCs w:val="24"/>
        </w:rPr>
        <w:t xml:space="preserve"> als</w:t>
      </w:r>
      <w:r w:rsidR="001A3658" w:rsidRPr="009404FC">
        <w:rPr>
          <w:rFonts w:ascii="Times New Roman" w:hAnsi="Times New Roman" w:cs="Times New Roman"/>
          <w:sz w:val="24"/>
          <w:szCs w:val="24"/>
        </w:rPr>
        <w:t xml:space="preserve"> Urteile, die</w:t>
      </w:r>
      <w:r w:rsidR="0093208B" w:rsidRPr="009404FC">
        <w:rPr>
          <w:rFonts w:ascii="Times New Roman" w:hAnsi="Times New Roman" w:cs="Times New Roman"/>
          <w:sz w:val="24"/>
          <w:szCs w:val="24"/>
        </w:rPr>
        <w:t xml:space="preserve"> in anderen Fällen </w:t>
      </w:r>
      <w:r w:rsidR="001A3658" w:rsidRPr="009404FC">
        <w:rPr>
          <w:rFonts w:ascii="Times New Roman" w:hAnsi="Times New Roman" w:cs="Times New Roman"/>
          <w:sz w:val="24"/>
          <w:szCs w:val="24"/>
        </w:rPr>
        <w:t>wahr sein können</w:t>
      </w:r>
      <w:r w:rsidR="00C543ED" w:rsidRPr="009404FC">
        <w:rPr>
          <w:rFonts w:ascii="Times New Roman" w:hAnsi="Times New Roman" w:cs="Times New Roman"/>
          <w:sz w:val="24"/>
          <w:szCs w:val="24"/>
        </w:rPr>
        <w:t>.</w:t>
      </w:r>
      <w:r w:rsidR="009966C7">
        <w:rPr>
          <w:rFonts w:ascii="Times New Roman" w:hAnsi="Times New Roman" w:cs="Times New Roman"/>
          <w:sz w:val="24"/>
          <w:szCs w:val="24"/>
        </w:rPr>
        <w:t xml:space="preserve"> Sie sind aber nicht wesentlich</w:t>
      </w:r>
      <w:r w:rsidR="00C543ED" w:rsidRPr="009404FC">
        <w:rPr>
          <w:rFonts w:ascii="Times New Roman" w:hAnsi="Times New Roman" w:cs="Times New Roman"/>
          <w:sz w:val="24"/>
          <w:szCs w:val="24"/>
        </w:rPr>
        <w:t xml:space="preserve"> für den Aufbau der begrifflichen Struktur.</w:t>
      </w:r>
      <w:r w:rsidR="00F327F3" w:rsidRPr="009404FC">
        <w:rPr>
          <w:rFonts w:ascii="Times New Roman" w:hAnsi="Times New Roman" w:cs="Times New Roman"/>
          <w:sz w:val="24"/>
          <w:szCs w:val="24"/>
        </w:rPr>
        <w:t xml:space="preserve"> </w:t>
      </w:r>
    </w:p>
    <w:p w:rsidR="0093208B" w:rsidRPr="009404FC" w:rsidRDefault="00557237"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Rein formal können Dinge relativ zueinander nur in Arten einer jeweiligen Gattung, d.h. in Teilklas</w:t>
      </w:r>
      <w:r w:rsidR="00DD6C23" w:rsidRPr="009404FC">
        <w:rPr>
          <w:rFonts w:ascii="Times New Roman" w:hAnsi="Times New Roman" w:cs="Times New Roman"/>
          <w:sz w:val="24"/>
          <w:szCs w:val="24"/>
        </w:rPr>
        <w:t>s</w:t>
      </w:r>
      <w:r w:rsidRPr="009404FC">
        <w:rPr>
          <w:rFonts w:ascii="Times New Roman" w:hAnsi="Times New Roman" w:cs="Times New Roman"/>
          <w:sz w:val="24"/>
          <w:szCs w:val="24"/>
        </w:rPr>
        <w:t>en unterschieden werden, deren Merkmale zueinander nach dem Satz vom Widerspruch in ausschließendem Verhältnis stehen. Entsprechend sind alle formal bestimmten Merkmale „koordiniert, sofern ein jedes derselben als ein unmittelbares Merkmal der Sache vorgestellt wird, und subordiniert, sofern ein Merkmal nur vermittelst des anderen an de</w:t>
      </w:r>
      <w:r w:rsidR="007334C6">
        <w:rPr>
          <w:rFonts w:ascii="Times New Roman" w:hAnsi="Times New Roman" w:cs="Times New Roman"/>
          <w:sz w:val="24"/>
          <w:szCs w:val="24"/>
        </w:rPr>
        <w:t>m Dinge vorgestellt wird“</w:t>
      </w:r>
      <w:r w:rsidR="007334C6">
        <w:rPr>
          <w:rStyle w:val="Funotenzeichen"/>
          <w:rFonts w:ascii="Times New Roman" w:hAnsi="Times New Roman" w:cs="Times New Roman"/>
          <w:sz w:val="24"/>
          <w:szCs w:val="24"/>
        </w:rPr>
        <w:footnoteReference w:id="31"/>
      </w:r>
      <w:r w:rsidRPr="009404FC">
        <w:rPr>
          <w:rFonts w:ascii="Times New Roman" w:hAnsi="Times New Roman" w:cs="Times New Roman"/>
          <w:sz w:val="24"/>
          <w:szCs w:val="24"/>
        </w:rPr>
        <w:t>. Die Untergliederung von Dingen nach Gattungen und Arten in hypothetischen Urteilen kann aber grundsätzlich beliebig weit geführt werden, „denn eine jede Spezies ist immer zugleich als Genus zu betrachten in Ans</w:t>
      </w:r>
      <w:r w:rsidR="007334C6">
        <w:rPr>
          <w:rFonts w:ascii="Times New Roman" w:hAnsi="Times New Roman" w:cs="Times New Roman"/>
          <w:sz w:val="24"/>
          <w:szCs w:val="24"/>
        </w:rPr>
        <w:t>ehung ihres niederen Begriffs“</w:t>
      </w:r>
      <w:r w:rsidR="007334C6">
        <w:rPr>
          <w:rStyle w:val="Funotenzeichen"/>
          <w:rFonts w:ascii="Times New Roman" w:hAnsi="Times New Roman" w:cs="Times New Roman"/>
          <w:sz w:val="24"/>
          <w:szCs w:val="24"/>
        </w:rPr>
        <w:footnoteReference w:id="32"/>
      </w:r>
      <w:r w:rsidR="001C1397" w:rsidRPr="009404FC">
        <w:rPr>
          <w:rFonts w:ascii="Times New Roman" w:hAnsi="Times New Roman" w:cs="Times New Roman"/>
          <w:sz w:val="24"/>
          <w:szCs w:val="24"/>
        </w:rPr>
        <w:t xml:space="preserve">. </w:t>
      </w:r>
      <w:r w:rsidR="00F327F3" w:rsidRPr="009404FC">
        <w:rPr>
          <w:rFonts w:ascii="Times New Roman" w:hAnsi="Times New Roman" w:cs="Times New Roman"/>
          <w:sz w:val="24"/>
          <w:szCs w:val="24"/>
        </w:rPr>
        <w:t>Aussagen über ´alle´ oder ´einige´ Dinge sind als</w:t>
      </w:r>
      <w:r w:rsidR="0093208B" w:rsidRPr="009404FC">
        <w:rPr>
          <w:rFonts w:ascii="Times New Roman" w:hAnsi="Times New Roman" w:cs="Times New Roman"/>
          <w:sz w:val="24"/>
          <w:szCs w:val="24"/>
        </w:rPr>
        <w:t xml:space="preserve">o Abkürzungen konditionaler Verknüpfungen elementarer Urteile. </w:t>
      </w:r>
      <w:r w:rsidR="00972A33" w:rsidRPr="009404FC">
        <w:rPr>
          <w:rFonts w:ascii="Times New Roman" w:hAnsi="Times New Roman" w:cs="Times New Roman"/>
          <w:sz w:val="24"/>
          <w:szCs w:val="24"/>
        </w:rPr>
        <w:t xml:space="preserve">Sogenannte ´einzelne´ Urteile </w:t>
      </w:r>
      <w:r w:rsidR="0093208B" w:rsidRPr="009404FC">
        <w:rPr>
          <w:rFonts w:ascii="Times New Roman" w:hAnsi="Times New Roman" w:cs="Times New Roman"/>
          <w:sz w:val="24"/>
          <w:szCs w:val="24"/>
        </w:rPr>
        <w:t>üb</w:t>
      </w:r>
      <w:r w:rsidR="00972A33" w:rsidRPr="009404FC">
        <w:rPr>
          <w:rFonts w:ascii="Times New Roman" w:hAnsi="Times New Roman" w:cs="Times New Roman"/>
          <w:sz w:val="24"/>
          <w:szCs w:val="24"/>
        </w:rPr>
        <w:t xml:space="preserve">er Einzeldinge </w:t>
      </w:r>
      <w:r w:rsidR="0093208B" w:rsidRPr="009404FC">
        <w:rPr>
          <w:rFonts w:ascii="Times New Roman" w:hAnsi="Times New Roman" w:cs="Times New Roman"/>
          <w:sz w:val="24"/>
          <w:szCs w:val="24"/>
        </w:rPr>
        <w:t>könn</w:t>
      </w:r>
      <w:r w:rsidR="00026961">
        <w:rPr>
          <w:rFonts w:ascii="Times New Roman" w:hAnsi="Times New Roman" w:cs="Times New Roman"/>
          <w:sz w:val="24"/>
          <w:szCs w:val="24"/>
        </w:rPr>
        <w:t>en in einer rein formalen Logik</w:t>
      </w:r>
      <w:r w:rsidR="0093208B" w:rsidRPr="009404FC">
        <w:rPr>
          <w:rFonts w:ascii="Times New Roman" w:hAnsi="Times New Roman" w:cs="Times New Roman"/>
          <w:sz w:val="24"/>
          <w:szCs w:val="24"/>
        </w:rPr>
        <w:t xml:space="preserve"> nach Kant keine Berücksichtigung finden, da ihr </w:t>
      </w:r>
      <w:r w:rsidR="00F1624E" w:rsidRPr="009404FC">
        <w:rPr>
          <w:rFonts w:ascii="Times New Roman" w:hAnsi="Times New Roman" w:cs="Times New Roman"/>
          <w:sz w:val="24"/>
          <w:szCs w:val="24"/>
        </w:rPr>
        <w:t>Gegenstand nicht durch einen potentiell weiter analysierbaren Begriff, sondern durch ein ihm direkt zugeschriebenes Merkmal bezeichnet wird, das in seiner beliebigen bestimmten Qualität nur anschaulich g</w:t>
      </w:r>
      <w:r w:rsidR="00026961">
        <w:rPr>
          <w:rFonts w:ascii="Times New Roman" w:hAnsi="Times New Roman" w:cs="Times New Roman"/>
          <w:sz w:val="24"/>
          <w:szCs w:val="24"/>
        </w:rPr>
        <w:t xml:space="preserve">egeben sein kann. Erst wenn die </w:t>
      </w:r>
      <w:r w:rsidR="00F1624E" w:rsidRPr="009404FC">
        <w:rPr>
          <w:rFonts w:ascii="Times New Roman" w:hAnsi="Times New Roman" w:cs="Times New Roman"/>
          <w:sz w:val="24"/>
          <w:szCs w:val="24"/>
        </w:rPr>
        <w:t xml:space="preserve">Möglichkeit </w:t>
      </w:r>
      <w:r w:rsidR="001A3658" w:rsidRPr="009404FC">
        <w:rPr>
          <w:rFonts w:ascii="Times New Roman" w:hAnsi="Times New Roman" w:cs="Times New Roman"/>
          <w:sz w:val="24"/>
          <w:szCs w:val="24"/>
        </w:rPr>
        <w:t>der Anschauung</w:t>
      </w:r>
      <w:r w:rsidR="00026961">
        <w:rPr>
          <w:rFonts w:ascii="Times New Roman" w:hAnsi="Times New Roman" w:cs="Times New Roman"/>
          <w:sz w:val="24"/>
          <w:szCs w:val="24"/>
        </w:rPr>
        <w:t xml:space="preserve"> von Dingen</w:t>
      </w:r>
      <w:r w:rsidR="001A3658" w:rsidRPr="009404FC">
        <w:rPr>
          <w:rFonts w:ascii="Times New Roman" w:hAnsi="Times New Roman" w:cs="Times New Roman"/>
          <w:sz w:val="24"/>
          <w:szCs w:val="24"/>
        </w:rPr>
        <w:t xml:space="preserve"> </w:t>
      </w:r>
      <w:r w:rsidR="00F1624E" w:rsidRPr="009404FC">
        <w:rPr>
          <w:rFonts w:ascii="Times New Roman" w:hAnsi="Times New Roman" w:cs="Times New Roman"/>
          <w:sz w:val="24"/>
          <w:szCs w:val="24"/>
        </w:rPr>
        <w:t>voraus</w:t>
      </w:r>
      <w:r w:rsidR="00026961">
        <w:rPr>
          <w:rFonts w:ascii="Times New Roman" w:hAnsi="Times New Roman" w:cs="Times New Roman"/>
          <w:sz w:val="24"/>
          <w:szCs w:val="24"/>
        </w:rPr>
        <w:t>gesetzt wird</w:t>
      </w:r>
      <w:r w:rsidR="00F1624E" w:rsidRPr="009404FC">
        <w:rPr>
          <w:rFonts w:ascii="Times New Roman" w:hAnsi="Times New Roman" w:cs="Times New Roman"/>
          <w:sz w:val="24"/>
          <w:szCs w:val="24"/>
        </w:rPr>
        <w:t xml:space="preserve">, </w:t>
      </w:r>
      <w:r w:rsidR="00026961">
        <w:rPr>
          <w:rFonts w:ascii="Times New Roman" w:hAnsi="Times New Roman" w:cs="Times New Roman"/>
          <w:sz w:val="24"/>
          <w:szCs w:val="24"/>
        </w:rPr>
        <w:t>in e</w:t>
      </w:r>
      <w:r w:rsidR="001A3658" w:rsidRPr="009404FC">
        <w:rPr>
          <w:rFonts w:ascii="Times New Roman" w:hAnsi="Times New Roman" w:cs="Times New Roman"/>
          <w:sz w:val="24"/>
          <w:szCs w:val="24"/>
        </w:rPr>
        <w:t>iner Erkenntnistheorie also, die die Möglichkeit der Bezugnahme thematisiert, können einzelne von Al</w:t>
      </w:r>
      <w:r w:rsidR="007334C6">
        <w:rPr>
          <w:rFonts w:ascii="Times New Roman" w:hAnsi="Times New Roman" w:cs="Times New Roman"/>
          <w:sz w:val="24"/>
          <w:szCs w:val="24"/>
        </w:rPr>
        <w:t>laussagen unterschieden werden</w:t>
      </w:r>
      <w:r w:rsidR="007334C6">
        <w:rPr>
          <w:rStyle w:val="Funotenzeichen"/>
          <w:rFonts w:ascii="Times New Roman" w:hAnsi="Times New Roman" w:cs="Times New Roman"/>
          <w:sz w:val="24"/>
          <w:szCs w:val="24"/>
        </w:rPr>
        <w:footnoteReference w:id="33"/>
      </w:r>
      <w:r w:rsidR="001A3658" w:rsidRPr="009404FC">
        <w:rPr>
          <w:rFonts w:ascii="Times New Roman" w:hAnsi="Times New Roman" w:cs="Times New Roman"/>
          <w:sz w:val="24"/>
          <w:szCs w:val="24"/>
        </w:rPr>
        <w:t>.</w:t>
      </w:r>
    </w:p>
    <w:p w:rsidR="003A59A2" w:rsidRPr="009404FC" w:rsidRDefault="00C543ED"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 </w:t>
      </w:r>
      <w:r w:rsidR="002E3504" w:rsidRPr="009404FC">
        <w:rPr>
          <w:rFonts w:ascii="Times New Roman" w:hAnsi="Times New Roman" w:cs="Times New Roman"/>
          <w:sz w:val="24"/>
          <w:szCs w:val="24"/>
        </w:rPr>
        <w:t>Die einer Gattung subordinierten Artbezeichnungen</w:t>
      </w:r>
      <w:r w:rsidRPr="009404FC">
        <w:rPr>
          <w:rFonts w:ascii="Times New Roman" w:hAnsi="Times New Roman" w:cs="Times New Roman"/>
          <w:sz w:val="24"/>
          <w:szCs w:val="24"/>
        </w:rPr>
        <w:t xml:space="preserve"> werden </w:t>
      </w:r>
      <w:r w:rsidR="002E3504" w:rsidRPr="009404FC">
        <w:rPr>
          <w:rFonts w:ascii="Times New Roman" w:hAnsi="Times New Roman" w:cs="Times New Roman"/>
          <w:sz w:val="24"/>
          <w:szCs w:val="24"/>
        </w:rPr>
        <w:t xml:space="preserve">schließlich </w:t>
      </w:r>
      <w:r w:rsidRPr="009404FC">
        <w:rPr>
          <w:rFonts w:ascii="Times New Roman" w:hAnsi="Times New Roman" w:cs="Times New Roman"/>
          <w:sz w:val="24"/>
          <w:szCs w:val="24"/>
        </w:rPr>
        <w:t>in einer</w:t>
      </w:r>
      <w:r w:rsidR="0093208B" w:rsidRPr="009404FC">
        <w:rPr>
          <w:rFonts w:ascii="Times New Roman" w:hAnsi="Times New Roman" w:cs="Times New Roman"/>
          <w:sz w:val="24"/>
          <w:szCs w:val="24"/>
        </w:rPr>
        <w:t xml:space="preserve"> dritten Urteilsform</w:t>
      </w:r>
      <w:r w:rsidR="003A59A2" w:rsidRPr="009404FC">
        <w:rPr>
          <w:rFonts w:ascii="Times New Roman" w:hAnsi="Times New Roman" w:cs="Times New Roman"/>
          <w:sz w:val="24"/>
          <w:szCs w:val="24"/>
        </w:rPr>
        <w:t>, den</w:t>
      </w:r>
      <w:r w:rsidR="0093208B" w:rsidRPr="009404FC">
        <w:rPr>
          <w:rFonts w:ascii="Times New Roman" w:hAnsi="Times New Roman" w:cs="Times New Roman"/>
          <w:sz w:val="24"/>
          <w:szCs w:val="24"/>
        </w:rPr>
        <w:t xml:space="preserve"> ´disjunktiven´</w:t>
      </w:r>
      <w:r w:rsidR="003A59A2" w:rsidRPr="009404FC">
        <w:rPr>
          <w:rFonts w:ascii="Times New Roman" w:hAnsi="Times New Roman" w:cs="Times New Roman"/>
          <w:sz w:val="24"/>
          <w:szCs w:val="24"/>
        </w:rPr>
        <w:t xml:space="preserve"> Urteilen,</w:t>
      </w:r>
      <w:r w:rsidRPr="009404FC">
        <w:rPr>
          <w:rFonts w:ascii="Times New Roman" w:hAnsi="Times New Roman" w:cs="Times New Roman"/>
          <w:sz w:val="24"/>
          <w:szCs w:val="24"/>
        </w:rPr>
        <w:t xml:space="preserve"> </w:t>
      </w:r>
      <w:r w:rsidR="002E3504" w:rsidRPr="009404FC">
        <w:rPr>
          <w:rFonts w:ascii="Times New Roman" w:hAnsi="Times New Roman" w:cs="Times New Roman"/>
          <w:sz w:val="24"/>
          <w:szCs w:val="24"/>
        </w:rPr>
        <w:t>als einander koordinierte, alternative und insgesamt erschöpfende Spezifikationen der Elemente der Gattung beurteilt, sodass in einem ausreichend komplexen Begriffsgerüst jeder Prädikat</w:t>
      </w:r>
      <w:r w:rsidR="0080616C">
        <w:rPr>
          <w:rFonts w:ascii="Times New Roman" w:hAnsi="Times New Roman" w:cs="Times New Roman"/>
          <w:sz w:val="24"/>
          <w:szCs w:val="24"/>
        </w:rPr>
        <w:t>s</w:t>
      </w:r>
      <w:r w:rsidR="002E3504" w:rsidRPr="009404FC">
        <w:rPr>
          <w:rFonts w:ascii="Times New Roman" w:hAnsi="Times New Roman" w:cs="Times New Roman"/>
          <w:sz w:val="24"/>
          <w:szCs w:val="24"/>
        </w:rPr>
        <w:t xml:space="preserve">begriff zur Identifikation einer eindeutig bestimmten Klasse oder Teilklasse dient. </w:t>
      </w:r>
      <w:r w:rsidR="00231D1A" w:rsidRPr="009404FC">
        <w:rPr>
          <w:rFonts w:ascii="Times New Roman" w:hAnsi="Times New Roman" w:cs="Times New Roman"/>
          <w:sz w:val="24"/>
          <w:szCs w:val="24"/>
        </w:rPr>
        <w:t>Erst bei Unterstellung einer solchen begrifflichen Ordn</w:t>
      </w:r>
      <w:r w:rsidR="003A59A2" w:rsidRPr="009404FC">
        <w:rPr>
          <w:rFonts w:ascii="Times New Roman" w:hAnsi="Times New Roman" w:cs="Times New Roman"/>
          <w:sz w:val="24"/>
          <w:szCs w:val="24"/>
        </w:rPr>
        <w:t>ung lässt sich von kategorischen</w:t>
      </w:r>
      <w:r w:rsidR="00231D1A" w:rsidRPr="009404FC">
        <w:rPr>
          <w:rFonts w:ascii="Times New Roman" w:hAnsi="Times New Roman" w:cs="Times New Roman"/>
          <w:sz w:val="24"/>
          <w:szCs w:val="24"/>
        </w:rPr>
        <w:t xml:space="preserve"> Prädikationen sagen, dass sie formal </w:t>
      </w:r>
      <w:r w:rsidR="003A59A2" w:rsidRPr="009404FC">
        <w:rPr>
          <w:rFonts w:ascii="Times New Roman" w:hAnsi="Times New Roman" w:cs="Times New Roman"/>
          <w:sz w:val="24"/>
          <w:szCs w:val="24"/>
        </w:rPr>
        <w:t xml:space="preserve">völlig </w:t>
      </w:r>
      <w:r w:rsidR="00231D1A" w:rsidRPr="009404FC">
        <w:rPr>
          <w:rFonts w:ascii="Times New Roman" w:hAnsi="Times New Roman" w:cs="Times New Roman"/>
          <w:sz w:val="24"/>
          <w:szCs w:val="24"/>
        </w:rPr>
        <w:t xml:space="preserve">korrekt sind; und erst auf seiner Grundlage sind Schlüsse von der Mitgliedschaft von Elementen in der einen Klasse auf ihre Mitgliedschaft in einer anderen oder eben auf das Gegenteil möglich. </w:t>
      </w:r>
    </w:p>
    <w:p w:rsidR="003D46BE" w:rsidRPr="00751822" w:rsidRDefault="003D46BE" w:rsidP="002937A6">
      <w:pPr>
        <w:spacing w:line="240" w:lineRule="auto"/>
        <w:ind w:left="708"/>
        <w:rPr>
          <w:rFonts w:ascii="Times New Roman" w:hAnsi="Times New Roman" w:cs="Times New Roman"/>
        </w:rPr>
      </w:pPr>
      <w:r w:rsidRPr="00751822">
        <w:rPr>
          <w:rFonts w:ascii="Times New Roman" w:hAnsi="Times New Roman" w:cs="Times New Roman"/>
        </w:rPr>
        <w:t xml:space="preserve">Bei der </w:t>
      </w:r>
      <w:r w:rsidR="007D4EC0">
        <w:rPr>
          <w:rFonts w:ascii="Times New Roman" w:hAnsi="Times New Roman" w:cs="Times New Roman"/>
        </w:rPr>
        <w:t>[</w:t>
      </w:r>
      <w:r w:rsidRPr="00751822">
        <w:rPr>
          <w:rFonts w:ascii="Times New Roman" w:hAnsi="Times New Roman" w:cs="Times New Roman"/>
        </w:rPr>
        <w:t>…</w:t>
      </w:r>
      <w:r w:rsidR="007D4EC0">
        <w:rPr>
          <w:rFonts w:ascii="Times New Roman" w:hAnsi="Times New Roman" w:cs="Times New Roman"/>
        </w:rPr>
        <w:t>]</w:t>
      </w:r>
      <w:r w:rsidRPr="00751822">
        <w:rPr>
          <w:rFonts w:ascii="Times New Roman" w:hAnsi="Times New Roman" w:cs="Times New Roman"/>
        </w:rPr>
        <w:t xml:space="preserve"> direkten Schlussart (modus ponens), tritt die Schwierigkeit ein, dass sich die Allheit der Folgen nicht apodiktisch erkennen lässt, und dass man daher durch die gedachte Schlussart nur zu einer wahrscheinlichen und hypothetischen Erkenntnis (Hypothesen) geführt </w:t>
      </w:r>
      <w:r w:rsidRPr="00751822">
        <w:rPr>
          <w:rFonts w:ascii="Times New Roman" w:hAnsi="Times New Roman" w:cs="Times New Roman"/>
        </w:rPr>
        <w:lastRenderedPageBreak/>
        <w:t>wird, nach der Voraussetzung: dass da, wo viele Folgen wahr sind, die übrigen au</w:t>
      </w:r>
      <w:r w:rsidR="00751822" w:rsidRPr="00751822">
        <w:rPr>
          <w:rFonts w:ascii="Times New Roman" w:hAnsi="Times New Roman" w:cs="Times New Roman"/>
        </w:rPr>
        <w:t>ch alle wahr sein mögen.</w:t>
      </w:r>
      <w:r w:rsidR="007334C6">
        <w:rPr>
          <w:rStyle w:val="Funotenzeichen"/>
          <w:rFonts w:ascii="Times New Roman" w:hAnsi="Times New Roman" w:cs="Times New Roman"/>
        </w:rPr>
        <w:footnoteReference w:id="34"/>
      </w:r>
      <w:r w:rsidRPr="00751822">
        <w:rPr>
          <w:rFonts w:ascii="Times New Roman" w:hAnsi="Times New Roman" w:cs="Times New Roman"/>
        </w:rPr>
        <w:t xml:space="preserve"> </w:t>
      </w:r>
    </w:p>
    <w:p w:rsidR="00026961" w:rsidRDefault="00026961" w:rsidP="009404FC">
      <w:pPr>
        <w:spacing w:line="360" w:lineRule="auto"/>
        <w:rPr>
          <w:rFonts w:ascii="Times New Roman" w:hAnsi="Times New Roman" w:cs="Times New Roman"/>
          <w:sz w:val="24"/>
          <w:szCs w:val="24"/>
        </w:rPr>
      </w:pPr>
    </w:p>
    <w:p w:rsidR="003D46BE" w:rsidRPr="009404FC" w:rsidRDefault="003D46BE"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Wenn sich „alle Folgen, die uns bis jetzt vorgekommen sind, aus dem vorausgesetzten Grunde </w:t>
      </w:r>
      <w:r w:rsidR="007D4EC0">
        <w:rPr>
          <w:rFonts w:ascii="Times New Roman" w:hAnsi="Times New Roman" w:cs="Times New Roman"/>
          <w:sz w:val="24"/>
          <w:szCs w:val="24"/>
        </w:rPr>
        <w:t>[</w:t>
      </w:r>
      <w:r w:rsidRPr="009404FC">
        <w:rPr>
          <w:rFonts w:ascii="Times New Roman" w:hAnsi="Times New Roman" w:cs="Times New Roman"/>
          <w:sz w:val="24"/>
          <w:szCs w:val="24"/>
        </w:rPr>
        <w:t>…</w:t>
      </w:r>
      <w:r w:rsidR="007D4EC0">
        <w:rPr>
          <w:rFonts w:ascii="Times New Roman" w:hAnsi="Times New Roman" w:cs="Times New Roman"/>
          <w:sz w:val="24"/>
          <w:szCs w:val="24"/>
        </w:rPr>
        <w:t>]</w:t>
      </w:r>
      <w:r w:rsidRPr="009404FC">
        <w:rPr>
          <w:rFonts w:ascii="Times New Roman" w:hAnsi="Times New Roman" w:cs="Times New Roman"/>
          <w:sz w:val="24"/>
          <w:szCs w:val="24"/>
        </w:rPr>
        <w:t xml:space="preserve"> erklären lassen </w:t>
      </w:r>
      <w:r w:rsidR="007D4EC0">
        <w:rPr>
          <w:rFonts w:ascii="Times New Roman" w:hAnsi="Times New Roman" w:cs="Times New Roman"/>
          <w:sz w:val="24"/>
          <w:szCs w:val="24"/>
        </w:rPr>
        <w:t>[</w:t>
      </w:r>
      <w:r w:rsidRPr="009404FC">
        <w:rPr>
          <w:rFonts w:ascii="Times New Roman" w:hAnsi="Times New Roman" w:cs="Times New Roman"/>
          <w:sz w:val="24"/>
          <w:szCs w:val="24"/>
        </w:rPr>
        <w:t>…</w:t>
      </w:r>
      <w:r w:rsidR="007D4EC0">
        <w:rPr>
          <w:rFonts w:ascii="Times New Roman" w:hAnsi="Times New Roman" w:cs="Times New Roman"/>
          <w:sz w:val="24"/>
          <w:szCs w:val="24"/>
        </w:rPr>
        <w:t>]</w:t>
      </w:r>
      <w:r w:rsidRPr="009404FC">
        <w:rPr>
          <w:rFonts w:ascii="Times New Roman" w:hAnsi="Times New Roman" w:cs="Times New Roman"/>
          <w:sz w:val="24"/>
          <w:szCs w:val="24"/>
        </w:rPr>
        <w:t xml:space="preserve"> ist kein Grund da, warum wir nicht annehmen sollten, das</w:t>
      </w:r>
      <w:r w:rsidR="002C4356">
        <w:rPr>
          <w:rFonts w:ascii="Times New Roman" w:hAnsi="Times New Roman" w:cs="Times New Roman"/>
          <w:sz w:val="24"/>
          <w:szCs w:val="24"/>
        </w:rPr>
        <w:t>s</w:t>
      </w:r>
      <w:r w:rsidRPr="009404FC">
        <w:rPr>
          <w:rFonts w:ascii="Times New Roman" w:hAnsi="Times New Roman" w:cs="Times New Roman"/>
          <w:sz w:val="24"/>
          <w:szCs w:val="24"/>
        </w:rPr>
        <w:t xml:space="preserve"> sich daraus alle möglichen F</w:t>
      </w:r>
      <w:r w:rsidR="007334C6">
        <w:rPr>
          <w:rFonts w:ascii="Times New Roman" w:hAnsi="Times New Roman" w:cs="Times New Roman"/>
          <w:sz w:val="24"/>
          <w:szCs w:val="24"/>
        </w:rPr>
        <w:t>olgen werden erklären lassen“.</w:t>
      </w:r>
      <w:r w:rsidR="007334C6">
        <w:rPr>
          <w:rStyle w:val="Funotenzeichen"/>
          <w:rFonts w:ascii="Times New Roman" w:hAnsi="Times New Roman" w:cs="Times New Roman"/>
          <w:sz w:val="24"/>
          <w:szCs w:val="24"/>
        </w:rPr>
        <w:footnoteReference w:id="35"/>
      </w:r>
      <w:r w:rsidR="00DA5E63" w:rsidRPr="009404FC">
        <w:rPr>
          <w:rFonts w:ascii="Times New Roman" w:hAnsi="Times New Roman" w:cs="Times New Roman"/>
          <w:sz w:val="24"/>
          <w:szCs w:val="24"/>
        </w:rPr>
        <w:t xml:space="preserve"> D</w:t>
      </w:r>
      <w:r w:rsidRPr="009404FC">
        <w:rPr>
          <w:rFonts w:ascii="Times New Roman" w:hAnsi="Times New Roman" w:cs="Times New Roman"/>
          <w:sz w:val="24"/>
          <w:szCs w:val="24"/>
        </w:rPr>
        <w:t>ieser hypothetische Charakter der</w:t>
      </w:r>
      <w:r w:rsidR="004C4649" w:rsidRPr="009404FC">
        <w:rPr>
          <w:rFonts w:ascii="Times New Roman" w:hAnsi="Times New Roman" w:cs="Times New Roman"/>
          <w:sz w:val="24"/>
          <w:szCs w:val="24"/>
        </w:rPr>
        <w:t xml:space="preserve"> in Schlüssen</w:t>
      </w:r>
      <w:r w:rsidRPr="009404FC">
        <w:rPr>
          <w:rFonts w:ascii="Times New Roman" w:hAnsi="Times New Roman" w:cs="Times New Roman"/>
          <w:sz w:val="24"/>
          <w:szCs w:val="24"/>
        </w:rPr>
        <w:t xml:space="preserve"> verwendeten hypothetischen Urteile </w:t>
      </w:r>
      <w:r w:rsidR="00DA5E63" w:rsidRPr="009404FC">
        <w:rPr>
          <w:rFonts w:ascii="Times New Roman" w:hAnsi="Times New Roman" w:cs="Times New Roman"/>
          <w:sz w:val="24"/>
          <w:szCs w:val="24"/>
        </w:rPr>
        <w:t xml:space="preserve">muss aber </w:t>
      </w:r>
      <w:r w:rsidR="004C4649" w:rsidRPr="009404FC">
        <w:rPr>
          <w:rFonts w:ascii="Times New Roman" w:hAnsi="Times New Roman" w:cs="Times New Roman"/>
          <w:sz w:val="24"/>
          <w:szCs w:val="24"/>
        </w:rPr>
        <w:t xml:space="preserve">ausdrücklich angegeben werden. Und dies ist die Funktion des ´Satzes vom ausgeschlossenen Dritten´. Auf ihm „gründet </w:t>
      </w:r>
      <w:r w:rsidR="007D4EC0">
        <w:rPr>
          <w:rFonts w:ascii="Times New Roman" w:hAnsi="Times New Roman" w:cs="Times New Roman"/>
          <w:sz w:val="24"/>
          <w:szCs w:val="24"/>
        </w:rPr>
        <w:t>[</w:t>
      </w:r>
      <w:r w:rsidR="004C4649" w:rsidRPr="009404FC">
        <w:rPr>
          <w:rFonts w:ascii="Times New Roman" w:hAnsi="Times New Roman" w:cs="Times New Roman"/>
          <w:sz w:val="24"/>
          <w:szCs w:val="24"/>
        </w:rPr>
        <w:t>…</w:t>
      </w:r>
      <w:r w:rsidR="007D4EC0">
        <w:rPr>
          <w:rFonts w:ascii="Times New Roman" w:hAnsi="Times New Roman" w:cs="Times New Roman"/>
          <w:sz w:val="24"/>
          <w:szCs w:val="24"/>
        </w:rPr>
        <w:t>]</w:t>
      </w:r>
      <w:r w:rsidR="004C4649" w:rsidRPr="009404FC">
        <w:rPr>
          <w:rFonts w:ascii="Times New Roman" w:hAnsi="Times New Roman" w:cs="Times New Roman"/>
          <w:sz w:val="24"/>
          <w:szCs w:val="24"/>
        </w:rPr>
        <w:t xml:space="preserve"> die (logische) Notwendigkeit eines Erkenntnisses“, dass nämlich in einem kategorischen Urteil relativ zu einem anderen als seinem Grund „notwendig so und nicht anders geurteilt werden müsse, d.i. dass d</w:t>
      </w:r>
      <w:r w:rsidR="007334C6">
        <w:rPr>
          <w:rFonts w:ascii="Times New Roman" w:hAnsi="Times New Roman" w:cs="Times New Roman"/>
          <w:sz w:val="24"/>
          <w:szCs w:val="24"/>
        </w:rPr>
        <w:t>as Gegenteil falsch sei“.</w:t>
      </w:r>
      <w:r w:rsidR="007334C6">
        <w:rPr>
          <w:rStyle w:val="Funotenzeichen"/>
          <w:rFonts w:ascii="Times New Roman" w:hAnsi="Times New Roman" w:cs="Times New Roman"/>
          <w:sz w:val="24"/>
          <w:szCs w:val="24"/>
        </w:rPr>
        <w:footnoteReference w:id="36"/>
      </w:r>
      <w:r w:rsidR="004C4649" w:rsidRPr="009404FC">
        <w:rPr>
          <w:rFonts w:ascii="Times New Roman" w:hAnsi="Times New Roman" w:cs="Times New Roman"/>
          <w:sz w:val="24"/>
          <w:szCs w:val="24"/>
        </w:rPr>
        <w:t xml:space="preserve"> Nach dem Grundsatz vom ausgeschlossenen Dritten folgt „aus dem Gegenteil“ jedes wahren Gr</w:t>
      </w:r>
      <w:r w:rsidR="007334C6">
        <w:rPr>
          <w:rFonts w:ascii="Times New Roman" w:hAnsi="Times New Roman" w:cs="Times New Roman"/>
          <w:sz w:val="24"/>
          <w:szCs w:val="24"/>
        </w:rPr>
        <w:t>undes auch „die falsche Folge“</w:t>
      </w:r>
      <w:r w:rsidR="007334C6">
        <w:rPr>
          <w:rStyle w:val="Funotenzeichen"/>
          <w:rFonts w:ascii="Times New Roman" w:hAnsi="Times New Roman" w:cs="Times New Roman"/>
          <w:sz w:val="24"/>
          <w:szCs w:val="24"/>
        </w:rPr>
        <w:footnoteReference w:id="37"/>
      </w:r>
      <w:r w:rsidR="004C4649" w:rsidRPr="009404FC">
        <w:rPr>
          <w:rFonts w:ascii="Times New Roman" w:hAnsi="Times New Roman" w:cs="Times New Roman"/>
          <w:sz w:val="24"/>
          <w:szCs w:val="24"/>
        </w:rPr>
        <w:t xml:space="preserve">, d.h. die Falschheit des mit dem negierten Vordersatz verknüpften Nachsatzes. </w:t>
      </w:r>
      <w:r w:rsidR="00DA5E63" w:rsidRPr="009404FC">
        <w:rPr>
          <w:rFonts w:ascii="Times New Roman" w:hAnsi="Times New Roman" w:cs="Times New Roman"/>
          <w:sz w:val="24"/>
          <w:szCs w:val="24"/>
        </w:rPr>
        <w:t>Durch diesen Grundsatz wird „das Fürwahrhalten einer Voraussetzung als Grundes“</w:t>
      </w:r>
      <w:r w:rsidR="002C4356">
        <w:rPr>
          <w:rFonts w:ascii="Times New Roman" w:hAnsi="Times New Roman" w:cs="Times New Roman"/>
          <w:sz w:val="24"/>
          <w:szCs w:val="24"/>
        </w:rPr>
        <w:t xml:space="preserve"> ausgedrückt.</w:t>
      </w:r>
      <w:r w:rsidR="00AE3301">
        <w:rPr>
          <w:rStyle w:val="Funotenzeichen"/>
          <w:rFonts w:ascii="Times New Roman" w:hAnsi="Times New Roman" w:cs="Times New Roman"/>
          <w:sz w:val="24"/>
          <w:szCs w:val="24"/>
        </w:rPr>
        <w:footnoteReference w:id="38"/>
      </w:r>
      <w:r w:rsidR="00DA5E63" w:rsidRPr="009404FC">
        <w:rPr>
          <w:rFonts w:ascii="Times New Roman" w:hAnsi="Times New Roman" w:cs="Times New Roman"/>
          <w:sz w:val="24"/>
          <w:szCs w:val="24"/>
        </w:rPr>
        <w:t xml:space="preserve"> </w:t>
      </w:r>
    </w:p>
    <w:p w:rsidR="00DA5E63" w:rsidRPr="009404FC" w:rsidRDefault="00DA5E63"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Urteile, in denen die Einschlägigkeit und Vollständigkeit einer Menge von Bedingungen als hinreichende Bedingungen für eine Folge vorausgesetzt wird, sind nach Kant ihrer Form nach disjunktive Urteile. Die „Glieder der Disjunktion insgesamt“ sind „problematische Urteile </w:t>
      </w:r>
      <w:r w:rsidR="0080616C">
        <w:rPr>
          <w:rFonts w:ascii="Times New Roman" w:hAnsi="Times New Roman" w:cs="Times New Roman"/>
          <w:sz w:val="24"/>
          <w:szCs w:val="24"/>
        </w:rPr>
        <w:t>[</w:t>
      </w:r>
      <w:r w:rsidRPr="009404FC">
        <w:rPr>
          <w:rFonts w:ascii="Times New Roman" w:hAnsi="Times New Roman" w:cs="Times New Roman"/>
          <w:sz w:val="24"/>
          <w:szCs w:val="24"/>
        </w:rPr>
        <w:t>…</w:t>
      </w:r>
      <w:r w:rsidR="0080616C">
        <w:rPr>
          <w:rFonts w:ascii="Times New Roman" w:hAnsi="Times New Roman" w:cs="Times New Roman"/>
          <w:sz w:val="24"/>
          <w:szCs w:val="24"/>
        </w:rPr>
        <w:t>]</w:t>
      </w:r>
      <w:r w:rsidRPr="009404FC">
        <w:rPr>
          <w:rFonts w:ascii="Times New Roman" w:hAnsi="Times New Roman" w:cs="Times New Roman"/>
          <w:sz w:val="24"/>
          <w:szCs w:val="24"/>
        </w:rPr>
        <w:t xml:space="preserve">, von denen nichts anders gedacht wird, als dass sie, wie Teile der Sphäre einer Erkenntnis, jedes des anderen Ergänzung zu Ganzen (complementum ad totum), zusammengenommen, </w:t>
      </w:r>
      <w:r w:rsidR="003353D3" w:rsidRPr="009404FC">
        <w:rPr>
          <w:rFonts w:ascii="Times New Roman" w:hAnsi="Times New Roman" w:cs="Times New Roman"/>
          <w:sz w:val="24"/>
          <w:szCs w:val="24"/>
        </w:rPr>
        <w:t>der Sp</w:t>
      </w:r>
      <w:r w:rsidR="0080616C">
        <w:rPr>
          <w:rFonts w:ascii="Times New Roman" w:hAnsi="Times New Roman" w:cs="Times New Roman"/>
          <w:sz w:val="24"/>
          <w:szCs w:val="24"/>
        </w:rPr>
        <w:t>h</w:t>
      </w:r>
      <w:r w:rsidR="003353D3" w:rsidRPr="009404FC">
        <w:rPr>
          <w:rFonts w:ascii="Times New Roman" w:hAnsi="Times New Roman" w:cs="Times New Roman"/>
          <w:sz w:val="24"/>
          <w:szCs w:val="24"/>
        </w:rPr>
        <w:t xml:space="preserve">äre“ der Folge „gleich seien </w:t>
      </w:r>
      <w:r w:rsidR="007D4EC0">
        <w:rPr>
          <w:rFonts w:ascii="Times New Roman" w:hAnsi="Times New Roman" w:cs="Times New Roman"/>
          <w:sz w:val="24"/>
          <w:szCs w:val="24"/>
        </w:rPr>
        <w:t>[</w:t>
      </w:r>
      <w:r w:rsidR="003353D3" w:rsidRPr="009404FC">
        <w:rPr>
          <w:rFonts w:ascii="Times New Roman" w:hAnsi="Times New Roman" w:cs="Times New Roman"/>
          <w:sz w:val="24"/>
          <w:szCs w:val="24"/>
        </w:rPr>
        <w:t>…</w:t>
      </w:r>
      <w:r w:rsidR="007D4EC0">
        <w:rPr>
          <w:rFonts w:ascii="Times New Roman" w:hAnsi="Times New Roman" w:cs="Times New Roman"/>
          <w:sz w:val="24"/>
          <w:szCs w:val="24"/>
        </w:rPr>
        <w:t>]</w:t>
      </w:r>
      <w:r w:rsidR="003353D3" w:rsidRPr="009404FC">
        <w:rPr>
          <w:rFonts w:ascii="Times New Roman" w:hAnsi="Times New Roman" w:cs="Times New Roman"/>
          <w:sz w:val="24"/>
          <w:szCs w:val="24"/>
        </w:rPr>
        <w:t xml:space="preserve">, folglich“ in jedem Fall „weder außer ihnen etwas anders, noch auch unter ihnen mehr </w:t>
      </w:r>
      <w:r w:rsidR="00AE3301">
        <w:rPr>
          <w:rFonts w:ascii="Times New Roman" w:hAnsi="Times New Roman" w:cs="Times New Roman"/>
          <w:sz w:val="24"/>
          <w:szCs w:val="24"/>
        </w:rPr>
        <w:t>als Eines wahr sein kann“</w:t>
      </w:r>
      <w:r w:rsidR="00AE3301">
        <w:rPr>
          <w:rStyle w:val="Funotenzeichen"/>
          <w:rFonts w:ascii="Times New Roman" w:hAnsi="Times New Roman" w:cs="Times New Roman"/>
          <w:sz w:val="24"/>
          <w:szCs w:val="24"/>
        </w:rPr>
        <w:footnoteReference w:id="39"/>
      </w:r>
      <w:r w:rsidR="003353D3" w:rsidRPr="009404FC">
        <w:rPr>
          <w:rFonts w:ascii="Times New Roman" w:hAnsi="Times New Roman" w:cs="Times New Roman"/>
          <w:sz w:val="24"/>
          <w:szCs w:val="24"/>
        </w:rPr>
        <w:t xml:space="preserve">. </w:t>
      </w:r>
      <w:r w:rsidR="001F2A04" w:rsidRPr="009404FC">
        <w:rPr>
          <w:rFonts w:ascii="Times New Roman" w:hAnsi="Times New Roman" w:cs="Times New Roman"/>
          <w:sz w:val="24"/>
          <w:szCs w:val="24"/>
        </w:rPr>
        <w:t xml:space="preserve">Die in disjunktiven Urteilen erwähnten Gründe derselben Folge stehen </w:t>
      </w:r>
      <w:r w:rsidR="00A267D2">
        <w:rPr>
          <w:rFonts w:ascii="Times New Roman" w:hAnsi="Times New Roman" w:cs="Times New Roman"/>
          <w:sz w:val="24"/>
          <w:szCs w:val="24"/>
        </w:rPr>
        <w:t>in disjunktivem</w:t>
      </w:r>
      <w:r w:rsidR="00783F00" w:rsidRPr="009404FC">
        <w:rPr>
          <w:rFonts w:ascii="Times New Roman" w:hAnsi="Times New Roman" w:cs="Times New Roman"/>
          <w:sz w:val="24"/>
          <w:szCs w:val="24"/>
        </w:rPr>
        <w:t xml:space="preserve">, d.h. in ausschließend alternativem Verhältnis zueinander, da „in den disjunktiven Urteilen nicht die Sphäre des eingeteilten Begriffs, </w:t>
      </w:r>
      <w:r w:rsidR="007D4EC0">
        <w:rPr>
          <w:rFonts w:ascii="Times New Roman" w:hAnsi="Times New Roman" w:cs="Times New Roman"/>
          <w:sz w:val="24"/>
          <w:szCs w:val="24"/>
        </w:rPr>
        <w:t>[</w:t>
      </w:r>
      <w:r w:rsidR="00783F00" w:rsidRPr="009404FC">
        <w:rPr>
          <w:rFonts w:ascii="Times New Roman" w:hAnsi="Times New Roman" w:cs="Times New Roman"/>
          <w:sz w:val="24"/>
          <w:szCs w:val="24"/>
        </w:rPr>
        <w:t>…</w:t>
      </w:r>
      <w:r w:rsidR="007D4EC0">
        <w:rPr>
          <w:rFonts w:ascii="Times New Roman" w:hAnsi="Times New Roman" w:cs="Times New Roman"/>
          <w:sz w:val="24"/>
          <w:szCs w:val="24"/>
        </w:rPr>
        <w:t>]</w:t>
      </w:r>
      <w:r w:rsidR="00783F00" w:rsidRPr="009404FC">
        <w:rPr>
          <w:rFonts w:ascii="Times New Roman" w:hAnsi="Times New Roman" w:cs="Times New Roman"/>
          <w:sz w:val="24"/>
          <w:szCs w:val="24"/>
        </w:rPr>
        <w:t xml:space="preserve"> sondern das, was unter dem eingeteilten Begriffe enthalten ist, als enthalten unter einem der Glieder der Ei</w:t>
      </w:r>
      <w:r w:rsidR="00593B77">
        <w:rPr>
          <w:rFonts w:ascii="Times New Roman" w:hAnsi="Times New Roman" w:cs="Times New Roman"/>
          <w:sz w:val="24"/>
          <w:szCs w:val="24"/>
        </w:rPr>
        <w:t>nteilung betrachtet“</w:t>
      </w:r>
      <w:r w:rsidR="00AE3301">
        <w:rPr>
          <w:rStyle w:val="Funotenzeichen"/>
          <w:rFonts w:ascii="Times New Roman" w:hAnsi="Times New Roman" w:cs="Times New Roman"/>
          <w:sz w:val="24"/>
          <w:szCs w:val="24"/>
        </w:rPr>
        <w:footnoteReference w:id="40"/>
      </w:r>
      <w:r w:rsidR="00593B77">
        <w:rPr>
          <w:rFonts w:ascii="Times New Roman" w:hAnsi="Times New Roman" w:cs="Times New Roman"/>
          <w:sz w:val="24"/>
          <w:szCs w:val="24"/>
        </w:rPr>
        <w:t xml:space="preserve"> wird</w:t>
      </w:r>
      <w:r w:rsidR="00783F00" w:rsidRPr="009404FC">
        <w:rPr>
          <w:rFonts w:ascii="Times New Roman" w:hAnsi="Times New Roman" w:cs="Times New Roman"/>
          <w:sz w:val="24"/>
          <w:szCs w:val="24"/>
        </w:rPr>
        <w:t xml:space="preserve">. </w:t>
      </w:r>
    </w:p>
    <w:p w:rsidR="00783F00" w:rsidRPr="009404FC" w:rsidRDefault="00227BB6"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Betrachtet man kategorische Urteile modal, d.h. im „Wert der Copula in Beziehung </w:t>
      </w:r>
      <w:r w:rsidR="00697D4A">
        <w:rPr>
          <w:rFonts w:ascii="Times New Roman" w:hAnsi="Times New Roman" w:cs="Times New Roman"/>
          <w:sz w:val="24"/>
          <w:szCs w:val="24"/>
        </w:rPr>
        <w:t>auf das Denken überhaupt“</w:t>
      </w:r>
      <w:r w:rsidR="00697D4A">
        <w:rPr>
          <w:rStyle w:val="Funotenzeichen"/>
          <w:rFonts w:ascii="Times New Roman" w:hAnsi="Times New Roman" w:cs="Times New Roman"/>
          <w:sz w:val="24"/>
          <w:szCs w:val="24"/>
        </w:rPr>
        <w:footnoteReference w:id="41"/>
      </w:r>
      <w:r w:rsidRPr="009404FC">
        <w:rPr>
          <w:rFonts w:ascii="Times New Roman" w:hAnsi="Times New Roman" w:cs="Times New Roman"/>
          <w:sz w:val="24"/>
          <w:szCs w:val="24"/>
        </w:rPr>
        <w:t>, so ist es der Satz des ausgeschlossenen Dritten, „worauf sich d</w:t>
      </w:r>
      <w:r w:rsidR="009A17FD" w:rsidRPr="009404FC">
        <w:rPr>
          <w:rFonts w:ascii="Times New Roman" w:hAnsi="Times New Roman" w:cs="Times New Roman"/>
          <w:sz w:val="24"/>
          <w:szCs w:val="24"/>
        </w:rPr>
        <w:t xml:space="preserve">ie </w:t>
      </w:r>
      <w:r w:rsidR="009A17FD" w:rsidRPr="009404FC">
        <w:rPr>
          <w:rFonts w:ascii="Times New Roman" w:hAnsi="Times New Roman" w:cs="Times New Roman"/>
          <w:sz w:val="24"/>
          <w:szCs w:val="24"/>
        </w:rPr>
        <w:lastRenderedPageBreak/>
        <w:t xml:space="preserve">(logische) Notwendigkeit </w:t>
      </w:r>
      <w:r w:rsidR="007D4EC0">
        <w:rPr>
          <w:rFonts w:ascii="Times New Roman" w:hAnsi="Times New Roman" w:cs="Times New Roman"/>
          <w:sz w:val="24"/>
          <w:szCs w:val="24"/>
        </w:rPr>
        <w:t>[</w:t>
      </w:r>
      <w:r w:rsidR="009A17FD" w:rsidRPr="009404FC">
        <w:rPr>
          <w:rFonts w:ascii="Times New Roman" w:hAnsi="Times New Roman" w:cs="Times New Roman"/>
          <w:sz w:val="24"/>
          <w:szCs w:val="24"/>
        </w:rPr>
        <w:t>…</w:t>
      </w:r>
      <w:r w:rsidR="007D4EC0">
        <w:rPr>
          <w:rFonts w:ascii="Times New Roman" w:hAnsi="Times New Roman" w:cs="Times New Roman"/>
          <w:sz w:val="24"/>
          <w:szCs w:val="24"/>
        </w:rPr>
        <w:t>]</w:t>
      </w:r>
      <w:r w:rsidR="009A17FD" w:rsidRPr="009404FC">
        <w:rPr>
          <w:rFonts w:ascii="Times New Roman" w:hAnsi="Times New Roman" w:cs="Times New Roman"/>
          <w:sz w:val="24"/>
          <w:szCs w:val="24"/>
        </w:rPr>
        <w:t xml:space="preserve"> gründet – dass notwendig so und nicht anders geurteilt werden müsse, d.i. dass das Gegenteil falsch sei – </w:t>
      </w:r>
      <w:r w:rsidR="00697D4A">
        <w:rPr>
          <w:rFonts w:ascii="Times New Roman" w:hAnsi="Times New Roman" w:cs="Times New Roman"/>
          <w:sz w:val="24"/>
          <w:szCs w:val="24"/>
        </w:rPr>
        <w:t>für apodiktische Urteile“</w:t>
      </w:r>
      <w:r w:rsidR="00697D4A">
        <w:rPr>
          <w:rStyle w:val="Funotenzeichen"/>
          <w:rFonts w:ascii="Times New Roman" w:hAnsi="Times New Roman" w:cs="Times New Roman"/>
          <w:sz w:val="24"/>
          <w:szCs w:val="24"/>
        </w:rPr>
        <w:footnoteReference w:id="42"/>
      </w:r>
      <w:r w:rsidR="009A17FD" w:rsidRPr="009404FC">
        <w:rPr>
          <w:rFonts w:ascii="Times New Roman" w:hAnsi="Times New Roman" w:cs="Times New Roman"/>
          <w:sz w:val="24"/>
          <w:szCs w:val="24"/>
        </w:rPr>
        <w:t xml:space="preserve">. Durch ihn wird das in hypothetischen Urteilen formulierte Verhältnis kategorischer Urteile zueinander als allgemeingültig bestimmt, so dass die in einem kategorischen Urteil durch ein beliebiges bestimmtes Merkmal gekennzeichneten Dinge im Unterschied zu den anderen durch genau dieses Merkmal gekennzeichnet werden müssen. </w:t>
      </w:r>
    </w:p>
    <w:p w:rsidR="003A59A2" w:rsidRPr="009404FC" w:rsidRDefault="00005899"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Elementar sollen die zwölf von Kant gen</w:t>
      </w:r>
      <w:r w:rsidR="007C2B86">
        <w:rPr>
          <w:rFonts w:ascii="Times New Roman" w:hAnsi="Times New Roman" w:cs="Times New Roman"/>
          <w:sz w:val="24"/>
          <w:szCs w:val="24"/>
        </w:rPr>
        <w:t>annten Urteilsformen nicht i</w:t>
      </w:r>
      <w:r w:rsidRPr="009404FC">
        <w:rPr>
          <w:rFonts w:ascii="Times New Roman" w:hAnsi="Times New Roman" w:cs="Times New Roman"/>
          <w:sz w:val="24"/>
          <w:szCs w:val="24"/>
        </w:rPr>
        <w:t xml:space="preserve">m Sinne der technischen Unmöglichkeit sein, sie mithilfe einer geringeren Zahl vorausgesetzter Funktionen zu definieren, sondern im Sinne der allgemeinen Notwendigkeit ihrer Verwendung, um irgendetwas überhaupt sicher eine unterscheidende Eigenschaft zusprechen zu können. Auch wenn sich Funktionen von Begriffen in Urteilen finden lassen, aus denen man die von Kant genannten Formen bilden kann, so ist damit noch nicht entschieden, ob und welche der möglichen Bildungen man vorzunehmen hätte, um Prädikationen ihrer internen und relationalen Form nach als korrekte Kennzeichnungen von etwas auszuzeichnen. Vollständigkeit beansprucht Kant für seine Urteilstafel, da die Formen kategorischer, hypothetischer und disjunktiver Urteile </w:t>
      </w:r>
      <w:r w:rsidR="002E04B6" w:rsidRPr="009404FC">
        <w:rPr>
          <w:rFonts w:ascii="Times New Roman" w:hAnsi="Times New Roman" w:cs="Times New Roman"/>
          <w:sz w:val="24"/>
          <w:szCs w:val="24"/>
        </w:rPr>
        <w:t>hinreichen, um Kennzeichnungen als korrekt auszuweisen. Kontingent partikuläre Urteile</w:t>
      </w:r>
      <w:r w:rsidR="00BB72B9" w:rsidRPr="009404FC">
        <w:rPr>
          <w:rFonts w:ascii="Times New Roman" w:hAnsi="Times New Roman" w:cs="Times New Roman"/>
          <w:sz w:val="24"/>
          <w:szCs w:val="24"/>
        </w:rPr>
        <w:t xml:space="preserve"> wie ´Einige Franzosen sind Generäle (aber nicht alle, wie mitzudenken ist)´</w:t>
      </w:r>
      <w:r w:rsidR="002E04B6" w:rsidRPr="009404FC">
        <w:rPr>
          <w:rFonts w:ascii="Times New Roman" w:hAnsi="Times New Roman" w:cs="Times New Roman"/>
          <w:sz w:val="24"/>
          <w:szCs w:val="24"/>
        </w:rPr>
        <w:t xml:space="preserve"> oder Ausdrücke für Relationen zwischen Dingen können nach Kant in der allgemeinen Logik nicht berücksichtigt werden, da dies die Möglichkeit der Verwendung inhaltlicher, also besonderer Kriterien bei der Unterscheidung von Dingen voraussetzen würde. </w:t>
      </w:r>
      <w:r w:rsidR="00C6312D" w:rsidRPr="009404FC">
        <w:rPr>
          <w:rFonts w:ascii="Times New Roman" w:hAnsi="Times New Roman" w:cs="Times New Roman"/>
          <w:sz w:val="24"/>
          <w:szCs w:val="24"/>
        </w:rPr>
        <w:t xml:space="preserve">Die von Kant herausgestellten Urteilsformen ermöglichen Schlüsse, aber an diesen ist er nicht in erster Linie interessiert; und dass </w:t>
      </w:r>
      <w:r w:rsidR="00401D8B">
        <w:rPr>
          <w:rFonts w:ascii="Times New Roman" w:hAnsi="Times New Roman" w:cs="Times New Roman"/>
          <w:sz w:val="24"/>
          <w:szCs w:val="24"/>
        </w:rPr>
        <w:t xml:space="preserve">sich für einige von ihnen </w:t>
      </w:r>
      <w:r w:rsidR="00972A33" w:rsidRPr="009404FC">
        <w:rPr>
          <w:rFonts w:ascii="Times New Roman" w:hAnsi="Times New Roman" w:cs="Times New Roman"/>
          <w:sz w:val="24"/>
          <w:szCs w:val="24"/>
        </w:rPr>
        <w:t xml:space="preserve">Schemata </w:t>
      </w:r>
      <w:r w:rsidR="00C6312D" w:rsidRPr="009404FC">
        <w:rPr>
          <w:rFonts w:ascii="Times New Roman" w:hAnsi="Times New Roman" w:cs="Times New Roman"/>
          <w:sz w:val="24"/>
          <w:szCs w:val="24"/>
        </w:rPr>
        <w:t xml:space="preserve">finden lassen, </w:t>
      </w:r>
      <w:r w:rsidR="00972A33" w:rsidRPr="009404FC">
        <w:rPr>
          <w:rFonts w:ascii="Times New Roman" w:hAnsi="Times New Roman" w:cs="Times New Roman"/>
          <w:sz w:val="24"/>
          <w:szCs w:val="24"/>
        </w:rPr>
        <w:t>die bei jeder beliebigen Wahrheitswertbelegung ihrer Aussagen wahr sind, ist erkenntnistheoretisch</w:t>
      </w:r>
      <w:r w:rsidR="00C6312D" w:rsidRPr="009404FC">
        <w:rPr>
          <w:rFonts w:ascii="Times New Roman" w:hAnsi="Times New Roman" w:cs="Times New Roman"/>
          <w:sz w:val="24"/>
          <w:szCs w:val="24"/>
        </w:rPr>
        <w:t xml:space="preserve"> </w:t>
      </w:r>
      <w:r w:rsidR="00972A33" w:rsidRPr="009404FC">
        <w:rPr>
          <w:rFonts w:ascii="Times New Roman" w:hAnsi="Times New Roman" w:cs="Times New Roman"/>
          <w:sz w:val="24"/>
          <w:szCs w:val="24"/>
        </w:rPr>
        <w:t xml:space="preserve">wenig </w:t>
      </w:r>
      <w:r w:rsidR="00C6312D" w:rsidRPr="009404FC">
        <w:rPr>
          <w:rFonts w:ascii="Times New Roman" w:hAnsi="Times New Roman" w:cs="Times New Roman"/>
          <w:sz w:val="24"/>
          <w:szCs w:val="24"/>
        </w:rPr>
        <w:t>i</w:t>
      </w:r>
      <w:r w:rsidR="00972A33" w:rsidRPr="009404FC">
        <w:rPr>
          <w:rFonts w:ascii="Times New Roman" w:hAnsi="Times New Roman" w:cs="Times New Roman"/>
          <w:sz w:val="24"/>
          <w:szCs w:val="24"/>
        </w:rPr>
        <w:t xml:space="preserve">nteressant. </w:t>
      </w:r>
    </w:p>
    <w:p w:rsidR="00204FF1" w:rsidRPr="009404FC" w:rsidRDefault="004C3C9E"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 xml:space="preserve">Kants Theorie der Funktion von Begriffen in Urteilen ist von zentraler Bedeutung für seine Erkenntnistheorie, denn die dadurch beschriebene begriffliche Ordnung wird </w:t>
      </w:r>
      <w:r w:rsidR="003007A5" w:rsidRPr="009404FC">
        <w:rPr>
          <w:rFonts w:ascii="Times New Roman" w:hAnsi="Times New Roman" w:cs="Times New Roman"/>
          <w:sz w:val="24"/>
          <w:szCs w:val="24"/>
        </w:rPr>
        <w:t>von Kant so ausgebaut</w:t>
      </w:r>
      <w:r w:rsidRPr="009404FC">
        <w:rPr>
          <w:rFonts w:ascii="Times New Roman" w:hAnsi="Times New Roman" w:cs="Times New Roman"/>
          <w:sz w:val="24"/>
          <w:szCs w:val="24"/>
        </w:rPr>
        <w:t>, dass sie uns zu einem durchgehenden Bewusstsein unserer einzelnen Wahrnehmungen und darüber zur Erfahrung einer geordneten Welt führt, in der wir uns orientieren können.</w:t>
      </w:r>
      <w:r w:rsidR="00BB72B9" w:rsidRPr="009404FC">
        <w:rPr>
          <w:rFonts w:ascii="Times New Roman" w:hAnsi="Times New Roman" w:cs="Times New Roman"/>
          <w:sz w:val="24"/>
          <w:szCs w:val="24"/>
        </w:rPr>
        <w:t xml:space="preserve"> </w:t>
      </w:r>
      <w:r w:rsidR="00802BF5">
        <w:rPr>
          <w:rFonts w:ascii="Times New Roman" w:hAnsi="Times New Roman" w:cs="Times New Roman"/>
          <w:sz w:val="24"/>
          <w:szCs w:val="24"/>
        </w:rPr>
        <w:t xml:space="preserve">Da die Korrespondenz unserer Urteile zu den Dingen nur durch die Einpassung von Wahrnehmungsurteilen in unsere Erkenntnisse hergestellt werden kann, </w:t>
      </w:r>
      <w:r w:rsidR="002A5F93">
        <w:rPr>
          <w:rFonts w:ascii="Times New Roman" w:hAnsi="Times New Roman" w:cs="Times New Roman"/>
          <w:sz w:val="24"/>
          <w:szCs w:val="24"/>
        </w:rPr>
        <w:t>ist Kants Erkenntnistheorie eine Kohärenztheorie. Die Kategorien sind</w:t>
      </w:r>
      <w:r w:rsidR="00C6312D" w:rsidRPr="009404FC">
        <w:rPr>
          <w:rFonts w:ascii="Times New Roman" w:hAnsi="Times New Roman" w:cs="Times New Roman"/>
          <w:sz w:val="24"/>
          <w:szCs w:val="24"/>
        </w:rPr>
        <w:t xml:space="preserve"> Metabegriffe der Beurteilung von Urteilen als korrekt </w:t>
      </w:r>
      <w:r w:rsidR="007C2B86">
        <w:rPr>
          <w:rFonts w:ascii="Times New Roman" w:hAnsi="Times New Roman" w:cs="Times New Roman"/>
          <w:sz w:val="24"/>
          <w:szCs w:val="24"/>
        </w:rPr>
        <w:t xml:space="preserve">zu dem Zweck gebildet, </w:t>
      </w:r>
      <w:r w:rsidR="00C6312D" w:rsidRPr="009404FC">
        <w:rPr>
          <w:rFonts w:ascii="Times New Roman" w:hAnsi="Times New Roman" w:cs="Times New Roman"/>
          <w:sz w:val="24"/>
          <w:szCs w:val="24"/>
        </w:rPr>
        <w:t xml:space="preserve">den mannigfaltigen Stoff der </w:t>
      </w:r>
      <w:r w:rsidR="00C6312D" w:rsidRPr="009404FC">
        <w:rPr>
          <w:rFonts w:ascii="Times New Roman" w:hAnsi="Times New Roman" w:cs="Times New Roman"/>
          <w:sz w:val="24"/>
          <w:szCs w:val="24"/>
        </w:rPr>
        <w:lastRenderedPageBreak/>
        <w:t>Erfahrung in unserem durchgän</w:t>
      </w:r>
      <w:r w:rsidR="00224675" w:rsidRPr="009404FC">
        <w:rPr>
          <w:rFonts w:ascii="Times New Roman" w:hAnsi="Times New Roman" w:cs="Times New Roman"/>
          <w:sz w:val="24"/>
          <w:szCs w:val="24"/>
        </w:rPr>
        <w:t>gigen Bewusstsein zu vereinigen. Der</w:t>
      </w:r>
      <w:r w:rsidR="00443604" w:rsidRPr="009404FC">
        <w:rPr>
          <w:rFonts w:ascii="Times New Roman" w:hAnsi="Times New Roman" w:cs="Times New Roman"/>
          <w:sz w:val="24"/>
          <w:szCs w:val="24"/>
        </w:rPr>
        <w:t xml:space="preserve"> Grundsatz der Kausalität, mittels dessen wir Ordnung in das zeitliche Erleben der Erscheinungen bringen, ist als Verwendungsform hypothetischer Urteile die nächstliegende Anwendung der Logik. Bei jedem Erkenntnisurteil müssen aber alle Urteilsformen Verwendung finden, denn die Überzeugung von der Existenz eines Gegenstandes ist nach Kant mit der Überzeugung von der kategorial korrekten Bildung seines Erkenntnisurteils identisch.</w:t>
      </w:r>
      <w:r w:rsidR="00697D4A">
        <w:rPr>
          <w:rStyle w:val="Funotenzeichen"/>
          <w:rFonts w:ascii="Times New Roman" w:hAnsi="Times New Roman" w:cs="Times New Roman"/>
          <w:sz w:val="24"/>
          <w:szCs w:val="24"/>
        </w:rPr>
        <w:footnoteReference w:id="43"/>
      </w:r>
      <w:r w:rsidR="002A5F93">
        <w:rPr>
          <w:rFonts w:ascii="Times New Roman" w:hAnsi="Times New Roman" w:cs="Times New Roman"/>
          <w:sz w:val="24"/>
          <w:szCs w:val="24"/>
        </w:rPr>
        <w:t xml:space="preserve"> </w:t>
      </w:r>
    </w:p>
    <w:p w:rsidR="00204FF1" w:rsidRPr="009404FC" w:rsidRDefault="00204FF1" w:rsidP="009404FC">
      <w:pPr>
        <w:spacing w:line="360" w:lineRule="auto"/>
        <w:rPr>
          <w:rFonts w:ascii="Times New Roman" w:hAnsi="Times New Roman" w:cs="Times New Roman"/>
          <w:sz w:val="24"/>
          <w:szCs w:val="24"/>
        </w:rPr>
      </w:pPr>
    </w:p>
    <w:p w:rsidR="008A34F8" w:rsidRDefault="008A34F8">
      <w:pPr>
        <w:rPr>
          <w:rFonts w:ascii="Times New Roman" w:hAnsi="Times New Roman" w:cs="Times New Roman"/>
          <w:sz w:val="24"/>
          <w:szCs w:val="24"/>
        </w:rPr>
      </w:pPr>
      <w:r>
        <w:rPr>
          <w:rFonts w:ascii="Times New Roman" w:hAnsi="Times New Roman" w:cs="Times New Roman"/>
          <w:sz w:val="24"/>
          <w:szCs w:val="24"/>
        </w:rPr>
        <w:br w:type="page"/>
      </w:r>
    </w:p>
    <w:p w:rsidR="00BB72B9" w:rsidRPr="00AC1C73" w:rsidRDefault="00BB72B9" w:rsidP="009404FC">
      <w:pPr>
        <w:spacing w:line="360" w:lineRule="auto"/>
        <w:rPr>
          <w:rFonts w:ascii="Times New Roman" w:hAnsi="Times New Roman" w:cs="Times New Roman"/>
          <w:sz w:val="24"/>
          <w:szCs w:val="24"/>
          <w:u w:val="single"/>
        </w:rPr>
      </w:pPr>
      <w:r w:rsidRPr="00AC1C73">
        <w:rPr>
          <w:rFonts w:ascii="Times New Roman" w:hAnsi="Times New Roman" w:cs="Times New Roman"/>
          <w:sz w:val="24"/>
          <w:szCs w:val="24"/>
          <w:u w:val="single"/>
        </w:rPr>
        <w:lastRenderedPageBreak/>
        <w:t>Literatu</w:t>
      </w:r>
      <w:r w:rsidR="009D7207" w:rsidRPr="00AC1C73">
        <w:rPr>
          <w:rFonts w:ascii="Times New Roman" w:hAnsi="Times New Roman" w:cs="Times New Roman"/>
          <w:sz w:val="24"/>
          <w:szCs w:val="24"/>
          <w:u w:val="single"/>
        </w:rPr>
        <w:t>r</w:t>
      </w:r>
    </w:p>
    <w:p w:rsidR="00AC1C73" w:rsidRDefault="00B46F64" w:rsidP="009404FC">
      <w:pPr>
        <w:spacing w:line="360" w:lineRule="auto"/>
        <w:rPr>
          <w:rFonts w:ascii="Times New Roman" w:hAnsi="Times New Roman" w:cs="Times New Roman"/>
          <w:sz w:val="24"/>
          <w:szCs w:val="24"/>
        </w:rPr>
      </w:pPr>
      <w:r w:rsidRPr="009404FC">
        <w:rPr>
          <w:rFonts w:ascii="Times New Roman" w:hAnsi="Times New Roman" w:cs="Times New Roman"/>
          <w:sz w:val="24"/>
          <w:szCs w:val="24"/>
        </w:rPr>
        <w:t>Husted</w:t>
      </w:r>
      <w:r w:rsidR="00672642">
        <w:rPr>
          <w:rFonts w:ascii="Times New Roman" w:hAnsi="Times New Roman" w:cs="Times New Roman"/>
          <w:sz w:val="24"/>
          <w:szCs w:val="24"/>
        </w:rPr>
        <w:t xml:space="preserve"> (1982), Jörgen</w:t>
      </w:r>
      <w:r w:rsidR="00BE12BE">
        <w:rPr>
          <w:rFonts w:ascii="Times New Roman" w:hAnsi="Times New Roman" w:cs="Times New Roman"/>
          <w:sz w:val="24"/>
          <w:szCs w:val="24"/>
        </w:rPr>
        <w:t xml:space="preserve">: </w:t>
      </w:r>
      <w:r w:rsidRPr="00BE12BE">
        <w:rPr>
          <w:rFonts w:ascii="Times New Roman" w:hAnsi="Times New Roman" w:cs="Times New Roman"/>
          <w:i/>
          <w:sz w:val="24"/>
          <w:szCs w:val="24"/>
        </w:rPr>
        <w:t>Gottlob Frege – Der stille Logiker</w:t>
      </w:r>
      <w:r w:rsidR="008A34F8">
        <w:rPr>
          <w:rFonts w:ascii="Times New Roman" w:hAnsi="Times New Roman" w:cs="Times New Roman"/>
          <w:sz w:val="24"/>
          <w:szCs w:val="24"/>
        </w:rPr>
        <w:t>, i</w:t>
      </w:r>
      <w:r w:rsidRPr="009404FC">
        <w:rPr>
          <w:rFonts w:ascii="Times New Roman" w:hAnsi="Times New Roman" w:cs="Times New Roman"/>
          <w:sz w:val="24"/>
          <w:szCs w:val="24"/>
        </w:rPr>
        <w:t xml:space="preserve">n: Anton Hügli u. Paul Lübcke (Hg.): </w:t>
      </w:r>
      <w:r w:rsidRPr="00BE12BE">
        <w:rPr>
          <w:rFonts w:ascii="Times New Roman" w:hAnsi="Times New Roman" w:cs="Times New Roman"/>
          <w:i/>
          <w:sz w:val="24"/>
          <w:szCs w:val="24"/>
        </w:rPr>
        <w:t>Philosophie im 20. Jahrhundert</w:t>
      </w:r>
      <w:r w:rsidRPr="009404FC">
        <w:rPr>
          <w:rFonts w:ascii="Times New Roman" w:hAnsi="Times New Roman" w:cs="Times New Roman"/>
          <w:sz w:val="24"/>
          <w:szCs w:val="24"/>
        </w:rPr>
        <w:t xml:space="preserve">, Band 2: </w:t>
      </w:r>
      <w:r w:rsidRPr="00BE12BE">
        <w:rPr>
          <w:rFonts w:ascii="Times New Roman" w:hAnsi="Times New Roman" w:cs="Times New Roman"/>
          <w:i/>
          <w:sz w:val="24"/>
          <w:szCs w:val="24"/>
        </w:rPr>
        <w:t>Wissenschaftstheo</w:t>
      </w:r>
      <w:r w:rsidR="009D7207" w:rsidRPr="00BE12BE">
        <w:rPr>
          <w:rFonts w:ascii="Times New Roman" w:hAnsi="Times New Roman" w:cs="Times New Roman"/>
          <w:i/>
          <w:sz w:val="24"/>
          <w:szCs w:val="24"/>
        </w:rPr>
        <w:t>rie und Analytische Philosophie</w:t>
      </w:r>
      <w:r w:rsidR="009D7207">
        <w:rPr>
          <w:rFonts w:ascii="Times New Roman" w:hAnsi="Times New Roman" w:cs="Times New Roman"/>
          <w:sz w:val="24"/>
          <w:szCs w:val="24"/>
        </w:rPr>
        <w:t>,</w:t>
      </w:r>
      <w:r w:rsidRPr="009404FC">
        <w:rPr>
          <w:rFonts w:ascii="Times New Roman" w:hAnsi="Times New Roman" w:cs="Times New Roman"/>
          <w:sz w:val="24"/>
          <w:szCs w:val="24"/>
        </w:rPr>
        <w:t xml:space="preserve"> </w:t>
      </w:r>
      <w:r w:rsidR="009D7207">
        <w:rPr>
          <w:rFonts w:ascii="Times New Roman" w:hAnsi="Times New Roman" w:cs="Times New Roman"/>
          <w:sz w:val="24"/>
          <w:szCs w:val="24"/>
        </w:rPr>
        <w:t>Reinbek</w:t>
      </w:r>
      <w:r w:rsidR="008A34F8">
        <w:rPr>
          <w:rFonts w:ascii="Times New Roman" w:hAnsi="Times New Roman" w:cs="Times New Roman"/>
          <w:sz w:val="24"/>
          <w:szCs w:val="24"/>
        </w:rPr>
        <w:t xml:space="preserve"> 1993, </w:t>
      </w:r>
      <w:r w:rsidR="00C1162B" w:rsidRPr="009404FC">
        <w:rPr>
          <w:rFonts w:ascii="Times New Roman" w:hAnsi="Times New Roman" w:cs="Times New Roman"/>
          <w:sz w:val="24"/>
          <w:szCs w:val="24"/>
        </w:rPr>
        <w:t>83-108 (</w:t>
      </w:r>
      <w:r w:rsidR="008A34F8">
        <w:rPr>
          <w:rFonts w:ascii="Times New Roman" w:hAnsi="Times New Roman" w:cs="Times New Roman"/>
          <w:sz w:val="24"/>
          <w:szCs w:val="24"/>
        </w:rPr>
        <w:t xml:space="preserve">zit. mit dem Jahr der </w:t>
      </w:r>
      <w:r w:rsidR="00C1162B" w:rsidRPr="009404FC">
        <w:rPr>
          <w:rFonts w:ascii="Times New Roman" w:hAnsi="Times New Roman" w:cs="Times New Roman"/>
          <w:sz w:val="24"/>
          <w:szCs w:val="24"/>
        </w:rPr>
        <w:t>Erst</w:t>
      </w:r>
      <w:r w:rsidR="00521AF3">
        <w:rPr>
          <w:rFonts w:ascii="Times New Roman" w:hAnsi="Times New Roman" w:cs="Times New Roman"/>
          <w:sz w:val="24"/>
          <w:szCs w:val="24"/>
        </w:rPr>
        <w:t>veröffentlichung</w:t>
      </w:r>
      <w:r w:rsidR="004C6364">
        <w:rPr>
          <w:rFonts w:ascii="Times New Roman" w:hAnsi="Times New Roman" w:cs="Times New Roman"/>
          <w:sz w:val="24"/>
          <w:szCs w:val="24"/>
        </w:rPr>
        <w:t>,</w:t>
      </w:r>
      <w:r w:rsidR="00521AF3">
        <w:rPr>
          <w:rFonts w:ascii="Times New Roman" w:hAnsi="Times New Roman" w:cs="Times New Roman"/>
          <w:sz w:val="24"/>
          <w:szCs w:val="24"/>
        </w:rPr>
        <w:t xml:space="preserve"> Kopenhagen</w:t>
      </w:r>
      <w:r w:rsidR="00C1162B" w:rsidRPr="009404FC">
        <w:rPr>
          <w:rFonts w:ascii="Times New Roman" w:hAnsi="Times New Roman" w:cs="Times New Roman"/>
          <w:sz w:val="24"/>
          <w:szCs w:val="24"/>
        </w:rPr>
        <w:t>)</w:t>
      </w:r>
      <w:r w:rsidR="00672642">
        <w:rPr>
          <w:rFonts w:ascii="Times New Roman" w:hAnsi="Times New Roman" w:cs="Times New Roman"/>
          <w:sz w:val="24"/>
          <w:szCs w:val="24"/>
        </w:rPr>
        <w:t xml:space="preserve"> </w:t>
      </w:r>
    </w:p>
    <w:p w:rsidR="004C6364" w:rsidRDefault="004C6364" w:rsidP="00AC1C73">
      <w:pPr>
        <w:spacing w:line="360" w:lineRule="auto"/>
        <w:rPr>
          <w:rFonts w:ascii="Times New Roman" w:hAnsi="Times New Roman" w:cs="Times New Roman"/>
          <w:sz w:val="24"/>
          <w:szCs w:val="24"/>
        </w:rPr>
      </w:pPr>
      <w:r>
        <w:rPr>
          <w:rFonts w:ascii="Times New Roman" w:hAnsi="Times New Roman" w:cs="Times New Roman"/>
          <w:sz w:val="24"/>
          <w:szCs w:val="24"/>
        </w:rPr>
        <w:t xml:space="preserve">Kant, Immanuel: </w:t>
      </w:r>
      <w:r w:rsidRPr="000E7FE2">
        <w:rPr>
          <w:rFonts w:ascii="Times New Roman" w:hAnsi="Times New Roman" w:cs="Times New Roman"/>
          <w:i/>
          <w:sz w:val="24"/>
          <w:szCs w:val="24"/>
        </w:rPr>
        <w:t>Gesammelte Schriften</w:t>
      </w:r>
      <w:r>
        <w:rPr>
          <w:rFonts w:ascii="Times New Roman" w:hAnsi="Times New Roman" w:cs="Times New Roman"/>
          <w:sz w:val="24"/>
          <w:szCs w:val="24"/>
        </w:rPr>
        <w:t>, hrsg. v.: Bd. 1-22 Preussische Akademie der Wissenschaften, Bd. 23 Deutsche Akademie der Wissenschaften zu Berlin, ab Bd. 24 Akademie der Wissenschaften zu Göttingen. Berlin 1900ff.</w:t>
      </w:r>
    </w:p>
    <w:p w:rsidR="00BB72B9" w:rsidRPr="009404FC" w:rsidRDefault="00B46F3C" w:rsidP="000E7FE2">
      <w:pPr>
        <w:spacing w:line="360" w:lineRule="auto"/>
        <w:ind w:left="708"/>
        <w:rPr>
          <w:rFonts w:ascii="Times New Roman" w:hAnsi="Times New Roman" w:cs="Times New Roman"/>
          <w:sz w:val="24"/>
          <w:szCs w:val="24"/>
        </w:rPr>
      </w:pPr>
      <w:r w:rsidRPr="00BE12BE">
        <w:rPr>
          <w:rFonts w:ascii="Times New Roman" w:hAnsi="Times New Roman" w:cs="Times New Roman"/>
          <w:i/>
          <w:sz w:val="24"/>
          <w:szCs w:val="24"/>
        </w:rPr>
        <w:t>Kritik der reinen Vernunft -</w:t>
      </w:r>
      <w:r w:rsidR="00BB72B9" w:rsidRPr="00BE12BE">
        <w:rPr>
          <w:rFonts w:ascii="Times New Roman" w:hAnsi="Times New Roman" w:cs="Times New Roman"/>
          <w:i/>
          <w:sz w:val="24"/>
          <w:szCs w:val="24"/>
        </w:rPr>
        <w:t xml:space="preserve"> 2. Auflage von 1787</w:t>
      </w:r>
      <w:r w:rsidR="008A34F8">
        <w:rPr>
          <w:rFonts w:ascii="Times New Roman" w:hAnsi="Times New Roman" w:cs="Times New Roman"/>
          <w:sz w:val="24"/>
          <w:szCs w:val="24"/>
        </w:rPr>
        <w:t>,</w:t>
      </w:r>
      <w:r w:rsidRPr="009404FC">
        <w:rPr>
          <w:rFonts w:ascii="Times New Roman" w:hAnsi="Times New Roman" w:cs="Times New Roman"/>
          <w:sz w:val="24"/>
          <w:szCs w:val="24"/>
        </w:rPr>
        <w:t xml:space="preserve"> </w:t>
      </w:r>
      <w:r w:rsidRPr="00BE12BE">
        <w:rPr>
          <w:rFonts w:ascii="Times New Roman" w:hAnsi="Times New Roman" w:cs="Times New Roman"/>
          <w:i/>
          <w:sz w:val="24"/>
          <w:szCs w:val="24"/>
        </w:rPr>
        <w:t>Kants gesammelte Schriften</w:t>
      </w:r>
      <w:r w:rsidRPr="009404FC">
        <w:rPr>
          <w:rFonts w:ascii="Times New Roman" w:hAnsi="Times New Roman" w:cs="Times New Roman"/>
          <w:sz w:val="24"/>
          <w:szCs w:val="24"/>
        </w:rPr>
        <w:t>,</w:t>
      </w:r>
      <w:r w:rsidR="00544E85">
        <w:rPr>
          <w:rFonts w:ascii="Times New Roman" w:hAnsi="Times New Roman" w:cs="Times New Roman"/>
          <w:sz w:val="24"/>
          <w:szCs w:val="24"/>
        </w:rPr>
        <w:t xml:space="preserve"> Akadem</w:t>
      </w:r>
      <w:r w:rsidR="000E7FE2">
        <w:rPr>
          <w:rFonts w:ascii="Times New Roman" w:hAnsi="Times New Roman" w:cs="Times New Roman"/>
          <w:sz w:val="24"/>
          <w:szCs w:val="24"/>
        </w:rPr>
        <w:t>ie-Ausgabe, Bd. III</w:t>
      </w:r>
      <w:r w:rsidR="00871521" w:rsidRPr="00871521">
        <w:rPr>
          <w:rFonts w:ascii="Times New Roman" w:hAnsi="Times New Roman" w:cs="Times New Roman"/>
          <w:sz w:val="24"/>
          <w:szCs w:val="24"/>
        </w:rPr>
        <w:t xml:space="preserve"> </w:t>
      </w:r>
      <w:r w:rsidR="00871521">
        <w:rPr>
          <w:rFonts w:ascii="Times New Roman" w:hAnsi="Times New Roman" w:cs="Times New Roman"/>
          <w:sz w:val="24"/>
          <w:szCs w:val="24"/>
        </w:rPr>
        <w:t>(zit.</w:t>
      </w:r>
      <w:r w:rsidR="000E7FE2">
        <w:rPr>
          <w:rFonts w:ascii="Times New Roman" w:hAnsi="Times New Roman" w:cs="Times New Roman"/>
          <w:sz w:val="24"/>
          <w:szCs w:val="24"/>
        </w:rPr>
        <w:t xml:space="preserve"> als</w:t>
      </w:r>
      <w:r w:rsidR="00871521">
        <w:rPr>
          <w:rFonts w:ascii="Times New Roman" w:hAnsi="Times New Roman" w:cs="Times New Roman"/>
          <w:sz w:val="24"/>
          <w:szCs w:val="24"/>
        </w:rPr>
        <w:t>:</w:t>
      </w:r>
      <w:r w:rsidR="0084777A">
        <w:rPr>
          <w:rFonts w:ascii="Times New Roman" w:hAnsi="Times New Roman" w:cs="Times New Roman"/>
          <w:sz w:val="24"/>
          <w:szCs w:val="24"/>
        </w:rPr>
        <w:t xml:space="preserve"> </w:t>
      </w:r>
      <w:r w:rsidR="004C6364">
        <w:rPr>
          <w:rFonts w:ascii="Times New Roman" w:hAnsi="Times New Roman" w:cs="Times New Roman"/>
          <w:sz w:val="24"/>
          <w:szCs w:val="24"/>
        </w:rPr>
        <w:t>´</w:t>
      </w:r>
      <w:r w:rsidR="0084777A">
        <w:rPr>
          <w:rFonts w:ascii="Times New Roman" w:hAnsi="Times New Roman" w:cs="Times New Roman"/>
          <w:sz w:val="24"/>
          <w:szCs w:val="24"/>
        </w:rPr>
        <w:t>KrV</w:t>
      </w:r>
      <w:r w:rsidR="00871521">
        <w:rPr>
          <w:rFonts w:ascii="Times New Roman" w:hAnsi="Times New Roman" w:cs="Times New Roman"/>
          <w:sz w:val="24"/>
          <w:szCs w:val="24"/>
        </w:rPr>
        <w:t xml:space="preserve"> B</w:t>
      </w:r>
      <w:r w:rsidR="004C6364">
        <w:rPr>
          <w:rFonts w:ascii="Times New Roman" w:hAnsi="Times New Roman" w:cs="Times New Roman"/>
          <w:sz w:val="24"/>
          <w:szCs w:val="24"/>
        </w:rPr>
        <w:t>´</w:t>
      </w:r>
      <w:r w:rsidR="00672642">
        <w:rPr>
          <w:rFonts w:ascii="Times New Roman" w:hAnsi="Times New Roman" w:cs="Times New Roman"/>
          <w:sz w:val="24"/>
          <w:szCs w:val="24"/>
        </w:rPr>
        <w:t xml:space="preserve">) </w:t>
      </w:r>
    </w:p>
    <w:p w:rsidR="00B46F3C" w:rsidRPr="009404FC" w:rsidRDefault="00B46F3C" w:rsidP="000E7FE2">
      <w:pPr>
        <w:spacing w:line="360" w:lineRule="auto"/>
        <w:ind w:left="708"/>
        <w:rPr>
          <w:rFonts w:ascii="Times New Roman" w:hAnsi="Times New Roman" w:cs="Times New Roman"/>
          <w:sz w:val="24"/>
          <w:szCs w:val="24"/>
        </w:rPr>
      </w:pPr>
      <w:r w:rsidRPr="00BE12BE">
        <w:rPr>
          <w:rFonts w:ascii="Times New Roman" w:hAnsi="Times New Roman" w:cs="Times New Roman"/>
          <w:i/>
          <w:sz w:val="24"/>
          <w:szCs w:val="24"/>
        </w:rPr>
        <w:t>Immanuel Kant´s Logi</w:t>
      </w:r>
      <w:r w:rsidR="00871521" w:rsidRPr="00BE12BE">
        <w:rPr>
          <w:rFonts w:ascii="Times New Roman" w:hAnsi="Times New Roman" w:cs="Times New Roman"/>
          <w:i/>
          <w:sz w:val="24"/>
          <w:szCs w:val="24"/>
        </w:rPr>
        <w:t>k – Ein Handbuch zu Vorlesungen</w:t>
      </w:r>
      <w:r w:rsidR="00871521">
        <w:rPr>
          <w:rFonts w:ascii="Times New Roman" w:hAnsi="Times New Roman" w:cs="Times New Roman"/>
          <w:sz w:val="24"/>
          <w:szCs w:val="24"/>
        </w:rPr>
        <w:t>, h</w:t>
      </w:r>
      <w:r w:rsidRPr="009404FC">
        <w:rPr>
          <w:rFonts w:ascii="Times New Roman" w:hAnsi="Times New Roman" w:cs="Times New Roman"/>
          <w:sz w:val="24"/>
          <w:szCs w:val="24"/>
        </w:rPr>
        <w:t>rsg v. G.B. Jäsche, Akademie-Ausgabe, Bd. IX</w:t>
      </w:r>
      <w:r w:rsidR="00E651EA">
        <w:rPr>
          <w:rFonts w:ascii="Times New Roman" w:hAnsi="Times New Roman" w:cs="Times New Roman"/>
          <w:sz w:val="24"/>
          <w:szCs w:val="24"/>
        </w:rPr>
        <w:t xml:space="preserve"> (zit. als ´Log</w:t>
      </w:r>
      <w:r w:rsidR="00CE6150">
        <w:rPr>
          <w:rFonts w:ascii="Times New Roman" w:hAnsi="Times New Roman" w:cs="Times New Roman"/>
          <w:sz w:val="24"/>
          <w:szCs w:val="24"/>
        </w:rPr>
        <w:t>´</w:t>
      </w:r>
      <w:r w:rsidR="00672642">
        <w:rPr>
          <w:rFonts w:ascii="Times New Roman" w:hAnsi="Times New Roman" w:cs="Times New Roman"/>
          <w:sz w:val="24"/>
          <w:szCs w:val="24"/>
        </w:rPr>
        <w:t xml:space="preserve">) </w:t>
      </w:r>
    </w:p>
    <w:p w:rsidR="003007A5" w:rsidRDefault="003007A5" w:rsidP="000E7FE2">
      <w:pPr>
        <w:spacing w:line="360" w:lineRule="auto"/>
        <w:ind w:left="708"/>
        <w:rPr>
          <w:rFonts w:ascii="Times New Roman" w:hAnsi="Times New Roman" w:cs="Times New Roman"/>
          <w:sz w:val="24"/>
          <w:szCs w:val="24"/>
        </w:rPr>
      </w:pPr>
      <w:r w:rsidRPr="00BE12BE">
        <w:rPr>
          <w:rFonts w:ascii="Times New Roman" w:hAnsi="Times New Roman" w:cs="Times New Roman"/>
          <w:i/>
          <w:sz w:val="24"/>
          <w:szCs w:val="24"/>
        </w:rPr>
        <w:t>Brief an B</w:t>
      </w:r>
      <w:r w:rsidR="00905BEB" w:rsidRPr="00BE12BE">
        <w:rPr>
          <w:rFonts w:ascii="Times New Roman" w:hAnsi="Times New Roman" w:cs="Times New Roman"/>
          <w:i/>
          <w:sz w:val="24"/>
          <w:szCs w:val="24"/>
        </w:rPr>
        <w:t>eck vom 3.7.1792</w:t>
      </w:r>
      <w:r w:rsidR="00905BEB">
        <w:rPr>
          <w:rFonts w:ascii="Times New Roman" w:hAnsi="Times New Roman" w:cs="Times New Roman"/>
          <w:sz w:val="24"/>
          <w:szCs w:val="24"/>
        </w:rPr>
        <w:t xml:space="preserve">: </w:t>
      </w:r>
      <w:r w:rsidR="00905BEB" w:rsidRPr="00BE12BE">
        <w:rPr>
          <w:rFonts w:ascii="Times New Roman" w:hAnsi="Times New Roman" w:cs="Times New Roman"/>
          <w:i/>
          <w:sz w:val="24"/>
          <w:szCs w:val="24"/>
        </w:rPr>
        <w:t xml:space="preserve">Immanuel Kant, </w:t>
      </w:r>
      <w:r w:rsidR="00544E85" w:rsidRPr="00BE12BE">
        <w:rPr>
          <w:rFonts w:ascii="Times New Roman" w:hAnsi="Times New Roman" w:cs="Times New Roman"/>
          <w:i/>
          <w:sz w:val="24"/>
          <w:szCs w:val="24"/>
        </w:rPr>
        <w:t>Briefwechsel</w:t>
      </w:r>
      <w:r w:rsidRPr="009404FC">
        <w:rPr>
          <w:rFonts w:ascii="Times New Roman" w:hAnsi="Times New Roman" w:cs="Times New Roman"/>
          <w:sz w:val="24"/>
          <w:szCs w:val="24"/>
        </w:rPr>
        <w:t>, A</w:t>
      </w:r>
      <w:r w:rsidR="003364F3">
        <w:rPr>
          <w:rFonts w:ascii="Times New Roman" w:hAnsi="Times New Roman" w:cs="Times New Roman"/>
          <w:sz w:val="24"/>
          <w:szCs w:val="24"/>
        </w:rPr>
        <w:t xml:space="preserve">kademie </w:t>
      </w:r>
      <w:r w:rsidRPr="009404FC">
        <w:rPr>
          <w:rFonts w:ascii="Times New Roman" w:hAnsi="Times New Roman" w:cs="Times New Roman"/>
          <w:sz w:val="24"/>
          <w:szCs w:val="24"/>
        </w:rPr>
        <w:t>A</w:t>
      </w:r>
      <w:r w:rsidR="003364F3">
        <w:rPr>
          <w:rFonts w:ascii="Times New Roman" w:hAnsi="Times New Roman" w:cs="Times New Roman"/>
          <w:sz w:val="24"/>
          <w:szCs w:val="24"/>
        </w:rPr>
        <w:t>usgabe,</w:t>
      </w:r>
      <w:r w:rsidR="00544E85">
        <w:rPr>
          <w:rFonts w:ascii="Times New Roman" w:hAnsi="Times New Roman" w:cs="Times New Roman"/>
          <w:sz w:val="24"/>
          <w:szCs w:val="24"/>
        </w:rPr>
        <w:t xml:space="preserve"> Bd. XI</w:t>
      </w:r>
      <w:r w:rsidRPr="009404FC">
        <w:rPr>
          <w:rFonts w:ascii="Times New Roman" w:hAnsi="Times New Roman" w:cs="Times New Roman"/>
          <w:sz w:val="24"/>
          <w:szCs w:val="24"/>
        </w:rPr>
        <w:t>, 347</w:t>
      </w:r>
      <w:r w:rsidR="00E3520F">
        <w:rPr>
          <w:rFonts w:ascii="Times New Roman" w:hAnsi="Times New Roman" w:cs="Times New Roman"/>
          <w:sz w:val="24"/>
          <w:szCs w:val="24"/>
        </w:rPr>
        <w:t xml:space="preserve"> (zit. als ´Br</w:t>
      </w:r>
      <w:r w:rsidR="00CE6150">
        <w:rPr>
          <w:rFonts w:ascii="Times New Roman" w:hAnsi="Times New Roman" w:cs="Times New Roman"/>
          <w:sz w:val="24"/>
          <w:szCs w:val="24"/>
        </w:rPr>
        <w:t>´)</w:t>
      </w:r>
    </w:p>
    <w:p w:rsidR="00005551" w:rsidRPr="009404FC" w:rsidRDefault="005D1248" w:rsidP="000E7FE2">
      <w:pPr>
        <w:spacing w:line="360" w:lineRule="auto"/>
        <w:ind w:left="708"/>
        <w:rPr>
          <w:rFonts w:ascii="Times New Roman" w:hAnsi="Times New Roman" w:cs="Times New Roman"/>
          <w:sz w:val="24"/>
          <w:szCs w:val="24"/>
        </w:rPr>
      </w:pPr>
      <w:r w:rsidRPr="00BE12BE">
        <w:rPr>
          <w:rFonts w:ascii="Times New Roman" w:hAnsi="Times New Roman" w:cs="Times New Roman"/>
          <w:i/>
          <w:sz w:val="24"/>
          <w:szCs w:val="24"/>
        </w:rPr>
        <w:t>Handschriftlicher Nachlass, Logik</w:t>
      </w:r>
      <w:r>
        <w:rPr>
          <w:rFonts w:ascii="Times New Roman" w:hAnsi="Times New Roman" w:cs="Times New Roman"/>
          <w:sz w:val="24"/>
          <w:szCs w:val="24"/>
        </w:rPr>
        <w:t xml:space="preserve">, </w:t>
      </w:r>
      <w:r w:rsidR="00005551" w:rsidRPr="009404FC">
        <w:rPr>
          <w:rFonts w:ascii="Times New Roman" w:hAnsi="Times New Roman" w:cs="Times New Roman"/>
          <w:sz w:val="24"/>
          <w:szCs w:val="24"/>
        </w:rPr>
        <w:t>Ak</w:t>
      </w:r>
      <w:r w:rsidR="00871521">
        <w:rPr>
          <w:rFonts w:ascii="Times New Roman" w:hAnsi="Times New Roman" w:cs="Times New Roman"/>
          <w:sz w:val="24"/>
          <w:szCs w:val="24"/>
        </w:rPr>
        <w:t xml:space="preserve">ademie-Ausgabe, </w:t>
      </w:r>
      <w:r w:rsidR="000E7FE2">
        <w:rPr>
          <w:rFonts w:ascii="Times New Roman" w:hAnsi="Times New Roman" w:cs="Times New Roman"/>
          <w:sz w:val="24"/>
          <w:szCs w:val="24"/>
        </w:rPr>
        <w:t>Bd. XVI</w:t>
      </w:r>
      <w:r w:rsidR="00005551" w:rsidRPr="009404FC">
        <w:rPr>
          <w:rFonts w:ascii="Times New Roman" w:hAnsi="Times New Roman" w:cs="Times New Roman"/>
          <w:sz w:val="24"/>
          <w:szCs w:val="24"/>
        </w:rPr>
        <w:t xml:space="preserve"> </w:t>
      </w:r>
      <w:r w:rsidR="00005551">
        <w:rPr>
          <w:rFonts w:ascii="Times New Roman" w:hAnsi="Times New Roman" w:cs="Times New Roman"/>
          <w:sz w:val="24"/>
          <w:szCs w:val="24"/>
        </w:rPr>
        <w:t xml:space="preserve">(zitiert </w:t>
      </w:r>
      <w:r w:rsidR="004C6364">
        <w:rPr>
          <w:rFonts w:ascii="Times New Roman" w:hAnsi="Times New Roman" w:cs="Times New Roman"/>
          <w:sz w:val="24"/>
          <w:szCs w:val="24"/>
        </w:rPr>
        <w:t>als ´Refl.´</w:t>
      </w:r>
      <w:r>
        <w:rPr>
          <w:rFonts w:ascii="Times New Roman" w:hAnsi="Times New Roman" w:cs="Times New Roman"/>
          <w:sz w:val="24"/>
          <w:szCs w:val="24"/>
        </w:rPr>
        <w:t xml:space="preserve"> mit</w:t>
      </w:r>
      <w:r w:rsidR="00005551">
        <w:rPr>
          <w:rFonts w:ascii="Times New Roman" w:hAnsi="Times New Roman" w:cs="Times New Roman"/>
          <w:sz w:val="24"/>
          <w:szCs w:val="24"/>
        </w:rPr>
        <w:t xml:space="preserve"> der von Adickes </w:t>
      </w:r>
      <w:r w:rsidR="003364F3">
        <w:rPr>
          <w:rFonts w:ascii="Times New Roman" w:hAnsi="Times New Roman" w:cs="Times New Roman"/>
          <w:sz w:val="24"/>
          <w:szCs w:val="24"/>
        </w:rPr>
        <w:t xml:space="preserve">hier </w:t>
      </w:r>
      <w:r w:rsidR="00005551">
        <w:rPr>
          <w:rFonts w:ascii="Times New Roman" w:hAnsi="Times New Roman" w:cs="Times New Roman"/>
          <w:sz w:val="24"/>
          <w:szCs w:val="24"/>
        </w:rPr>
        <w:t>vorgenommenen Nummerierung)</w:t>
      </w:r>
      <w:r w:rsidR="00672642">
        <w:rPr>
          <w:rFonts w:ascii="Times New Roman" w:hAnsi="Times New Roman" w:cs="Times New Roman"/>
          <w:sz w:val="24"/>
          <w:szCs w:val="24"/>
        </w:rPr>
        <w:t xml:space="preserve"> </w:t>
      </w:r>
    </w:p>
    <w:p w:rsidR="00204FF1" w:rsidRPr="00AC1C73" w:rsidRDefault="00204FF1" w:rsidP="00AC1C73">
      <w:pPr>
        <w:spacing w:line="360" w:lineRule="auto"/>
        <w:rPr>
          <w:rFonts w:ascii="Times New Roman" w:hAnsi="Times New Roman" w:cs="Times New Roman"/>
          <w:i/>
          <w:sz w:val="24"/>
          <w:szCs w:val="24"/>
        </w:rPr>
      </w:pPr>
      <w:r w:rsidRPr="009404FC">
        <w:rPr>
          <w:rFonts w:ascii="Times New Roman" w:hAnsi="Times New Roman" w:cs="Times New Roman"/>
          <w:sz w:val="24"/>
          <w:szCs w:val="24"/>
        </w:rPr>
        <w:t>Nortmann</w:t>
      </w:r>
      <w:r w:rsidR="00672642">
        <w:rPr>
          <w:rFonts w:ascii="Times New Roman" w:hAnsi="Times New Roman" w:cs="Times New Roman"/>
          <w:sz w:val="24"/>
          <w:szCs w:val="24"/>
        </w:rPr>
        <w:t xml:space="preserve"> (1998)</w:t>
      </w:r>
      <w:r w:rsidR="00544E85">
        <w:rPr>
          <w:rFonts w:ascii="Times New Roman" w:hAnsi="Times New Roman" w:cs="Times New Roman"/>
          <w:sz w:val="24"/>
          <w:szCs w:val="24"/>
        </w:rPr>
        <w:t>, Ulrich</w:t>
      </w:r>
      <w:r w:rsidR="00BE12BE">
        <w:rPr>
          <w:rFonts w:ascii="Times New Roman" w:hAnsi="Times New Roman" w:cs="Times New Roman"/>
          <w:sz w:val="24"/>
          <w:szCs w:val="24"/>
        </w:rPr>
        <w:t>:</w:t>
      </w:r>
      <w:r w:rsidRPr="009404FC">
        <w:rPr>
          <w:rFonts w:ascii="Times New Roman" w:hAnsi="Times New Roman" w:cs="Times New Roman"/>
          <w:sz w:val="24"/>
          <w:szCs w:val="24"/>
        </w:rPr>
        <w:t xml:space="preserve"> </w:t>
      </w:r>
      <w:r w:rsidRPr="00BE12BE">
        <w:rPr>
          <w:rFonts w:ascii="Times New Roman" w:hAnsi="Times New Roman" w:cs="Times New Roman"/>
          <w:i/>
          <w:sz w:val="24"/>
          <w:szCs w:val="24"/>
        </w:rPr>
        <w:t>Kants Urteilstafe</w:t>
      </w:r>
      <w:r w:rsidR="00544E85" w:rsidRPr="00BE12BE">
        <w:rPr>
          <w:rFonts w:ascii="Times New Roman" w:hAnsi="Times New Roman" w:cs="Times New Roman"/>
          <w:i/>
          <w:sz w:val="24"/>
          <w:szCs w:val="24"/>
        </w:rPr>
        <w:t>l und die Vollständigkeitsfrage</w:t>
      </w:r>
      <w:r w:rsidR="00544E85">
        <w:rPr>
          <w:rFonts w:ascii="Times New Roman" w:hAnsi="Times New Roman" w:cs="Times New Roman"/>
          <w:sz w:val="24"/>
          <w:szCs w:val="24"/>
        </w:rPr>
        <w:t>,</w:t>
      </w:r>
      <w:r w:rsidRPr="009404FC">
        <w:rPr>
          <w:rFonts w:ascii="Times New Roman" w:hAnsi="Times New Roman" w:cs="Times New Roman"/>
          <w:sz w:val="24"/>
          <w:szCs w:val="24"/>
        </w:rPr>
        <w:t xml:space="preserve"> </w:t>
      </w:r>
      <w:r w:rsidR="00544E85">
        <w:rPr>
          <w:rFonts w:ascii="Times New Roman" w:hAnsi="Times New Roman" w:cs="Times New Roman"/>
          <w:sz w:val="24"/>
          <w:szCs w:val="24"/>
        </w:rPr>
        <w:t xml:space="preserve">in: </w:t>
      </w:r>
      <w:r w:rsidRPr="00BE12BE">
        <w:rPr>
          <w:rFonts w:ascii="Times New Roman" w:hAnsi="Times New Roman" w:cs="Times New Roman"/>
          <w:i/>
          <w:sz w:val="24"/>
          <w:szCs w:val="24"/>
        </w:rPr>
        <w:t>Zeitschrift für philosophisch</w:t>
      </w:r>
      <w:r w:rsidR="002D6C80" w:rsidRPr="00BE12BE">
        <w:rPr>
          <w:rFonts w:ascii="Times New Roman" w:hAnsi="Times New Roman" w:cs="Times New Roman"/>
          <w:i/>
          <w:sz w:val="24"/>
          <w:szCs w:val="24"/>
        </w:rPr>
        <w:t>e Forschung</w:t>
      </w:r>
      <w:r w:rsidR="00521AF3">
        <w:rPr>
          <w:rFonts w:ascii="Times New Roman" w:hAnsi="Times New Roman" w:cs="Times New Roman"/>
          <w:sz w:val="24"/>
          <w:szCs w:val="24"/>
        </w:rPr>
        <w:t>, Bd. 52</w:t>
      </w:r>
      <w:r w:rsidR="002D6C80">
        <w:rPr>
          <w:rFonts w:ascii="Times New Roman" w:hAnsi="Times New Roman" w:cs="Times New Roman"/>
          <w:sz w:val="24"/>
          <w:szCs w:val="24"/>
        </w:rPr>
        <w:t>, 3,</w:t>
      </w:r>
      <w:r w:rsidRPr="009404FC">
        <w:rPr>
          <w:rFonts w:ascii="Times New Roman" w:hAnsi="Times New Roman" w:cs="Times New Roman"/>
          <w:sz w:val="24"/>
          <w:szCs w:val="24"/>
        </w:rPr>
        <w:t xml:space="preserve"> 406-42</w:t>
      </w:r>
      <w:r w:rsidR="002D6C80">
        <w:rPr>
          <w:rFonts w:ascii="Times New Roman" w:hAnsi="Times New Roman" w:cs="Times New Roman"/>
          <w:sz w:val="24"/>
          <w:szCs w:val="24"/>
        </w:rPr>
        <w:t>1</w:t>
      </w:r>
      <w:r w:rsidR="00672642">
        <w:rPr>
          <w:rFonts w:ascii="Times New Roman" w:hAnsi="Times New Roman" w:cs="Times New Roman"/>
          <w:sz w:val="24"/>
          <w:szCs w:val="24"/>
        </w:rPr>
        <w:t xml:space="preserve"> </w:t>
      </w:r>
    </w:p>
    <w:p w:rsidR="00EB040D" w:rsidRPr="009404FC" w:rsidRDefault="00EB040D" w:rsidP="00AC1C73">
      <w:pPr>
        <w:spacing w:line="360" w:lineRule="auto"/>
        <w:rPr>
          <w:rFonts w:ascii="Times New Roman" w:hAnsi="Times New Roman" w:cs="Times New Roman"/>
          <w:sz w:val="24"/>
          <w:szCs w:val="24"/>
        </w:rPr>
      </w:pPr>
      <w:r w:rsidRPr="009404FC">
        <w:rPr>
          <w:rFonts w:ascii="Times New Roman" w:hAnsi="Times New Roman" w:cs="Times New Roman"/>
          <w:sz w:val="24"/>
          <w:szCs w:val="24"/>
        </w:rPr>
        <w:t>Patzig</w:t>
      </w:r>
      <w:r w:rsidR="00672642">
        <w:rPr>
          <w:rFonts w:ascii="Times New Roman" w:hAnsi="Times New Roman" w:cs="Times New Roman"/>
          <w:sz w:val="24"/>
          <w:szCs w:val="24"/>
        </w:rPr>
        <w:t xml:space="preserve"> (1976), Günther</w:t>
      </w:r>
      <w:r w:rsidR="00BE12BE">
        <w:rPr>
          <w:rFonts w:ascii="Times New Roman" w:hAnsi="Times New Roman" w:cs="Times New Roman"/>
          <w:sz w:val="24"/>
          <w:szCs w:val="24"/>
        </w:rPr>
        <w:t>:</w:t>
      </w:r>
      <w:r w:rsidRPr="009404FC">
        <w:rPr>
          <w:rFonts w:ascii="Times New Roman" w:hAnsi="Times New Roman" w:cs="Times New Roman"/>
          <w:sz w:val="24"/>
          <w:szCs w:val="24"/>
        </w:rPr>
        <w:t xml:space="preserve"> </w:t>
      </w:r>
      <w:r w:rsidRPr="00BE12BE">
        <w:rPr>
          <w:rFonts w:ascii="Times New Roman" w:hAnsi="Times New Roman" w:cs="Times New Roman"/>
          <w:i/>
          <w:sz w:val="24"/>
          <w:szCs w:val="24"/>
        </w:rPr>
        <w:t>Immanuel Kant: Wie sind synthetische Urteile a priori möglich?</w:t>
      </w:r>
      <w:r w:rsidR="00544E85">
        <w:rPr>
          <w:rFonts w:ascii="Times New Roman" w:hAnsi="Times New Roman" w:cs="Times New Roman"/>
          <w:sz w:val="24"/>
          <w:szCs w:val="24"/>
        </w:rPr>
        <w:t>, in: J. Speck (Hg.),</w:t>
      </w:r>
      <w:r w:rsidRPr="009404FC">
        <w:rPr>
          <w:rFonts w:ascii="Times New Roman" w:hAnsi="Times New Roman" w:cs="Times New Roman"/>
          <w:sz w:val="24"/>
          <w:szCs w:val="24"/>
        </w:rPr>
        <w:t xml:space="preserve"> </w:t>
      </w:r>
      <w:r w:rsidRPr="00BE12BE">
        <w:rPr>
          <w:rFonts w:ascii="Times New Roman" w:hAnsi="Times New Roman" w:cs="Times New Roman"/>
          <w:i/>
          <w:sz w:val="24"/>
          <w:szCs w:val="24"/>
        </w:rPr>
        <w:t>Grundprobleme der großen Philosophen – Philosophie der Neuzeit II</w:t>
      </w:r>
      <w:r w:rsidR="00521AF3">
        <w:rPr>
          <w:rFonts w:ascii="Times New Roman" w:hAnsi="Times New Roman" w:cs="Times New Roman"/>
          <w:sz w:val="24"/>
          <w:szCs w:val="24"/>
        </w:rPr>
        <w:t>, Göttingen</w:t>
      </w:r>
      <w:r w:rsidR="002D6C80">
        <w:rPr>
          <w:rFonts w:ascii="Times New Roman" w:hAnsi="Times New Roman" w:cs="Times New Roman"/>
          <w:sz w:val="24"/>
          <w:szCs w:val="24"/>
        </w:rPr>
        <w:t>,</w:t>
      </w:r>
      <w:r w:rsidR="000A6DA8" w:rsidRPr="009404FC">
        <w:rPr>
          <w:rFonts w:ascii="Times New Roman" w:hAnsi="Times New Roman" w:cs="Times New Roman"/>
          <w:sz w:val="24"/>
          <w:szCs w:val="24"/>
        </w:rPr>
        <w:t xml:space="preserve"> 9-70</w:t>
      </w:r>
      <w:r w:rsidR="00672642">
        <w:rPr>
          <w:rFonts w:ascii="Times New Roman" w:hAnsi="Times New Roman" w:cs="Times New Roman"/>
          <w:sz w:val="24"/>
          <w:szCs w:val="24"/>
        </w:rPr>
        <w:t xml:space="preserve"> </w:t>
      </w:r>
    </w:p>
    <w:p w:rsidR="008B2B76" w:rsidRPr="005D1248" w:rsidRDefault="008B2B76" w:rsidP="00AC1C73">
      <w:pPr>
        <w:spacing w:line="360" w:lineRule="auto"/>
        <w:rPr>
          <w:rFonts w:ascii="Times New Roman" w:hAnsi="Times New Roman" w:cs="Times New Roman"/>
          <w:sz w:val="24"/>
          <w:szCs w:val="24"/>
        </w:rPr>
      </w:pPr>
      <w:r w:rsidRPr="009404FC">
        <w:rPr>
          <w:rFonts w:ascii="Times New Roman" w:hAnsi="Times New Roman" w:cs="Times New Roman"/>
          <w:sz w:val="24"/>
          <w:szCs w:val="24"/>
        </w:rPr>
        <w:t>Scheffer</w:t>
      </w:r>
      <w:r w:rsidR="00672642">
        <w:rPr>
          <w:rFonts w:ascii="Times New Roman" w:hAnsi="Times New Roman" w:cs="Times New Roman"/>
          <w:sz w:val="24"/>
          <w:szCs w:val="24"/>
        </w:rPr>
        <w:t xml:space="preserve"> (1993), Thomas</w:t>
      </w:r>
      <w:r w:rsidR="00521AF3">
        <w:rPr>
          <w:rFonts w:ascii="Times New Roman" w:hAnsi="Times New Roman" w:cs="Times New Roman"/>
          <w:sz w:val="24"/>
          <w:szCs w:val="24"/>
        </w:rPr>
        <w:t>:</w:t>
      </w:r>
      <w:r w:rsidR="005D1248">
        <w:rPr>
          <w:rFonts w:ascii="Times New Roman" w:hAnsi="Times New Roman" w:cs="Times New Roman"/>
          <w:sz w:val="24"/>
          <w:szCs w:val="24"/>
        </w:rPr>
        <w:t xml:space="preserve"> </w:t>
      </w:r>
      <w:r w:rsidR="005D1248" w:rsidRPr="00521AF3">
        <w:rPr>
          <w:rFonts w:ascii="Times New Roman" w:hAnsi="Times New Roman" w:cs="Times New Roman"/>
          <w:i/>
          <w:sz w:val="24"/>
          <w:szCs w:val="24"/>
        </w:rPr>
        <w:t>Kants Kriterium der Wahrheit</w:t>
      </w:r>
      <w:r w:rsidR="005D1248">
        <w:rPr>
          <w:rFonts w:ascii="Times New Roman" w:hAnsi="Times New Roman" w:cs="Times New Roman"/>
          <w:sz w:val="24"/>
          <w:szCs w:val="24"/>
        </w:rPr>
        <w:t>,</w:t>
      </w:r>
      <w:r w:rsidRPr="009404FC">
        <w:rPr>
          <w:rFonts w:ascii="Times New Roman" w:hAnsi="Times New Roman" w:cs="Times New Roman"/>
          <w:sz w:val="24"/>
          <w:szCs w:val="24"/>
        </w:rPr>
        <w:t xml:space="preserve"> </w:t>
      </w:r>
      <w:r w:rsidRPr="005D1248">
        <w:rPr>
          <w:rFonts w:ascii="Times New Roman" w:hAnsi="Times New Roman" w:cs="Times New Roman"/>
          <w:sz w:val="24"/>
          <w:szCs w:val="24"/>
        </w:rPr>
        <w:t>Kant-Studien Ergänzungshefte</w:t>
      </w:r>
      <w:r w:rsidR="005D1248">
        <w:rPr>
          <w:rFonts w:ascii="Times New Roman" w:hAnsi="Times New Roman" w:cs="Times New Roman"/>
          <w:sz w:val="24"/>
          <w:szCs w:val="24"/>
        </w:rPr>
        <w:t>, Nr.</w:t>
      </w:r>
      <w:r w:rsidR="00521AF3">
        <w:rPr>
          <w:rFonts w:ascii="Times New Roman" w:hAnsi="Times New Roman" w:cs="Times New Roman"/>
          <w:sz w:val="24"/>
          <w:szCs w:val="24"/>
        </w:rPr>
        <w:t xml:space="preserve"> 127, Berlin</w:t>
      </w:r>
      <w:r w:rsidR="00672642">
        <w:rPr>
          <w:rFonts w:ascii="Times New Roman" w:hAnsi="Times New Roman" w:cs="Times New Roman"/>
          <w:sz w:val="24"/>
          <w:szCs w:val="24"/>
        </w:rPr>
        <w:t xml:space="preserve"> </w:t>
      </w:r>
    </w:p>
    <w:p w:rsidR="0048050E" w:rsidRDefault="0048050E" w:rsidP="009404FC">
      <w:pPr>
        <w:spacing w:line="360" w:lineRule="auto"/>
        <w:rPr>
          <w:rFonts w:ascii="Times New Roman" w:hAnsi="Times New Roman" w:cs="Times New Roman"/>
          <w:sz w:val="24"/>
          <w:szCs w:val="24"/>
          <w:lang w:val="en-US"/>
        </w:rPr>
      </w:pPr>
      <w:r w:rsidRPr="009404FC">
        <w:rPr>
          <w:rFonts w:ascii="Times New Roman" w:hAnsi="Times New Roman" w:cs="Times New Roman"/>
          <w:sz w:val="24"/>
          <w:szCs w:val="24"/>
          <w:lang w:val="en-US"/>
        </w:rPr>
        <w:t>Strawson</w:t>
      </w:r>
      <w:r w:rsidR="00672642">
        <w:rPr>
          <w:rFonts w:ascii="Times New Roman" w:hAnsi="Times New Roman" w:cs="Times New Roman"/>
          <w:sz w:val="24"/>
          <w:szCs w:val="24"/>
          <w:lang w:val="en-US"/>
        </w:rPr>
        <w:t xml:space="preserve"> (1952), Peter F.</w:t>
      </w:r>
      <w:r w:rsidR="00521AF3">
        <w:rPr>
          <w:rFonts w:ascii="Times New Roman" w:hAnsi="Times New Roman" w:cs="Times New Roman"/>
          <w:sz w:val="24"/>
          <w:szCs w:val="24"/>
          <w:lang w:val="en-US"/>
        </w:rPr>
        <w:t>:</w:t>
      </w:r>
      <w:r w:rsidR="005D1248">
        <w:rPr>
          <w:rFonts w:ascii="Times New Roman" w:hAnsi="Times New Roman" w:cs="Times New Roman"/>
          <w:sz w:val="24"/>
          <w:szCs w:val="24"/>
          <w:lang w:val="en-US"/>
        </w:rPr>
        <w:t xml:space="preserve"> </w:t>
      </w:r>
      <w:r w:rsidR="005D1248" w:rsidRPr="00521AF3">
        <w:rPr>
          <w:rFonts w:ascii="Times New Roman" w:hAnsi="Times New Roman" w:cs="Times New Roman"/>
          <w:i/>
          <w:sz w:val="24"/>
          <w:szCs w:val="24"/>
          <w:lang w:val="en-US"/>
        </w:rPr>
        <w:t>Introduction to Logical Theory</w:t>
      </w:r>
      <w:r w:rsidR="005D1248">
        <w:rPr>
          <w:rFonts w:ascii="Times New Roman" w:hAnsi="Times New Roman" w:cs="Times New Roman"/>
          <w:sz w:val="24"/>
          <w:szCs w:val="24"/>
          <w:lang w:val="en-US"/>
        </w:rPr>
        <w:t>,</w:t>
      </w:r>
      <w:r w:rsidRPr="009404FC">
        <w:rPr>
          <w:rFonts w:ascii="Times New Roman" w:hAnsi="Times New Roman" w:cs="Times New Roman"/>
          <w:sz w:val="24"/>
          <w:szCs w:val="24"/>
          <w:lang w:val="en-US"/>
        </w:rPr>
        <w:t xml:space="preserve"> London</w:t>
      </w:r>
    </w:p>
    <w:p w:rsidR="00E564AC" w:rsidRPr="005D1248" w:rsidRDefault="00E564AC" w:rsidP="009404FC">
      <w:pPr>
        <w:spacing w:line="360" w:lineRule="auto"/>
        <w:rPr>
          <w:rFonts w:ascii="Times New Roman" w:hAnsi="Times New Roman" w:cs="Times New Roman"/>
          <w:sz w:val="24"/>
          <w:szCs w:val="24"/>
          <w:lang w:val="en-US"/>
        </w:rPr>
      </w:pPr>
    </w:p>
    <w:sectPr w:rsidR="00E564AC" w:rsidRPr="005D12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F30" w:rsidRDefault="00277F30" w:rsidP="006C3B10">
      <w:pPr>
        <w:spacing w:after="0" w:line="240" w:lineRule="auto"/>
      </w:pPr>
      <w:r>
        <w:separator/>
      </w:r>
    </w:p>
  </w:endnote>
  <w:endnote w:type="continuationSeparator" w:id="0">
    <w:p w:rsidR="00277F30" w:rsidRDefault="00277F30" w:rsidP="006C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F30" w:rsidRDefault="00277F30" w:rsidP="006C3B10">
      <w:pPr>
        <w:spacing w:after="0" w:line="240" w:lineRule="auto"/>
      </w:pPr>
      <w:r>
        <w:separator/>
      </w:r>
    </w:p>
  </w:footnote>
  <w:footnote w:type="continuationSeparator" w:id="0">
    <w:p w:rsidR="00277F30" w:rsidRDefault="00277F30" w:rsidP="006C3B10">
      <w:pPr>
        <w:spacing w:after="0" w:line="240" w:lineRule="auto"/>
      </w:pPr>
      <w:r>
        <w:continuationSeparator/>
      </w:r>
    </w:p>
  </w:footnote>
  <w:footnote w:id="1">
    <w:p w:rsidR="006C3B10" w:rsidRDefault="006C3B10">
      <w:pPr>
        <w:pStyle w:val="Funotentext"/>
      </w:pPr>
      <w:r>
        <w:rPr>
          <w:rStyle w:val="Funotenzeichen"/>
        </w:rPr>
        <w:footnoteRef/>
      </w:r>
      <w:r>
        <w:t xml:space="preserve"> </w:t>
      </w:r>
      <w:r w:rsidRPr="006C3B10">
        <w:rPr>
          <w:rFonts w:ascii="Times New Roman" w:hAnsi="Times New Roman" w:cs="Times New Roman"/>
        </w:rPr>
        <w:t>Vgl.</w:t>
      </w:r>
      <w:r>
        <w:t xml:space="preserve"> </w:t>
      </w:r>
      <w:r w:rsidRPr="009404FC">
        <w:rPr>
          <w:rFonts w:ascii="Times New Roman" w:hAnsi="Times New Roman" w:cs="Times New Roman"/>
          <w:sz w:val="24"/>
          <w:szCs w:val="24"/>
        </w:rPr>
        <w:t xml:space="preserve">Husted </w:t>
      </w:r>
      <w:r>
        <w:rPr>
          <w:rFonts w:ascii="Times New Roman" w:hAnsi="Times New Roman" w:cs="Times New Roman"/>
          <w:sz w:val="24"/>
          <w:szCs w:val="24"/>
        </w:rPr>
        <w:t>(1982)</w:t>
      </w:r>
      <w:r w:rsidR="00E3520F">
        <w:rPr>
          <w:rFonts w:ascii="Times New Roman" w:hAnsi="Times New Roman" w:cs="Times New Roman"/>
          <w:sz w:val="24"/>
          <w:szCs w:val="24"/>
        </w:rPr>
        <w:t>:</w:t>
      </w:r>
      <w:r w:rsidR="00D212B6">
        <w:rPr>
          <w:rFonts w:ascii="Times New Roman" w:hAnsi="Times New Roman" w:cs="Times New Roman"/>
          <w:sz w:val="24"/>
          <w:szCs w:val="24"/>
        </w:rPr>
        <w:t xml:space="preserve"> 104</w:t>
      </w:r>
      <w:r w:rsidRPr="009404FC">
        <w:rPr>
          <w:rFonts w:ascii="Times New Roman" w:hAnsi="Times New Roman" w:cs="Times New Roman"/>
          <w:sz w:val="24"/>
          <w:szCs w:val="24"/>
        </w:rPr>
        <w:t>f.</w:t>
      </w:r>
    </w:p>
  </w:footnote>
  <w:footnote w:id="2">
    <w:p w:rsidR="006C3B10" w:rsidRDefault="006C3B10">
      <w:pPr>
        <w:pStyle w:val="Funotentext"/>
      </w:pPr>
      <w:r>
        <w:rPr>
          <w:rStyle w:val="Funotenzeichen"/>
        </w:rPr>
        <w:footnoteRef/>
      </w:r>
      <w:r>
        <w:t xml:space="preserve"> </w:t>
      </w:r>
      <w:r w:rsidRPr="009404FC">
        <w:rPr>
          <w:rFonts w:ascii="Times New Roman" w:hAnsi="Times New Roman" w:cs="Times New Roman"/>
          <w:sz w:val="24"/>
          <w:szCs w:val="24"/>
        </w:rPr>
        <w:t xml:space="preserve">vgl. Tugendhat/Wolf </w:t>
      </w:r>
      <w:r w:rsidR="00E3520F">
        <w:rPr>
          <w:rFonts w:ascii="Times New Roman" w:hAnsi="Times New Roman" w:cs="Times New Roman"/>
          <w:sz w:val="24"/>
          <w:szCs w:val="24"/>
        </w:rPr>
        <w:t>(1983):</w:t>
      </w:r>
      <w:r w:rsidRPr="009404FC">
        <w:rPr>
          <w:rFonts w:ascii="Times New Roman" w:hAnsi="Times New Roman" w:cs="Times New Roman"/>
          <w:sz w:val="24"/>
          <w:szCs w:val="24"/>
        </w:rPr>
        <w:t xml:space="preserve"> 87</w:t>
      </w:r>
    </w:p>
  </w:footnote>
  <w:footnote w:id="3">
    <w:p w:rsidR="006C3B10" w:rsidRDefault="006C3B10">
      <w:pPr>
        <w:pStyle w:val="Funotentext"/>
      </w:pPr>
      <w:r>
        <w:rPr>
          <w:rStyle w:val="Funotenzeichen"/>
        </w:rPr>
        <w:footnoteRef/>
      </w:r>
      <w:r>
        <w:t xml:space="preserve"> </w:t>
      </w:r>
      <w:r w:rsidRPr="009404FC">
        <w:rPr>
          <w:rFonts w:ascii="Times New Roman" w:hAnsi="Times New Roman" w:cs="Times New Roman"/>
          <w:sz w:val="24"/>
          <w:szCs w:val="24"/>
        </w:rPr>
        <w:t xml:space="preserve">vgl. </w:t>
      </w:r>
      <w:r w:rsidR="00D021A6">
        <w:rPr>
          <w:rFonts w:ascii="Times New Roman" w:hAnsi="Times New Roman" w:cs="Times New Roman"/>
          <w:sz w:val="24"/>
          <w:szCs w:val="24"/>
        </w:rPr>
        <w:t>Ebd.</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11</w:t>
      </w:r>
    </w:p>
  </w:footnote>
  <w:footnote w:id="4">
    <w:p w:rsidR="00067844" w:rsidRDefault="00067844">
      <w:pPr>
        <w:pStyle w:val="Funotentext"/>
      </w:pPr>
      <w:r>
        <w:rPr>
          <w:rStyle w:val="Funotenzeichen"/>
        </w:rPr>
        <w:footnoteRef/>
      </w:r>
      <w:r>
        <w:t xml:space="preserve"> </w:t>
      </w:r>
      <w:r w:rsidR="00A4268E">
        <w:rPr>
          <w:rFonts w:ascii="Times New Roman" w:hAnsi="Times New Roman" w:cs="Times New Roman"/>
          <w:sz w:val="24"/>
          <w:szCs w:val="24"/>
        </w:rPr>
        <w:t>Log</w:t>
      </w:r>
      <w:r>
        <w:rPr>
          <w:rFonts w:ascii="Times New Roman" w:hAnsi="Times New Roman" w:cs="Times New Roman"/>
          <w:sz w:val="24"/>
          <w:szCs w:val="24"/>
        </w:rPr>
        <w:t>,</w:t>
      </w:r>
      <w:r w:rsidRPr="009404FC">
        <w:rPr>
          <w:rFonts w:ascii="Times New Roman" w:hAnsi="Times New Roman" w:cs="Times New Roman"/>
          <w:sz w:val="24"/>
          <w:szCs w:val="24"/>
        </w:rPr>
        <w:t xml:space="preserve"> </w:t>
      </w:r>
      <w:r w:rsidR="00E3520F">
        <w:rPr>
          <w:rFonts w:ascii="Times New Roman" w:hAnsi="Times New Roman" w:cs="Times New Roman"/>
          <w:sz w:val="24"/>
          <w:szCs w:val="24"/>
        </w:rPr>
        <w:t>AA IX:</w:t>
      </w:r>
      <w:r w:rsidR="00A4268E">
        <w:rPr>
          <w:rFonts w:ascii="Times New Roman" w:hAnsi="Times New Roman" w:cs="Times New Roman"/>
          <w:sz w:val="24"/>
          <w:szCs w:val="24"/>
        </w:rPr>
        <w:t xml:space="preserve"> </w:t>
      </w:r>
      <w:r w:rsidRPr="009404FC">
        <w:rPr>
          <w:rFonts w:ascii="Times New Roman" w:hAnsi="Times New Roman" w:cs="Times New Roman"/>
          <w:sz w:val="24"/>
          <w:szCs w:val="24"/>
        </w:rPr>
        <w:t>13</w:t>
      </w:r>
    </w:p>
  </w:footnote>
  <w:footnote w:id="5">
    <w:p w:rsidR="00300802" w:rsidRDefault="00300802">
      <w:pPr>
        <w:pStyle w:val="Funotentext"/>
      </w:pPr>
      <w:r>
        <w:rPr>
          <w:rStyle w:val="Funotenzeichen"/>
        </w:rPr>
        <w:footnoteRef/>
      </w:r>
      <w:r>
        <w:t xml:space="preserve"> </w:t>
      </w:r>
      <w:r w:rsidR="00D021A6">
        <w:rPr>
          <w:rFonts w:ascii="Times New Roman" w:hAnsi="Times New Roman" w:cs="Times New Roman"/>
          <w:sz w:val="24"/>
          <w:szCs w:val="24"/>
        </w:rPr>
        <w:t>Ebd.</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16</w:t>
      </w:r>
    </w:p>
  </w:footnote>
  <w:footnote w:id="6">
    <w:p w:rsidR="00300802" w:rsidRDefault="00300802">
      <w:pPr>
        <w:pStyle w:val="Funotentext"/>
      </w:pPr>
      <w:r>
        <w:rPr>
          <w:rStyle w:val="Funotenzeichen"/>
        </w:rPr>
        <w:footnoteRef/>
      </w:r>
      <w:r>
        <w:t xml:space="preserve"> </w:t>
      </w:r>
      <w:r w:rsidR="00D021A6">
        <w:rPr>
          <w:rFonts w:ascii="Times New Roman" w:hAnsi="Times New Roman" w:cs="Times New Roman"/>
          <w:sz w:val="24"/>
          <w:szCs w:val="24"/>
        </w:rPr>
        <w:t>Ebd.</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 17</w:t>
      </w:r>
    </w:p>
  </w:footnote>
  <w:footnote w:id="7">
    <w:p w:rsidR="00300802" w:rsidRDefault="00300802">
      <w:pPr>
        <w:pStyle w:val="Funotentext"/>
      </w:pPr>
      <w:r>
        <w:rPr>
          <w:rStyle w:val="Funotenzeichen"/>
        </w:rPr>
        <w:footnoteRef/>
      </w:r>
      <w:r>
        <w:t xml:space="preserve"> </w:t>
      </w:r>
      <w:r w:rsidRPr="009404FC">
        <w:rPr>
          <w:rFonts w:ascii="Times New Roman" w:hAnsi="Times New Roman" w:cs="Times New Roman"/>
          <w:sz w:val="24"/>
          <w:szCs w:val="24"/>
        </w:rPr>
        <w:t xml:space="preserve">Tugendhat/Wolf </w:t>
      </w:r>
      <w:r>
        <w:rPr>
          <w:rFonts w:ascii="Times New Roman" w:hAnsi="Times New Roman" w:cs="Times New Roman"/>
          <w:sz w:val="24"/>
          <w:szCs w:val="24"/>
        </w:rPr>
        <w:t>(1983)</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9, 18</w:t>
      </w:r>
    </w:p>
  </w:footnote>
  <w:footnote w:id="8">
    <w:p w:rsidR="00300802" w:rsidRDefault="00300802">
      <w:pPr>
        <w:pStyle w:val="Funotentext"/>
      </w:pPr>
      <w:r>
        <w:rPr>
          <w:rStyle w:val="Funotenzeichen"/>
        </w:rPr>
        <w:footnoteRef/>
      </w:r>
      <w:r>
        <w:t xml:space="preserve"> </w:t>
      </w:r>
      <w:r w:rsidRPr="009404FC">
        <w:rPr>
          <w:rFonts w:ascii="Times New Roman" w:hAnsi="Times New Roman" w:cs="Times New Roman"/>
          <w:sz w:val="24"/>
          <w:szCs w:val="24"/>
        </w:rPr>
        <w:t xml:space="preserve">vgl. </w:t>
      </w:r>
      <w:r>
        <w:rPr>
          <w:rFonts w:ascii="Times New Roman" w:hAnsi="Times New Roman" w:cs="Times New Roman"/>
          <w:sz w:val="24"/>
          <w:szCs w:val="24"/>
        </w:rPr>
        <w:t>Nortmann (1998)</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411</w:t>
      </w:r>
    </w:p>
  </w:footnote>
  <w:footnote w:id="9">
    <w:p w:rsidR="00300802" w:rsidRDefault="00300802">
      <w:pPr>
        <w:pStyle w:val="Funotentext"/>
      </w:pPr>
      <w:r>
        <w:rPr>
          <w:rStyle w:val="Funotenzeichen"/>
        </w:rPr>
        <w:footnoteRef/>
      </w:r>
      <w:r>
        <w:t xml:space="preserve"> </w:t>
      </w:r>
      <w:r w:rsidR="00D021A6">
        <w:rPr>
          <w:rFonts w:ascii="Times New Roman" w:hAnsi="Times New Roman" w:cs="Times New Roman"/>
          <w:sz w:val="24"/>
          <w:szCs w:val="24"/>
        </w:rPr>
        <w:t>vgl. Ebd.</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414</w:t>
      </w:r>
    </w:p>
  </w:footnote>
  <w:footnote w:id="10">
    <w:p w:rsidR="00300802" w:rsidRDefault="00300802">
      <w:pPr>
        <w:pStyle w:val="Funotentext"/>
      </w:pPr>
      <w:r>
        <w:rPr>
          <w:rStyle w:val="Funotenzeichen"/>
        </w:rPr>
        <w:footnoteRef/>
      </w:r>
      <w:r>
        <w:t xml:space="preserve"> </w:t>
      </w:r>
      <w:r w:rsidR="00CE6150">
        <w:rPr>
          <w:rFonts w:ascii="Times New Roman" w:hAnsi="Times New Roman" w:cs="Times New Roman"/>
          <w:sz w:val="24"/>
          <w:szCs w:val="24"/>
        </w:rPr>
        <w:t>vgl. KrV</w:t>
      </w:r>
      <w:r w:rsidR="00D212B6">
        <w:rPr>
          <w:rFonts w:ascii="Times New Roman" w:hAnsi="Times New Roman" w:cs="Times New Roman"/>
          <w:sz w:val="24"/>
          <w:szCs w:val="24"/>
        </w:rPr>
        <w:t xml:space="preserve"> B</w:t>
      </w:r>
      <w:r w:rsidR="00E3520F">
        <w:rPr>
          <w:rFonts w:ascii="Times New Roman" w:hAnsi="Times New Roman" w:cs="Times New Roman"/>
          <w:sz w:val="24"/>
          <w:szCs w:val="24"/>
        </w:rPr>
        <w:t>, AA III:</w:t>
      </w:r>
      <w:r w:rsidRPr="00300802">
        <w:rPr>
          <w:rFonts w:ascii="Times New Roman" w:hAnsi="Times New Roman" w:cs="Times New Roman"/>
          <w:sz w:val="24"/>
          <w:szCs w:val="24"/>
        </w:rPr>
        <w:t xml:space="preserve"> </w:t>
      </w:r>
      <w:r w:rsidRPr="009404FC">
        <w:rPr>
          <w:rFonts w:ascii="Times New Roman" w:hAnsi="Times New Roman" w:cs="Times New Roman"/>
          <w:sz w:val="24"/>
          <w:szCs w:val="24"/>
        </w:rPr>
        <w:t>95</w:t>
      </w:r>
    </w:p>
  </w:footnote>
  <w:footnote w:id="11">
    <w:p w:rsidR="00804840" w:rsidRDefault="00804840">
      <w:pPr>
        <w:pStyle w:val="Funotentext"/>
      </w:pPr>
      <w:r>
        <w:rPr>
          <w:rStyle w:val="Funotenzeichen"/>
        </w:rPr>
        <w:footnoteRef/>
      </w:r>
      <w:r>
        <w:t xml:space="preserve"> </w:t>
      </w:r>
      <w:r w:rsidR="00E3520F">
        <w:rPr>
          <w:rFonts w:ascii="Times New Roman" w:hAnsi="Times New Roman" w:cs="Times New Roman"/>
          <w:sz w:val="24"/>
          <w:szCs w:val="24"/>
        </w:rPr>
        <w:t>vgl. Patzig (1976):</w:t>
      </w:r>
      <w:r w:rsidRPr="009404FC">
        <w:rPr>
          <w:rFonts w:ascii="Times New Roman" w:hAnsi="Times New Roman" w:cs="Times New Roman"/>
          <w:sz w:val="24"/>
          <w:szCs w:val="24"/>
        </w:rPr>
        <w:t xml:space="preserve"> 42</w:t>
      </w:r>
    </w:p>
  </w:footnote>
  <w:footnote w:id="12">
    <w:p w:rsidR="00804840" w:rsidRDefault="00804840">
      <w:pPr>
        <w:pStyle w:val="Funotentext"/>
      </w:pPr>
      <w:r>
        <w:rPr>
          <w:rStyle w:val="Funotenzeichen"/>
        </w:rPr>
        <w:footnoteRef/>
      </w:r>
      <w:r>
        <w:t xml:space="preserve"> </w:t>
      </w:r>
      <w:r w:rsidRPr="009404FC">
        <w:rPr>
          <w:rFonts w:ascii="Times New Roman" w:hAnsi="Times New Roman" w:cs="Times New Roman"/>
          <w:sz w:val="24"/>
          <w:szCs w:val="24"/>
        </w:rPr>
        <w:t>Tugendhat/W</w:t>
      </w:r>
      <w:r w:rsidR="00E3520F">
        <w:rPr>
          <w:rFonts w:ascii="Times New Roman" w:hAnsi="Times New Roman" w:cs="Times New Roman"/>
          <w:sz w:val="24"/>
          <w:szCs w:val="24"/>
        </w:rPr>
        <w:t>olf (1983):</w:t>
      </w:r>
      <w:r w:rsidR="00D212B6">
        <w:rPr>
          <w:rFonts w:ascii="Times New Roman" w:hAnsi="Times New Roman" w:cs="Times New Roman"/>
          <w:sz w:val="24"/>
          <w:szCs w:val="24"/>
        </w:rPr>
        <w:t xml:space="preserve"> 56</w:t>
      </w:r>
      <w:r w:rsidRPr="009404FC">
        <w:rPr>
          <w:rFonts w:ascii="Times New Roman" w:hAnsi="Times New Roman" w:cs="Times New Roman"/>
          <w:sz w:val="24"/>
          <w:szCs w:val="24"/>
        </w:rPr>
        <w:t>f.</w:t>
      </w:r>
    </w:p>
  </w:footnote>
  <w:footnote w:id="13">
    <w:p w:rsidR="00804840" w:rsidRDefault="00804840">
      <w:pPr>
        <w:pStyle w:val="Funotentext"/>
      </w:pPr>
      <w:r>
        <w:rPr>
          <w:rStyle w:val="Funotenzeichen"/>
        </w:rPr>
        <w:footnoteRef/>
      </w:r>
      <w:r>
        <w:t xml:space="preserve"> </w:t>
      </w:r>
      <w:r w:rsidR="00D021A6">
        <w:rPr>
          <w:rFonts w:ascii="Times New Roman" w:hAnsi="Times New Roman" w:cs="Times New Roman"/>
          <w:sz w:val="24"/>
          <w:szCs w:val="24"/>
        </w:rPr>
        <w:t>Ebd.</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58</w:t>
      </w:r>
      <w:r w:rsidR="00F625FC">
        <w:rPr>
          <w:rFonts w:ascii="Times New Roman" w:hAnsi="Times New Roman" w:cs="Times New Roman"/>
          <w:sz w:val="24"/>
          <w:szCs w:val="24"/>
        </w:rPr>
        <w:t>,</w:t>
      </w:r>
      <w:r w:rsidRPr="009404FC">
        <w:rPr>
          <w:rFonts w:ascii="Times New Roman" w:hAnsi="Times New Roman" w:cs="Times New Roman"/>
          <w:sz w:val="24"/>
          <w:szCs w:val="24"/>
        </w:rPr>
        <w:t xml:space="preserve"> unter Berufung auf Strawson </w:t>
      </w:r>
      <w:r>
        <w:rPr>
          <w:rFonts w:ascii="Times New Roman" w:hAnsi="Times New Roman" w:cs="Times New Roman"/>
          <w:sz w:val="24"/>
          <w:szCs w:val="24"/>
        </w:rPr>
        <w:t>(</w:t>
      </w:r>
      <w:r w:rsidRPr="009404FC">
        <w:rPr>
          <w:rFonts w:ascii="Times New Roman" w:hAnsi="Times New Roman" w:cs="Times New Roman"/>
          <w:sz w:val="24"/>
          <w:szCs w:val="24"/>
        </w:rPr>
        <w:t>1952</w:t>
      </w:r>
      <w:r>
        <w:rPr>
          <w:rFonts w:ascii="Times New Roman" w:hAnsi="Times New Roman" w:cs="Times New Roman"/>
          <w:sz w:val="24"/>
          <w:szCs w:val="24"/>
        </w:rPr>
        <w:t>)</w:t>
      </w:r>
      <w:r w:rsidR="00E3520F">
        <w:rPr>
          <w:rFonts w:ascii="Times New Roman" w:hAnsi="Times New Roman" w:cs="Times New Roman"/>
          <w:sz w:val="24"/>
          <w:szCs w:val="24"/>
        </w:rPr>
        <w:t>:</w:t>
      </w:r>
      <w:r w:rsidRPr="009404FC">
        <w:rPr>
          <w:rFonts w:ascii="Times New Roman" w:hAnsi="Times New Roman" w:cs="Times New Roman"/>
          <w:sz w:val="24"/>
          <w:szCs w:val="24"/>
        </w:rPr>
        <w:t xml:space="preserve"> Kap. 1, §§ 1-8</w:t>
      </w:r>
    </w:p>
  </w:footnote>
  <w:footnote w:id="14">
    <w:p w:rsidR="00804840" w:rsidRDefault="00804840">
      <w:pPr>
        <w:pStyle w:val="Funotentext"/>
      </w:pPr>
      <w:r>
        <w:rPr>
          <w:rStyle w:val="Funotenzeichen"/>
        </w:rPr>
        <w:footnoteRef/>
      </w:r>
      <w:r>
        <w:t xml:space="preserve"> </w:t>
      </w:r>
      <w:r w:rsidR="0073759F">
        <w:rPr>
          <w:rFonts w:ascii="Times New Roman" w:hAnsi="Times New Roman" w:cs="Times New Roman"/>
          <w:sz w:val="24"/>
          <w:szCs w:val="24"/>
        </w:rPr>
        <w:t xml:space="preserve">KrV </w:t>
      </w:r>
      <w:r w:rsidR="00D212B6">
        <w:rPr>
          <w:rFonts w:ascii="Times New Roman" w:hAnsi="Times New Roman" w:cs="Times New Roman"/>
          <w:sz w:val="24"/>
          <w:szCs w:val="24"/>
        </w:rPr>
        <w:t>B</w:t>
      </w:r>
      <w:r w:rsidR="00E3520F">
        <w:rPr>
          <w:rFonts w:ascii="Times New Roman" w:hAnsi="Times New Roman" w:cs="Times New Roman"/>
          <w:sz w:val="24"/>
          <w:szCs w:val="24"/>
        </w:rPr>
        <w:t>, AA III</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93</w:t>
      </w:r>
    </w:p>
  </w:footnote>
  <w:footnote w:id="15">
    <w:p w:rsidR="00804840" w:rsidRDefault="00804840">
      <w:pPr>
        <w:pStyle w:val="Funotentext"/>
      </w:pPr>
      <w:r>
        <w:rPr>
          <w:rStyle w:val="Funotenzeichen"/>
        </w:rPr>
        <w:footnoteRef/>
      </w:r>
      <w:r>
        <w:t xml:space="preserve"> </w:t>
      </w:r>
      <w:r w:rsidR="00E3520F">
        <w:rPr>
          <w:rFonts w:ascii="Times New Roman" w:hAnsi="Times New Roman" w:cs="Times New Roman"/>
          <w:sz w:val="24"/>
          <w:szCs w:val="24"/>
        </w:rPr>
        <w:t>Log, AA IX</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 24, 105</w:t>
      </w:r>
    </w:p>
  </w:footnote>
  <w:footnote w:id="16">
    <w:p w:rsidR="00804840" w:rsidRDefault="00804840">
      <w:pPr>
        <w:pStyle w:val="Funotentext"/>
      </w:pPr>
      <w:r>
        <w:rPr>
          <w:rStyle w:val="Funotenzeichen"/>
        </w:rPr>
        <w:footnoteRef/>
      </w:r>
      <w:r>
        <w:t xml:space="preserve"> </w:t>
      </w:r>
      <w:r w:rsidR="0073759F">
        <w:rPr>
          <w:rFonts w:ascii="Times New Roman" w:hAnsi="Times New Roman" w:cs="Times New Roman"/>
          <w:sz w:val="24"/>
          <w:szCs w:val="24"/>
        </w:rPr>
        <w:t xml:space="preserve">KrV </w:t>
      </w:r>
      <w:r w:rsidR="00D212B6">
        <w:rPr>
          <w:rFonts w:ascii="Times New Roman" w:hAnsi="Times New Roman" w:cs="Times New Roman"/>
          <w:sz w:val="24"/>
          <w:szCs w:val="24"/>
        </w:rPr>
        <w:t>B</w:t>
      </w:r>
      <w:r w:rsidR="00E3520F">
        <w:rPr>
          <w:rFonts w:ascii="Times New Roman" w:hAnsi="Times New Roman" w:cs="Times New Roman"/>
          <w:sz w:val="24"/>
          <w:szCs w:val="24"/>
        </w:rPr>
        <w:t>, AA III</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10</w:t>
      </w:r>
    </w:p>
  </w:footnote>
  <w:footnote w:id="17">
    <w:p w:rsidR="007334C6" w:rsidRDefault="007334C6">
      <w:pPr>
        <w:pStyle w:val="Funotentext"/>
      </w:pPr>
      <w:r>
        <w:rPr>
          <w:rStyle w:val="Funotenzeichen"/>
        </w:rPr>
        <w:footnoteRef/>
      </w:r>
      <w:r>
        <w:t xml:space="preserve"> </w:t>
      </w:r>
      <w:r w:rsidR="00D021A6">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11</w:t>
      </w:r>
    </w:p>
  </w:footnote>
  <w:footnote w:id="18">
    <w:p w:rsidR="00804840" w:rsidRDefault="00804840">
      <w:pPr>
        <w:pStyle w:val="Funotentext"/>
      </w:pPr>
      <w:r>
        <w:rPr>
          <w:rStyle w:val="Funotenzeichen"/>
        </w:rPr>
        <w:footnoteRef/>
      </w:r>
      <w:r>
        <w:t xml:space="preserve"> </w:t>
      </w:r>
      <w:r w:rsidR="00D021A6">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192</w:t>
      </w:r>
    </w:p>
  </w:footnote>
  <w:footnote w:id="19">
    <w:p w:rsidR="00804840" w:rsidRPr="00E3520F" w:rsidRDefault="00804840">
      <w:pPr>
        <w:pStyle w:val="Funotentext"/>
      </w:pPr>
      <w:r>
        <w:rPr>
          <w:rStyle w:val="Funotenzeichen"/>
        </w:rPr>
        <w:footnoteRef/>
      </w:r>
      <w:r w:rsidRPr="00E3520F">
        <w:t xml:space="preserve"> </w:t>
      </w:r>
      <w:r w:rsidR="0073759F" w:rsidRPr="00E3520F">
        <w:rPr>
          <w:rFonts w:ascii="Times New Roman" w:hAnsi="Times New Roman" w:cs="Times New Roman"/>
          <w:sz w:val="22"/>
          <w:szCs w:val="22"/>
        </w:rPr>
        <w:t>Br</w:t>
      </w:r>
      <w:r w:rsidR="00CE6150" w:rsidRPr="00E3520F">
        <w:rPr>
          <w:rFonts w:ascii="Times New Roman" w:hAnsi="Times New Roman" w:cs="Times New Roman"/>
          <w:sz w:val="22"/>
          <w:szCs w:val="22"/>
        </w:rPr>
        <w:t>, AA XI</w:t>
      </w:r>
      <w:r w:rsidR="0073759F" w:rsidRPr="00E3520F">
        <w:rPr>
          <w:rFonts w:ascii="Times New Roman" w:hAnsi="Times New Roman" w:cs="Times New Roman"/>
          <w:sz w:val="22"/>
          <w:szCs w:val="22"/>
        </w:rPr>
        <w:t xml:space="preserve">: </w:t>
      </w:r>
      <w:r w:rsidR="00CE6150" w:rsidRPr="00E3520F">
        <w:rPr>
          <w:rFonts w:ascii="Times New Roman" w:hAnsi="Times New Roman" w:cs="Times New Roman"/>
          <w:sz w:val="22"/>
          <w:szCs w:val="22"/>
        </w:rPr>
        <w:t xml:space="preserve">347 </w:t>
      </w:r>
    </w:p>
  </w:footnote>
  <w:footnote w:id="20">
    <w:p w:rsidR="00A54E19" w:rsidRDefault="00A54E19">
      <w:pPr>
        <w:pStyle w:val="Funotentext"/>
      </w:pPr>
      <w:r>
        <w:rPr>
          <w:rStyle w:val="Funotenzeichen"/>
        </w:rPr>
        <w:footnoteRef/>
      </w:r>
      <w:r>
        <w:t xml:space="preserve"> </w:t>
      </w:r>
      <w:r w:rsidR="00D212B6">
        <w:rPr>
          <w:rFonts w:ascii="Times New Roman" w:hAnsi="Times New Roman" w:cs="Times New Roman"/>
          <w:sz w:val="24"/>
          <w:szCs w:val="24"/>
        </w:rPr>
        <w:t>vgl. Kant</w:t>
      </w:r>
      <w:r w:rsidR="0073759F">
        <w:rPr>
          <w:rFonts w:ascii="Times New Roman" w:hAnsi="Times New Roman" w:cs="Times New Roman"/>
          <w:sz w:val="24"/>
          <w:szCs w:val="24"/>
        </w:rPr>
        <w:t xml:space="preserve"> KrV</w:t>
      </w:r>
      <w:r w:rsidR="00D212B6">
        <w:rPr>
          <w:rFonts w:ascii="Times New Roman" w:hAnsi="Times New Roman" w:cs="Times New Roman"/>
          <w:sz w:val="24"/>
          <w:szCs w:val="24"/>
        </w:rPr>
        <w:t xml:space="preserve"> B</w:t>
      </w:r>
      <w:r w:rsidR="00E3520F">
        <w:rPr>
          <w:rFonts w:ascii="Times New Roman" w:hAnsi="Times New Roman" w:cs="Times New Roman"/>
          <w:sz w:val="24"/>
          <w:szCs w:val="24"/>
        </w:rPr>
        <w:t>, AA III</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97</w:t>
      </w:r>
    </w:p>
  </w:footnote>
  <w:footnote w:id="21">
    <w:p w:rsidR="00A54E19" w:rsidRDefault="00A54E19">
      <w:pPr>
        <w:pStyle w:val="Funotentext"/>
      </w:pPr>
      <w:r>
        <w:rPr>
          <w:rStyle w:val="Funotenzeichen"/>
        </w:rPr>
        <w:footnoteRef/>
      </w:r>
      <w:r>
        <w:t xml:space="preserve"> </w:t>
      </w:r>
      <w:r w:rsidR="001D40A8">
        <w:rPr>
          <w:rFonts w:ascii="Times New Roman" w:hAnsi="Times New Roman" w:cs="Times New Roman"/>
          <w:sz w:val="24"/>
          <w:szCs w:val="24"/>
        </w:rPr>
        <w:t>vgl. 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97</w:t>
      </w:r>
    </w:p>
  </w:footnote>
  <w:footnote w:id="22">
    <w:p w:rsidR="00A54E19" w:rsidRDefault="00A54E19">
      <w:pPr>
        <w:pStyle w:val="Funotentext"/>
      </w:pPr>
      <w:r>
        <w:rPr>
          <w:rStyle w:val="Funotenzeichen"/>
        </w:rPr>
        <w:footnoteRef/>
      </w:r>
      <w:r>
        <w:t xml:space="preserve"> </w:t>
      </w:r>
      <w:r w:rsidR="00E3520F">
        <w:rPr>
          <w:rFonts w:ascii="Times New Roman" w:hAnsi="Times New Roman" w:cs="Times New Roman"/>
          <w:sz w:val="24"/>
          <w:szCs w:val="24"/>
        </w:rPr>
        <w:t>vgl. Log, AA IX</w:t>
      </w:r>
      <w:r w:rsidR="0073759F">
        <w:rPr>
          <w:rFonts w:ascii="Times New Roman" w:hAnsi="Times New Roman" w:cs="Times New Roman"/>
          <w:sz w:val="24"/>
          <w:szCs w:val="24"/>
        </w:rPr>
        <w:t>:</w:t>
      </w:r>
      <w:r>
        <w:rPr>
          <w:rFonts w:ascii="Times New Roman" w:hAnsi="Times New Roman" w:cs="Times New Roman"/>
          <w:sz w:val="24"/>
          <w:szCs w:val="24"/>
        </w:rPr>
        <w:t xml:space="preserve"> § 23, Anm. 2, 104</w:t>
      </w:r>
    </w:p>
  </w:footnote>
  <w:footnote w:id="23">
    <w:p w:rsidR="00D56180" w:rsidRDefault="00D56180">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00F625FC">
        <w:rPr>
          <w:rFonts w:ascii="Times New Roman" w:hAnsi="Times New Roman" w:cs="Times New Roman"/>
          <w:sz w:val="24"/>
          <w:szCs w:val="24"/>
        </w:rPr>
        <w:t xml:space="preserve"> § 21, 102; vgl. Refl</w:t>
      </w:r>
      <w:r w:rsidR="00BC4C8B">
        <w:rPr>
          <w:rFonts w:ascii="Times New Roman" w:hAnsi="Times New Roman" w:cs="Times New Roman"/>
          <w:sz w:val="24"/>
          <w:szCs w:val="24"/>
        </w:rPr>
        <w:t>, AA XVI:</w:t>
      </w:r>
      <w:r w:rsidRPr="009404FC">
        <w:rPr>
          <w:rFonts w:ascii="Times New Roman" w:hAnsi="Times New Roman" w:cs="Times New Roman"/>
          <w:sz w:val="24"/>
          <w:szCs w:val="24"/>
        </w:rPr>
        <w:t xml:space="preserve"> 3084</w:t>
      </w:r>
    </w:p>
  </w:footnote>
  <w:footnote w:id="24">
    <w:p w:rsidR="00D56180" w:rsidRDefault="00D56180">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 21, Anm. 1, 102</w:t>
      </w:r>
    </w:p>
  </w:footnote>
  <w:footnote w:id="25">
    <w:p w:rsidR="00D56180" w:rsidRDefault="00D56180">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 51</w:t>
      </w:r>
    </w:p>
  </w:footnote>
  <w:footnote w:id="26">
    <w:p w:rsidR="00D56180" w:rsidRDefault="00D56180">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2937A6">
        <w:rPr>
          <w:rFonts w:ascii="Times New Roman" w:hAnsi="Times New Roman" w:cs="Times New Roman"/>
          <w:i/>
          <w:sz w:val="24"/>
          <w:szCs w:val="24"/>
        </w:rPr>
        <w:t xml:space="preserve"> </w:t>
      </w:r>
      <w:r w:rsidR="00F625FC">
        <w:rPr>
          <w:rFonts w:ascii="Times New Roman" w:hAnsi="Times New Roman" w:cs="Times New Roman"/>
          <w:sz w:val="24"/>
          <w:szCs w:val="24"/>
        </w:rPr>
        <w:t>Einl., 51 f.; vgl. Refl</w:t>
      </w:r>
      <w:r w:rsidR="00BC4C8B">
        <w:rPr>
          <w:rFonts w:ascii="Times New Roman" w:hAnsi="Times New Roman" w:cs="Times New Roman"/>
          <w:sz w:val="24"/>
          <w:szCs w:val="24"/>
        </w:rPr>
        <w:t>, AA XVI:</w:t>
      </w:r>
      <w:r w:rsidRPr="009404FC">
        <w:rPr>
          <w:rFonts w:ascii="Times New Roman" w:hAnsi="Times New Roman" w:cs="Times New Roman"/>
          <w:sz w:val="24"/>
          <w:szCs w:val="24"/>
        </w:rPr>
        <w:t xml:space="preserve"> 2174</w:t>
      </w:r>
    </w:p>
  </w:footnote>
  <w:footnote w:id="27">
    <w:p w:rsidR="00D56180" w:rsidRDefault="00D56180">
      <w:pPr>
        <w:pStyle w:val="Funotentext"/>
      </w:pPr>
      <w:r>
        <w:rPr>
          <w:rStyle w:val="Funotenzeichen"/>
        </w:rPr>
        <w:footnoteRef/>
      </w:r>
      <w:r>
        <w:t xml:space="preserve"> </w:t>
      </w:r>
      <w:r w:rsidR="00E3520F">
        <w:rPr>
          <w:rFonts w:ascii="Times New Roman" w:hAnsi="Times New Roman" w:cs="Times New Roman"/>
          <w:sz w:val="24"/>
          <w:szCs w:val="24"/>
        </w:rPr>
        <w:t>Log, AA IX</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w:t>
      </w:r>
      <w:r w:rsidR="007334C6">
        <w:rPr>
          <w:rFonts w:ascii="Times New Roman" w:hAnsi="Times New Roman" w:cs="Times New Roman"/>
          <w:sz w:val="24"/>
          <w:szCs w:val="24"/>
        </w:rPr>
        <w:t>,</w:t>
      </w:r>
      <w:r w:rsidR="00F625FC">
        <w:rPr>
          <w:rFonts w:ascii="Times New Roman" w:hAnsi="Times New Roman" w:cs="Times New Roman"/>
          <w:sz w:val="24"/>
          <w:szCs w:val="24"/>
        </w:rPr>
        <w:t xml:space="preserve"> 58; vgl. Refl</w:t>
      </w:r>
      <w:r w:rsidR="00BC4C8B">
        <w:rPr>
          <w:rFonts w:ascii="Times New Roman" w:hAnsi="Times New Roman" w:cs="Times New Roman"/>
          <w:sz w:val="24"/>
          <w:szCs w:val="24"/>
        </w:rPr>
        <w:t>, AA XVI:</w:t>
      </w:r>
      <w:r w:rsidRPr="009404FC">
        <w:rPr>
          <w:rFonts w:ascii="Times New Roman" w:hAnsi="Times New Roman" w:cs="Times New Roman"/>
          <w:sz w:val="24"/>
          <w:szCs w:val="24"/>
        </w:rPr>
        <w:t xml:space="preserve"> 2284</w:t>
      </w:r>
    </w:p>
  </w:footnote>
  <w:footnote w:id="28">
    <w:p w:rsidR="00D56180" w:rsidRDefault="00D56180">
      <w:pPr>
        <w:pStyle w:val="Funotentext"/>
      </w:pPr>
      <w:r>
        <w:rPr>
          <w:rStyle w:val="Funotenzeichen"/>
        </w:rPr>
        <w:footnoteRef/>
      </w:r>
      <w:r>
        <w:t xml:space="preserve"> </w:t>
      </w:r>
      <w:r w:rsidR="00E3520F">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 21, Anm. 1, 102</w:t>
      </w:r>
    </w:p>
  </w:footnote>
  <w:footnote w:id="29">
    <w:p w:rsidR="00D56180" w:rsidRDefault="00D56180">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 51ff.</w:t>
      </w:r>
    </w:p>
  </w:footnote>
  <w:footnote w:id="30">
    <w:p w:rsidR="007334C6" w:rsidRDefault="007334C6">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w:t>
      </w:r>
      <w:r>
        <w:rPr>
          <w:rFonts w:ascii="Times New Roman" w:hAnsi="Times New Roman" w:cs="Times New Roman"/>
          <w:sz w:val="24"/>
          <w:szCs w:val="24"/>
        </w:rPr>
        <w:t>,</w:t>
      </w:r>
      <w:r w:rsidR="00F625FC">
        <w:rPr>
          <w:rFonts w:ascii="Times New Roman" w:hAnsi="Times New Roman" w:cs="Times New Roman"/>
          <w:sz w:val="24"/>
          <w:szCs w:val="24"/>
        </w:rPr>
        <w:t xml:space="preserve"> 52; vgl. Refl</w:t>
      </w:r>
      <w:r w:rsidR="00BC4C8B">
        <w:rPr>
          <w:rFonts w:ascii="Times New Roman" w:hAnsi="Times New Roman" w:cs="Times New Roman"/>
          <w:sz w:val="24"/>
          <w:szCs w:val="24"/>
        </w:rPr>
        <w:t>, AA XVI:</w:t>
      </w:r>
      <w:r w:rsidRPr="009404FC">
        <w:rPr>
          <w:rFonts w:ascii="Times New Roman" w:hAnsi="Times New Roman" w:cs="Times New Roman"/>
          <w:sz w:val="24"/>
          <w:szCs w:val="24"/>
        </w:rPr>
        <w:t xml:space="preserve"> 2178</w:t>
      </w:r>
    </w:p>
  </w:footnote>
  <w:footnote w:id="31">
    <w:p w:rsidR="007334C6" w:rsidRDefault="007334C6">
      <w:pPr>
        <w:pStyle w:val="Funotentext"/>
      </w:pPr>
      <w:r>
        <w:rPr>
          <w:rStyle w:val="Funotenzeichen"/>
        </w:rPr>
        <w:footnoteRef/>
      </w:r>
      <w:r>
        <w:t xml:space="preserve"> </w:t>
      </w:r>
      <w:r w:rsidR="00E3520F">
        <w:rPr>
          <w:rFonts w:ascii="Times New Roman" w:hAnsi="Times New Roman" w:cs="Times New Roman"/>
          <w:sz w:val="24"/>
          <w:szCs w:val="24"/>
        </w:rPr>
        <w:t>Log, AA IX</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w:t>
      </w:r>
      <w:r>
        <w:rPr>
          <w:rFonts w:ascii="Times New Roman" w:hAnsi="Times New Roman" w:cs="Times New Roman"/>
          <w:sz w:val="24"/>
          <w:szCs w:val="24"/>
        </w:rPr>
        <w:t>,</w:t>
      </w:r>
      <w:r w:rsidRPr="009404FC">
        <w:rPr>
          <w:rFonts w:ascii="Times New Roman" w:hAnsi="Times New Roman" w:cs="Times New Roman"/>
          <w:sz w:val="24"/>
          <w:szCs w:val="24"/>
        </w:rPr>
        <w:t xml:space="preserve"> 59</w:t>
      </w:r>
    </w:p>
  </w:footnote>
  <w:footnote w:id="32">
    <w:p w:rsidR="007334C6" w:rsidRPr="0073759F" w:rsidRDefault="007334C6">
      <w:pPr>
        <w:pStyle w:val="Funotentext"/>
      </w:pPr>
      <w:r>
        <w:rPr>
          <w:rStyle w:val="Funotenzeichen"/>
        </w:rPr>
        <w:footnoteRef/>
      </w:r>
      <w:r w:rsidRPr="0073759F">
        <w:t xml:space="preserve"> </w:t>
      </w:r>
      <w:r w:rsidR="00E3520F">
        <w:rPr>
          <w:rFonts w:ascii="Times New Roman" w:hAnsi="Times New Roman" w:cs="Times New Roman"/>
          <w:sz w:val="24"/>
          <w:szCs w:val="24"/>
        </w:rPr>
        <w:t>Ebd.</w:t>
      </w:r>
      <w:r w:rsidR="0073759F" w:rsidRPr="0073759F">
        <w:rPr>
          <w:rFonts w:ascii="Times New Roman" w:hAnsi="Times New Roman" w:cs="Times New Roman"/>
          <w:sz w:val="24"/>
          <w:szCs w:val="24"/>
        </w:rPr>
        <w:t>:</w:t>
      </w:r>
      <w:r w:rsidR="00F625FC">
        <w:rPr>
          <w:rFonts w:ascii="Times New Roman" w:hAnsi="Times New Roman" w:cs="Times New Roman"/>
          <w:sz w:val="24"/>
          <w:szCs w:val="24"/>
        </w:rPr>
        <w:t xml:space="preserve"> § 11, Anm. 97; vgl. Refl</w:t>
      </w:r>
      <w:r w:rsidR="00BC4C8B">
        <w:rPr>
          <w:rFonts w:ascii="Times New Roman" w:hAnsi="Times New Roman" w:cs="Times New Roman"/>
          <w:sz w:val="24"/>
          <w:szCs w:val="24"/>
        </w:rPr>
        <w:t>, AA XVI:</w:t>
      </w:r>
      <w:r w:rsidRPr="0073759F">
        <w:rPr>
          <w:rFonts w:ascii="Times New Roman" w:hAnsi="Times New Roman" w:cs="Times New Roman"/>
          <w:sz w:val="24"/>
          <w:szCs w:val="24"/>
        </w:rPr>
        <w:t xml:space="preserve"> 2293</w:t>
      </w:r>
    </w:p>
  </w:footnote>
  <w:footnote w:id="33">
    <w:p w:rsidR="007334C6" w:rsidRDefault="007334C6">
      <w:pPr>
        <w:pStyle w:val="Funotentext"/>
      </w:pPr>
      <w:r>
        <w:rPr>
          <w:rStyle w:val="Funotenzeichen"/>
        </w:rPr>
        <w:footnoteRef/>
      </w:r>
      <w:r>
        <w:t xml:space="preserve"> </w:t>
      </w:r>
      <w:r w:rsidR="00E3520F">
        <w:rPr>
          <w:rFonts w:ascii="Times New Roman" w:hAnsi="Times New Roman" w:cs="Times New Roman"/>
          <w:sz w:val="24"/>
          <w:szCs w:val="24"/>
        </w:rPr>
        <w:t xml:space="preserve">vgl. </w:t>
      </w:r>
      <w:r w:rsidR="0073759F">
        <w:rPr>
          <w:rFonts w:ascii="Times New Roman" w:hAnsi="Times New Roman" w:cs="Times New Roman"/>
          <w:sz w:val="24"/>
          <w:szCs w:val="24"/>
        </w:rPr>
        <w:t xml:space="preserve">KrV </w:t>
      </w:r>
      <w:r w:rsidR="00D212B6">
        <w:rPr>
          <w:rFonts w:ascii="Times New Roman" w:hAnsi="Times New Roman" w:cs="Times New Roman"/>
          <w:sz w:val="24"/>
          <w:szCs w:val="24"/>
        </w:rPr>
        <w:t>B</w:t>
      </w:r>
      <w:r w:rsidR="00E3520F">
        <w:rPr>
          <w:rFonts w:ascii="Times New Roman" w:hAnsi="Times New Roman" w:cs="Times New Roman"/>
          <w:sz w:val="24"/>
          <w:szCs w:val="24"/>
        </w:rPr>
        <w:t>, AA III</w:t>
      </w:r>
      <w:r w:rsidR="0073759F">
        <w:rPr>
          <w:rFonts w:ascii="Times New Roman" w:hAnsi="Times New Roman" w:cs="Times New Roman"/>
          <w:sz w:val="24"/>
          <w:szCs w:val="24"/>
        </w:rPr>
        <w:t>:</w:t>
      </w:r>
      <w:r>
        <w:rPr>
          <w:rFonts w:ascii="Times New Roman" w:hAnsi="Times New Roman" w:cs="Times New Roman"/>
          <w:sz w:val="24"/>
          <w:szCs w:val="24"/>
        </w:rPr>
        <w:t xml:space="preserve"> </w:t>
      </w:r>
      <w:r w:rsidR="00D212B6">
        <w:rPr>
          <w:rFonts w:ascii="Times New Roman" w:hAnsi="Times New Roman" w:cs="Times New Roman"/>
          <w:sz w:val="24"/>
          <w:szCs w:val="24"/>
        </w:rPr>
        <w:t>96</w:t>
      </w:r>
      <w:r w:rsidRPr="009404FC">
        <w:rPr>
          <w:rFonts w:ascii="Times New Roman" w:hAnsi="Times New Roman" w:cs="Times New Roman"/>
          <w:sz w:val="24"/>
          <w:szCs w:val="24"/>
        </w:rPr>
        <w:t>f.</w:t>
      </w:r>
    </w:p>
  </w:footnote>
  <w:footnote w:id="34">
    <w:p w:rsidR="007334C6" w:rsidRDefault="007334C6">
      <w:pPr>
        <w:pStyle w:val="Funotentext"/>
      </w:pPr>
      <w:r>
        <w:rPr>
          <w:rStyle w:val="Funotenzeichen"/>
        </w:rPr>
        <w:footnoteRef/>
      </w:r>
      <w:r>
        <w:t xml:space="preserve"> </w:t>
      </w:r>
      <w:r w:rsidR="00BC4C8B">
        <w:rPr>
          <w:rFonts w:ascii="Times New Roman" w:hAnsi="Times New Roman" w:cs="Times New Roman"/>
          <w:sz w:val="22"/>
          <w:szCs w:val="22"/>
        </w:rPr>
        <w:t>Log, AA IX</w:t>
      </w:r>
      <w:r w:rsidR="0073759F">
        <w:rPr>
          <w:rFonts w:ascii="Times New Roman" w:hAnsi="Times New Roman" w:cs="Times New Roman"/>
          <w:sz w:val="22"/>
          <w:szCs w:val="22"/>
        </w:rPr>
        <w:t>:</w:t>
      </w:r>
      <w:r w:rsidRPr="00751822">
        <w:rPr>
          <w:rFonts w:ascii="Times New Roman" w:hAnsi="Times New Roman" w:cs="Times New Roman"/>
          <w:sz w:val="22"/>
          <w:szCs w:val="22"/>
        </w:rPr>
        <w:t xml:space="preserve"> Einl.</w:t>
      </w:r>
      <w:r>
        <w:rPr>
          <w:rFonts w:ascii="Times New Roman" w:hAnsi="Times New Roman" w:cs="Times New Roman"/>
          <w:sz w:val="22"/>
          <w:szCs w:val="22"/>
        </w:rPr>
        <w:t>,</w:t>
      </w:r>
      <w:r w:rsidR="00F625FC">
        <w:rPr>
          <w:rFonts w:ascii="Times New Roman" w:hAnsi="Times New Roman" w:cs="Times New Roman"/>
          <w:sz w:val="22"/>
          <w:szCs w:val="22"/>
        </w:rPr>
        <w:t xml:space="preserve"> 52; vgl. Refl</w:t>
      </w:r>
      <w:r w:rsidR="00BC4C8B">
        <w:rPr>
          <w:rFonts w:ascii="Times New Roman" w:hAnsi="Times New Roman" w:cs="Times New Roman"/>
          <w:sz w:val="22"/>
          <w:szCs w:val="22"/>
        </w:rPr>
        <w:t>, AA XVI:</w:t>
      </w:r>
      <w:r w:rsidRPr="00751822">
        <w:rPr>
          <w:rFonts w:ascii="Times New Roman" w:hAnsi="Times New Roman" w:cs="Times New Roman"/>
          <w:sz w:val="22"/>
          <w:szCs w:val="22"/>
        </w:rPr>
        <w:t xml:space="preserve"> 2680, 4. u. 6</w:t>
      </w:r>
      <w:r>
        <w:rPr>
          <w:rFonts w:ascii="Times New Roman" w:hAnsi="Times New Roman" w:cs="Times New Roman"/>
          <w:sz w:val="22"/>
          <w:szCs w:val="22"/>
        </w:rPr>
        <w:t>.</w:t>
      </w:r>
    </w:p>
  </w:footnote>
  <w:footnote w:id="35">
    <w:p w:rsidR="007334C6" w:rsidRDefault="007334C6">
      <w:pPr>
        <w:pStyle w:val="Funotentext"/>
      </w:pPr>
      <w:r>
        <w:rPr>
          <w:rStyle w:val="Funotenzeichen"/>
        </w:rPr>
        <w:footnoteRef/>
      </w:r>
      <w:r>
        <w:t xml:space="preserve"> </w:t>
      </w:r>
      <w:r w:rsidR="00BC4C8B">
        <w:rPr>
          <w:rFonts w:ascii="Times New Roman" w:hAnsi="Times New Roman" w:cs="Times New Roman"/>
          <w:sz w:val="24"/>
          <w:szCs w:val="24"/>
        </w:rPr>
        <w:t>Log, AA IX</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w:t>
      </w:r>
      <w:r>
        <w:rPr>
          <w:rFonts w:ascii="Times New Roman" w:hAnsi="Times New Roman" w:cs="Times New Roman"/>
          <w:sz w:val="24"/>
          <w:szCs w:val="24"/>
        </w:rPr>
        <w:t>,</w:t>
      </w:r>
      <w:r w:rsidRPr="009404FC">
        <w:rPr>
          <w:rFonts w:ascii="Times New Roman" w:hAnsi="Times New Roman" w:cs="Times New Roman"/>
          <w:sz w:val="24"/>
          <w:szCs w:val="24"/>
        </w:rPr>
        <w:t xml:space="preserve"> 85</w:t>
      </w:r>
    </w:p>
  </w:footnote>
  <w:footnote w:id="36">
    <w:p w:rsidR="007334C6" w:rsidRDefault="007334C6">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Einl.</w:t>
      </w:r>
      <w:r>
        <w:rPr>
          <w:rFonts w:ascii="Times New Roman" w:hAnsi="Times New Roman" w:cs="Times New Roman"/>
          <w:sz w:val="24"/>
          <w:szCs w:val="24"/>
        </w:rPr>
        <w:t>,</w:t>
      </w:r>
      <w:r w:rsidR="00BC4C8B">
        <w:rPr>
          <w:rFonts w:ascii="Times New Roman" w:hAnsi="Times New Roman" w:cs="Times New Roman"/>
          <w:sz w:val="24"/>
          <w:szCs w:val="24"/>
        </w:rPr>
        <w:t xml:space="preserve"> 53; vgl. Refl, AA XVI:</w:t>
      </w:r>
      <w:r w:rsidRPr="009404FC">
        <w:rPr>
          <w:rFonts w:ascii="Times New Roman" w:hAnsi="Times New Roman" w:cs="Times New Roman"/>
          <w:sz w:val="24"/>
          <w:szCs w:val="24"/>
        </w:rPr>
        <w:t xml:space="preserve"> 2167</w:t>
      </w:r>
    </w:p>
  </w:footnote>
  <w:footnote w:id="37">
    <w:p w:rsidR="007334C6" w:rsidRDefault="007334C6">
      <w:pPr>
        <w:pStyle w:val="Funotentext"/>
      </w:pPr>
      <w:r>
        <w:rPr>
          <w:rStyle w:val="Funotenzeichen"/>
        </w:rPr>
        <w:footnoteRef/>
      </w:r>
      <w:r>
        <w:t xml:space="preserve"> </w:t>
      </w:r>
      <w:r w:rsidR="00BC4C8B">
        <w:rPr>
          <w:rFonts w:ascii="Times New Roman" w:hAnsi="Times New Roman" w:cs="Times New Roman"/>
          <w:sz w:val="24"/>
          <w:szCs w:val="24"/>
        </w:rPr>
        <w:t>vgl.</w:t>
      </w:r>
      <w:r w:rsidR="0073759F">
        <w:rPr>
          <w:rFonts w:ascii="Times New Roman" w:hAnsi="Times New Roman" w:cs="Times New Roman"/>
          <w:sz w:val="24"/>
          <w:szCs w:val="24"/>
        </w:rPr>
        <w:t>:</w:t>
      </w:r>
      <w:r w:rsidR="00BC4C8B">
        <w:rPr>
          <w:rFonts w:ascii="Times New Roman" w:hAnsi="Times New Roman" w:cs="Times New Roman"/>
          <w:sz w:val="24"/>
          <w:szCs w:val="24"/>
        </w:rPr>
        <w:t xml:space="preserve"> Refl, AA XVI:</w:t>
      </w:r>
      <w:r w:rsidRPr="009404FC">
        <w:rPr>
          <w:rFonts w:ascii="Times New Roman" w:hAnsi="Times New Roman" w:cs="Times New Roman"/>
          <w:sz w:val="24"/>
          <w:szCs w:val="24"/>
        </w:rPr>
        <w:t xml:space="preserve"> 2185</w:t>
      </w:r>
    </w:p>
  </w:footnote>
  <w:footnote w:id="38">
    <w:p w:rsidR="00AE3301" w:rsidRDefault="00AE3301">
      <w:pPr>
        <w:pStyle w:val="Funotentext"/>
      </w:pPr>
      <w:r>
        <w:rPr>
          <w:rStyle w:val="Funotenzeichen"/>
        </w:rPr>
        <w:footnoteRef/>
      </w:r>
      <w:r>
        <w:t xml:space="preserve"> </w:t>
      </w:r>
      <w:r w:rsidR="0073759F">
        <w:rPr>
          <w:rFonts w:ascii="Times New Roman" w:hAnsi="Times New Roman" w:cs="Times New Roman"/>
          <w:sz w:val="24"/>
          <w:szCs w:val="24"/>
        </w:rPr>
        <w:t>Kant´s Logik:</w:t>
      </w:r>
      <w:r w:rsidRPr="009404FC">
        <w:rPr>
          <w:rFonts w:ascii="Times New Roman" w:hAnsi="Times New Roman" w:cs="Times New Roman"/>
          <w:sz w:val="24"/>
          <w:szCs w:val="24"/>
        </w:rPr>
        <w:t xml:space="preserve"> Einl.</w:t>
      </w:r>
      <w:r>
        <w:rPr>
          <w:rFonts w:ascii="Times New Roman" w:hAnsi="Times New Roman" w:cs="Times New Roman"/>
          <w:sz w:val="24"/>
          <w:szCs w:val="24"/>
        </w:rPr>
        <w:t>,</w:t>
      </w:r>
      <w:r w:rsidRPr="009404FC">
        <w:rPr>
          <w:rFonts w:ascii="Times New Roman" w:hAnsi="Times New Roman" w:cs="Times New Roman"/>
          <w:sz w:val="24"/>
          <w:szCs w:val="24"/>
        </w:rPr>
        <w:t xml:space="preserve"> 84; vgl.</w:t>
      </w:r>
      <w:r w:rsidR="00BC4C8B">
        <w:rPr>
          <w:rFonts w:ascii="Times New Roman" w:hAnsi="Times New Roman" w:cs="Times New Roman"/>
          <w:sz w:val="24"/>
          <w:szCs w:val="24"/>
        </w:rPr>
        <w:t xml:space="preserve"> Refl, AA XVI:</w:t>
      </w:r>
      <w:r>
        <w:rPr>
          <w:rFonts w:ascii="Times New Roman" w:hAnsi="Times New Roman" w:cs="Times New Roman"/>
          <w:sz w:val="24"/>
          <w:szCs w:val="24"/>
        </w:rPr>
        <w:t xml:space="preserve"> 2675 u. 2676</w:t>
      </w:r>
    </w:p>
  </w:footnote>
  <w:footnote w:id="39">
    <w:p w:rsidR="00AE3301" w:rsidRDefault="00AE3301">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Pr>
          <w:rFonts w:ascii="Times New Roman" w:hAnsi="Times New Roman" w:cs="Times New Roman"/>
          <w:sz w:val="24"/>
          <w:szCs w:val="24"/>
        </w:rPr>
        <w:t xml:space="preserve"> § 29, 107; vgl. Refl.</w:t>
      </w:r>
      <w:r w:rsidR="00BC4C8B">
        <w:rPr>
          <w:rFonts w:ascii="Times New Roman" w:hAnsi="Times New Roman" w:cs="Times New Roman"/>
          <w:sz w:val="24"/>
          <w:szCs w:val="24"/>
        </w:rPr>
        <w:t>, AA XVI:</w:t>
      </w:r>
      <w:r>
        <w:rPr>
          <w:rFonts w:ascii="Times New Roman" w:hAnsi="Times New Roman" w:cs="Times New Roman"/>
          <w:sz w:val="24"/>
          <w:szCs w:val="24"/>
        </w:rPr>
        <w:t xml:space="preserve"> 3102</w:t>
      </w:r>
    </w:p>
  </w:footnote>
  <w:footnote w:id="40">
    <w:p w:rsidR="00AE3301" w:rsidRDefault="00AE3301">
      <w:pPr>
        <w:pStyle w:val="Funotentext"/>
      </w:pPr>
      <w:r>
        <w:rPr>
          <w:rStyle w:val="Funotenzeichen"/>
        </w:rPr>
        <w:footnoteRef/>
      </w:r>
      <w:r>
        <w:t xml:space="preserve"> </w:t>
      </w:r>
      <w:r w:rsidR="001D40A8">
        <w:rPr>
          <w:rFonts w:ascii="Times New Roman" w:hAnsi="Times New Roman" w:cs="Times New Roman"/>
          <w:sz w:val="24"/>
          <w:szCs w:val="24"/>
        </w:rPr>
        <w:t>Ebd.</w:t>
      </w:r>
      <w:r w:rsidR="0073759F">
        <w:rPr>
          <w:rFonts w:ascii="Times New Roman" w:hAnsi="Times New Roman" w:cs="Times New Roman"/>
          <w:sz w:val="24"/>
          <w:szCs w:val="24"/>
        </w:rPr>
        <w:t>:</w:t>
      </w:r>
      <w:r w:rsidRPr="00C555CE">
        <w:rPr>
          <w:rFonts w:ascii="Times New Roman" w:hAnsi="Times New Roman" w:cs="Times New Roman"/>
          <w:i/>
          <w:sz w:val="24"/>
          <w:szCs w:val="24"/>
        </w:rPr>
        <w:t xml:space="preserve"> </w:t>
      </w:r>
      <w:r>
        <w:rPr>
          <w:rFonts w:ascii="Times New Roman" w:hAnsi="Times New Roman" w:cs="Times New Roman"/>
          <w:sz w:val="24"/>
          <w:szCs w:val="24"/>
        </w:rPr>
        <w:t>§ 29, Anm.,</w:t>
      </w:r>
      <w:r w:rsidR="00BC4C8B">
        <w:rPr>
          <w:rFonts w:ascii="Times New Roman" w:hAnsi="Times New Roman" w:cs="Times New Roman"/>
          <w:sz w:val="24"/>
          <w:szCs w:val="24"/>
        </w:rPr>
        <w:t xml:space="preserve"> 108; vgl. Refl, AA XVI:</w:t>
      </w:r>
      <w:r w:rsidRPr="009404FC">
        <w:rPr>
          <w:rFonts w:ascii="Times New Roman" w:hAnsi="Times New Roman" w:cs="Times New Roman"/>
          <w:sz w:val="24"/>
          <w:szCs w:val="24"/>
        </w:rPr>
        <w:t xml:space="preserve"> 3096</w:t>
      </w:r>
    </w:p>
  </w:footnote>
  <w:footnote w:id="41">
    <w:p w:rsidR="00697D4A" w:rsidRDefault="00697D4A">
      <w:pPr>
        <w:pStyle w:val="Funotentext"/>
      </w:pPr>
      <w:r>
        <w:rPr>
          <w:rStyle w:val="Funotenzeichen"/>
        </w:rPr>
        <w:footnoteRef/>
      </w:r>
      <w:r>
        <w:t xml:space="preserve"> </w:t>
      </w:r>
      <w:r w:rsidR="00BC4C8B">
        <w:rPr>
          <w:rFonts w:ascii="Times New Roman" w:hAnsi="Times New Roman" w:cs="Times New Roman"/>
          <w:sz w:val="24"/>
          <w:szCs w:val="24"/>
        </w:rPr>
        <w:t xml:space="preserve">KrV </w:t>
      </w:r>
      <w:r w:rsidR="00D212B6">
        <w:rPr>
          <w:rFonts w:ascii="Times New Roman" w:hAnsi="Times New Roman" w:cs="Times New Roman"/>
          <w:sz w:val="24"/>
          <w:szCs w:val="24"/>
        </w:rPr>
        <w:t>B</w:t>
      </w:r>
      <w:r w:rsidR="00BC4C8B">
        <w:rPr>
          <w:rFonts w:ascii="Times New Roman" w:hAnsi="Times New Roman" w:cs="Times New Roman"/>
          <w:sz w:val="24"/>
          <w:szCs w:val="24"/>
        </w:rPr>
        <w:t>, AA III</w:t>
      </w:r>
      <w:r w:rsidR="0073759F">
        <w:rPr>
          <w:rFonts w:ascii="Times New Roman" w:hAnsi="Times New Roman" w:cs="Times New Roman"/>
          <w:sz w:val="24"/>
          <w:szCs w:val="24"/>
        </w:rPr>
        <w:t>:</w:t>
      </w:r>
      <w:r w:rsidRPr="009404FC">
        <w:rPr>
          <w:rFonts w:ascii="Times New Roman" w:hAnsi="Times New Roman" w:cs="Times New Roman"/>
          <w:sz w:val="24"/>
          <w:szCs w:val="24"/>
        </w:rPr>
        <w:t xml:space="preserve"> 100</w:t>
      </w:r>
    </w:p>
  </w:footnote>
  <w:footnote w:id="42">
    <w:p w:rsidR="00697D4A" w:rsidRDefault="00697D4A">
      <w:pPr>
        <w:pStyle w:val="Funotentext"/>
      </w:pPr>
      <w:r>
        <w:rPr>
          <w:rStyle w:val="Funotenzeichen"/>
        </w:rPr>
        <w:footnoteRef/>
      </w:r>
      <w:r>
        <w:t xml:space="preserve"> </w:t>
      </w:r>
      <w:r w:rsidR="00BC4C8B">
        <w:rPr>
          <w:rFonts w:ascii="Times New Roman" w:hAnsi="Times New Roman" w:cs="Times New Roman"/>
          <w:sz w:val="24"/>
          <w:szCs w:val="24"/>
        </w:rPr>
        <w:t>Log, AA IX</w:t>
      </w:r>
      <w:r w:rsidR="0073759F">
        <w:rPr>
          <w:rFonts w:ascii="Times New Roman" w:hAnsi="Times New Roman" w:cs="Times New Roman"/>
          <w:sz w:val="24"/>
          <w:szCs w:val="24"/>
        </w:rPr>
        <w:t>:</w:t>
      </w:r>
      <w:r w:rsidR="00BC4C8B">
        <w:rPr>
          <w:rFonts w:ascii="Times New Roman" w:hAnsi="Times New Roman" w:cs="Times New Roman"/>
          <w:sz w:val="24"/>
          <w:szCs w:val="24"/>
        </w:rPr>
        <w:t xml:space="preserve"> Einl. 53; vgl. Refl, AA XVI:</w:t>
      </w:r>
      <w:r w:rsidRPr="009404FC">
        <w:rPr>
          <w:rFonts w:ascii="Times New Roman" w:hAnsi="Times New Roman" w:cs="Times New Roman"/>
          <w:sz w:val="24"/>
          <w:szCs w:val="24"/>
        </w:rPr>
        <w:t xml:space="preserve"> 2167</w:t>
      </w:r>
    </w:p>
  </w:footnote>
  <w:footnote w:id="43">
    <w:p w:rsidR="00697D4A" w:rsidRDefault="00697D4A">
      <w:pPr>
        <w:pStyle w:val="Funotentext"/>
      </w:pPr>
      <w:r>
        <w:rPr>
          <w:rStyle w:val="Funotenzeichen"/>
        </w:rPr>
        <w:footnoteRef/>
      </w:r>
      <w:r>
        <w:t xml:space="preserve"> </w:t>
      </w:r>
      <w:r>
        <w:rPr>
          <w:rFonts w:ascii="Times New Roman" w:hAnsi="Times New Roman" w:cs="Times New Roman"/>
          <w:sz w:val="24"/>
          <w:szCs w:val="24"/>
        </w:rPr>
        <w:t>vgl. Scheffer (1993),</w:t>
      </w:r>
      <w:r w:rsidR="003C00B2">
        <w:rPr>
          <w:rFonts w:ascii="Times New Roman" w:hAnsi="Times New Roman" w:cs="Times New Roman"/>
          <w:sz w:val="24"/>
          <w:szCs w:val="24"/>
        </w:rPr>
        <w:t xml:space="preserve"> 220</w:t>
      </w:r>
      <w:r w:rsidRPr="009404FC">
        <w:rPr>
          <w:rFonts w:ascii="Times New Roman" w:hAnsi="Times New Roman" w:cs="Times New Roman"/>
          <w:sz w:val="24"/>
          <w:szCs w:val="24"/>
        </w:rPr>
        <w:t>ff.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691B"/>
    <w:multiLevelType w:val="hybridMultilevel"/>
    <w:tmpl w:val="9A3C8C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2E63210"/>
    <w:multiLevelType w:val="hybridMultilevel"/>
    <w:tmpl w:val="9A3C8C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F1F20C7"/>
    <w:multiLevelType w:val="hybridMultilevel"/>
    <w:tmpl w:val="0DF4D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F6"/>
    <w:rsid w:val="00005551"/>
    <w:rsid w:val="00005899"/>
    <w:rsid w:val="00006216"/>
    <w:rsid w:val="00026961"/>
    <w:rsid w:val="00067844"/>
    <w:rsid w:val="000A6DA8"/>
    <w:rsid w:val="000C595D"/>
    <w:rsid w:val="000E3D54"/>
    <w:rsid w:val="000E7FE2"/>
    <w:rsid w:val="000F72CA"/>
    <w:rsid w:val="00103FF9"/>
    <w:rsid w:val="001140BC"/>
    <w:rsid w:val="00120AF1"/>
    <w:rsid w:val="001243B1"/>
    <w:rsid w:val="00126228"/>
    <w:rsid w:val="0013709A"/>
    <w:rsid w:val="001439CE"/>
    <w:rsid w:val="00151088"/>
    <w:rsid w:val="00160DFC"/>
    <w:rsid w:val="00176DD0"/>
    <w:rsid w:val="00192260"/>
    <w:rsid w:val="00192F86"/>
    <w:rsid w:val="001A3658"/>
    <w:rsid w:val="001C1397"/>
    <w:rsid w:val="001D0D44"/>
    <w:rsid w:val="001D255F"/>
    <w:rsid w:val="001D40A8"/>
    <w:rsid w:val="001E0950"/>
    <w:rsid w:val="001F2A04"/>
    <w:rsid w:val="00204FF1"/>
    <w:rsid w:val="00224675"/>
    <w:rsid w:val="00227BB6"/>
    <w:rsid w:val="00231D1A"/>
    <w:rsid w:val="00277F30"/>
    <w:rsid w:val="002937A6"/>
    <w:rsid w:val="002A5F93"/>
    <w:rsid w:val="002C4356"/>
    <w:rsid w:val="002C6700"/>
    <w:rsid w:val="002D53ED"/>
    <w:rsid w:val="002D6C80"/>
    <w:rsid w:val="002E04B6"/>
    <w:rsid w:val="002E3504"/>
    <w:rsid w:val="002E79DF"/>
    <w:rsid w:val="002E7C58"/>
    <w:rsid w:val="003007A5"/>
    <w:rsid w:val="00300802"/>
    <w:rsid w:val="00315DEC"/>
    <w:rsid w:val="00334D08"/>
    <w:rsid w:val="003353D3"/>
    <w:rsid w:val="003364F3"/>
    <w:rsid w:val="00382F69"/>
    <w:rsid w:val="003A3E63"/>
    <w:rsid w:val="003A59A2"/>
    <w:rsid w:val="003C00B2"/>
    <w:rsid w:val="003C35BE"/>
    <w:rsid w:val="003C6E19"/>
    <w:rsid w:val="003D46BE"/>
    <w:rsid w:val="003F730B"/>
    <w:rsid w:val="00401D8B"/>
    <w:rsid w:val="00443604"/>
    <w:rsid w:val="00453B5C"/>
    <w:rsid w:val="0048050E"/>
    <w:rsid w:val="00482AEC"/>
    <w:rsid w:val="00491D6C"/>
    <w:rsid w:val="004A1BE6"/>
    <w:rsid w:val="004C3C9E"/>
    <w:rsid w:val="004C4649"/>
    <w:rsid w:val="004C6364"/>
    <w:rsid w:val="004F2039"/>
    <w:rsid w:val="00501EFB"/>
    <w:rsid w:val="0052022A"/>
    <w:rsid w:val="00521AF3"/>
    <w:rsid w:val="00543F5E"/>
    <w:rsid w:val="00544E85"/>
    <w:rsid w:val="0055078A"/>
    <w:rsid w:val="00557237"/>
    <w:rsid w:val="0056725D"/>
    <w:rsid w:val="005858BD"/>
    <w:rsid w:val="00593B77"/>
    <w:rsid w:val="005C135F"/>
    <w:rsid w:val="005D1248"/>
    <w:rsid w:val="005D5211"/>
    <w:rsid w:val="005D651B"/>
    <w:rsid w:val="00626EF9"/>
    <w:rsid w:val="006364FA"/>
    <w:rsid w:val="00672642"/>
    <w:rsid w:val="00687267"/>
    <w:rsid w:val="00697D4A"/>
    <w:rsid w:val="006B60A7"/>
    <w:rsid w:val="006C3B10"/>
    <w:rsid w:val="006E70D6"/>
    <w:rsid w:val="007334C6"/>
    <w:rsid w:val="007355FE"/>
    <w:rsid w:val="0073562D"/>
    <w:rsid w:val="0073759F"/>
    <w:rsid w:val="0074170B"/>
    <w:rsid w:val="00751822"/>
    <w:rsid w:val="007535CB"/>
    <w:rsid w:val="0076731E"/>
    <w:rsid w:val="00772287"/>
    <w:rsid w:val="00775BE2"/>
    <w:rsid w:val="00783F00"/>
    <w:rsid w:val="0079095C"/>
    <w:rsid w:val="00792829"/>
    <w:rsid w:val="00795714"/>
    <w:rsid w:val="007B36EA"/>
    <w:rsid w:val="007C2B86"/>
    <w:rsid w:val="007D371A"/>
    <w:rsid w:val="007D3ACE"/>
    <w:rsid w:val="007D4EC0"/>
    <w:rsid w:val="00802BF5"/>
    <w:rsid w:val="00804840"/>
    <w:rsid w:val="0080616C"/>
    <w:rsid w:val="008062F7"/>
    <w:rsid w:val="00823BF5"/>
    <w:rsid w:val="00833BE1"/>
    <w:rsid w:val="0084777A"/>
    <w:rsid w:val="00871521"/>
    <w:rsid w:val="0088342D"/>
    <w:rsid w:val="008A071E"/>
    <w:rsid w:val="008A34F8"/>
    <w:rsid w:val="008A3FDB"/>
    <w:rsid w:val="008B2B76"/>
    <w:rsid w:val="008B3EDA"/>
    <w:rsid w:val="008C35CB"/>
    <w:rsid w:val="008D0279"/>
    <w:rsid w:val="008E565D"/>
    <w:rsid w:val="00905BEB"/>
    <w:rsid w:val="00906A0E"/>
    <w:rsid w:val="0093208B"/>
    <w:rsid w:val="009404FC"/>
    <w:rsid w:val="0097040B"/>
    <w:rsid w:val="009713F6"/>
    <w:rsid w:val="00972A33"/>
    <w:rsid w:val="009966C7"/>
    <w:rsid w:val="009A17FD"/>
    <w:rsid w:val="009B0CB0"/>
    <w:rsid w:val="009B0ECD"/>
    <w:rsid w:val="009D0E8E"/>
    <w:rsid w:val="009D617F"/>
    <w:rsid w:val="009D7207"/>
    <w:rsid w:val="009F1110"/>
    <w:rsid w:val="00A209A7"/>
    <w:rsid w:val="00A267D2"/>
    <w:rsid w:val="00A4268E"/>
    <w:rsid w:val="00A45285"/>
    <w:rsid w:val="00A54E19"/>
    <w:rsid w:val="00A64A15"/>
    <w:rsid w:val="00A740FA"/>
    <w:rsid w:val="00A860FB"/>
    <w:rsid w:val="00A91CBF"/>
    <w:rsid w:val="00AC1C73"/>
    <w:rsid w:val="00AE3301"/>
    <w:rsid w:val="00B04936"/>
    <w:rsid w:val="00B068E1"/>
    <w:rsid w:val="00B200E4"/>
    <w:rsid w:val="00B35B68"/>
    <w:rsid w:val="00B46F3C"/>
    <w:rsid w:val="00B46F64"/>
    <w:rsid w:val="00B7300E"/>
    <w:rsid w:val="00B831A2"/>
    <w:rsid w:val="00BB72B9"/>
    <w:rsid w:val="00BC4C8B"/>
    <w:rsid w:val="00BD6407"/>
    <w:rsid w:val="00BD783A"/>
    <w:rsid w:val="00BE12BE"/>
    <w:rsid w:val="00C0012E"/>
    <w:rsid w:val="00C1119A"/>
    <w:rsid w:val="00C1162B"/>
    <w:rsid w:val="00C543ED"/>
    <w:rsid w:val="00C555CE"/>
    <w:rsid w:val="00C6312D"/>
    <w:rsid w:val="00C64D7C"/>
    <w:rsid w:val="00C70181"/>
    <w:rsid w:val="00C817B1"/>
    <w:rsid w:val="00C97FD3"/>
    <w:rsid w:val="00CA2890"/>
    <w:rsid w:val="00CA2915"/>
    <w:rsid w:val="00CE4686"/>
    <w:rsid w:val="00CE6150"/>
    <w:rsid w:val="00D021A6"/>
    <w:rsid w:val="00D17FFE"/>
    <w:rsid w:val="00D212B6"/>
    <w:rsid w:val="00D251C2"/>
    <w:rsid w:val="00D343F6"/>
    <w:rsid w:val="00D56180"/>
    <w:rsid w:val="00D72996"/>
    <w:rsid w:val="00DA5E63"/>
    <w:rsid w:val="00DD6C23"/>
    <w:rsid w:val="00E11C8F"/>
    <w:rsid w:val="00E1591E"/>
    <w:rsid w:val="00E20952"/>
    <w:rsid w:val="00E3520F"/>
    <w:rsid w:val="00E37E8A"/>
    <w:rsid w:val="00E501AA"/>
    <w:rsid w:val="00E564AC"/>
    <w:rsid w:val="00E651EA"/>
    <w:rsid w:val="00E82EC6"/>
    <w:rsid w:val="00E877CD"/>
    <w:rsid w:val="00E96DC1"/>
    <w:rsid w:val="00EB040D"/>
    <w:rsid w:val="00EB18E3"/>
    <w:rsid w:val="00EB1B5B"/>
    <w:rsid w:val="00EB484E"/>
    <w:rsid w:val="00EF5F69"/>
    <w:rsid w:val="00F06A1A"/>
    <w:rsid w:val="00F1624E"/>
    <w:rsid w:val="00F210C6"/>
    <w:rsid w:val="00F327F3"/>
    <w:rsid w:val="00F50809"/>
    <w:rsid w:val="00F52EA5"/>
    <w:rsid w:val="00F625FC"/>
    <w:rsid w:val="00F6352F"/>
    <w:rsid w:val="00F71653"/>
    <w:rsid w:val="00FC4F51"/>
    <w:rsid w:val="00FC69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F82F6-51C9-4CD4-9450-43083683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E3D54"/>
    <w:pPr>
      <w:spacing w:after="0" w:line="240" w:lineRule="auto"/>
    </w:pPr>
  </w:style>
  <w:style w:type="character" w:styleId="Hyperlink">
    <w:name w:val="Hyperlink"/>
    <w:basedOn w:val="Absatz-Standardschriftart"/>
    <w:uiPriority w:val="99"/>
    <w:unhideWhenUsed/>
    <w:rsid w:val="00E564AC"/>
    <w:rPr>
      <w:color w:val="0563C1" w:themeColor="hyperlink"/>
      <w:u w:val="single"/>
    </w:rPr>
  </w:style>
  <w:style w:type="paragraph" w:styleId="Listenabsatz">
    <w:name w:val="List Paragraph"/>
    <w:basedOn w:val="Standard"/>
    <w:uiPriority w:val="34"/>
    <w:qFormat/>
    <w:rsid w:val="00F71653"/>
    <w:pPr>
      <w:ind w:left="720"/>
      <w:contextualSpacing/>
    </w:pPr>
  </w:style>
  <w:style w:type="paragraph" w:styleId="Funotentext">
    <w:name w:val="footnote text"/>
    <w:basedOn w:val="Standard"/>
    <w:link w:val="FunotentextZchn"/>
    <w:uiPriority w:val="99"/>
    <w:semiHidden/>
    <w:unhideWhenUsed/>
    <w:rsid w:val="006C3B1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C3B10"/>
    <w:rPr>
      <w:sz w:val="20"/>
      <w:szCs w:val="20"/>
    </w:rPr>
  </w:style>
  <w:style w:type="character" w:styleId="Funotenzeichen">
    <w:name w:val="footnote reference"/>
    <w:basedOn w:val="Absatz-Standardschriftart"/>
    <w:uiPriority w:val="99"/>
    <w:semiHidden/>
    <w:unhideWhenUsed/>
    <w:rsid w:val="006C3B10"/>
    <w:rPr>
      <w:vertAlign w:val="superscript"/>
    </w:rPr>
  </w:style>
  <w:style w:type="paragraph" w:styleId="Sprechblasentext">
    <w:name w:val="Balloon Text"/>
    <w:basedOn w:val="Standard"/>
    <w:link w:val="SprechblasentextZchn"/>
    <w:uiPriority w:val="99"/>
    <w:semiHidden/>
    <w:unhideWhenUsed/>
    <w:rsid w:val="00C001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569B-0469-41D0-8D67-D193EE0F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3493</Words>
  <Characters>22009</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15</cp:revision>
  <cp:lastPrinted>2022-04-13T08:08:00Z</cp:lastPrinted>
  <dcterms:created xsi:type="dcterms:W3CDTF">2022-12-02T19:56:00Z</dcterms:created>
  <dcterms:modified xsi:type="dcterms:W3CDTF">2024-08-16T11:43:00Z</dcterms:modified>
</cp:coreProperties>
</file>