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850722" w14:textId="10B47C9B" w:rsidR="0001429F" w:rsidRDefault="00077190" w:rsidP="00077190">
      <w:pPr>
        <w:widowControl w:val="0"/>
        <w:tabs>
          <w:tab w:val="left" w:pos="1440"/>
          <w:tab w:val="left" w:pos="2160"/>
          <w:tab w:val="left" w:pos="2880"/>
        </w:tabs>
        <w:autoSpaceDE w:val="0"/>
        <w:autoSpaceDN w:val="0"/>
        <w:adjustRightInd w:val="0"/>
        <w:spacing w:line="360" w:lineRule="auto"/>
        <w:jc w:val="center"/>
        <w:rPr>
          <w:rFonts w:ascii="Times New Roman" w:hAnsi="Times New Roman"/>
          <w:b/>
          <w:bCs/>
        </w:rPr>
      </w:pPr>
      <w:r w:rsidRPr="00221E23">
        <w:rPr>
          <w:rFonts w:ascii="Times New Roman" w:hAnsi="Times New Roman"/>
          <w:b/>
          <w:bCs/>
        </w:rPr>
        <w:t>Continuity, Allegiance and Community in Santayana</w:t>
      </w:r>
      <w:r w:rsidR="0001429F" w:rsidRPr="00E73780">
        <w:rPr>
          <w:rStyle w:val="FootnoteReference"/>
          <w:rFonts w:ascii="Times New Roman" w:hAnsi="Times New Roman"/>
        </w:rPr>
        <w:footnoteReference w:id="1"/>
      </w:r>
    </w:p>
    <w:p w14:paraId="346F77DF" w14:textId="77777777" w:rsidR="0001429F" w:rsidRDefault="0001429F" w:rsidP="00077190">
      <w:pPr>
        <w:widowControl w:val="0"/>
        <w:tabs>
          <w:tab w:val="left" w:pos="1440"/>
          <w:tab w:val="left" w:pos="2160"/>
          <w:tab w:val="left" w:pos="2880"/>
        </w:tabs>
        <w:autoSpaceDE w:val="0"/>
        <w:autoSpaceDN w:val="0"/>
        <w:adjustRightInd w:val="0"/>
        <w:spacing w:line="360" w:lineRule="auto"/>
        <w:jc w:val="center"/>
        <w:rPr>
          <w:rFonts w:ascii="Times New Roman" w:hAnsi="Times New Roman"/>
          <w:b/>
          <w:bCs/>
        </w:rPr>
      </w:pPr>
    </w:p>
    <w:p w14:paraId="01387CCB" w14:textId="77777777" w:rsidR="0001429F" w:rsidRDefault="0001429F" w:rsidP="005F5A90">
      <w:pPr>
        <w:widowControl w:val="0"/>
        <w:tabs>
          <w:tab w:val="left" w:pos="1440"/>
          <w:tab w:val="left" w:pos="2160"/>
          <w:tab w:val="left" w:pos="2880"/>
        </w:tabs>
        <w:autoSpaceDE w:val="0"/>
        <w:autoSpaceDN w:val="0"/>
        <w:adjustRightInd w:val="0"/>
        <w:spacing w:line="360" w:lineRule="auto"/>
        <w:ind w:firstLine="720"/>
        <w:jc w:val="center"/>
        <w:rPr>
          <w:rFonts w:cs="Calibri"/>
          <w:b/>
        </w:rPr>
      </w:pPr>
      <w:r>
        <w:rPr>
          <w:rFonts w:cs="Calibri"/>
          <w:b/>
        </w:rPr>
        <w:tab/>
      </w:r>
    </w:p>
    <w:p w14:paraId="5BF089A9" w14:textId="77777777" w:rsidR="000B7555" w:rsidRPr="00BD477C" w:rsidRDefault="000B7555" w:rsidP="00F34357">
      <w:pPr>
        <w:widowControl w:val="0"/>
        <w:tabs>
          <w:tab w:val="left" w:pos="720"/>
          <w:tab w:val="left" w:pos="2880"/>
        </w:tabs>
        <w:autoSpaceDE w:val="0"/>
        <w:autoSpaceDN w:val="0"/>
        <w:adjustRightInd w:val="0"/>
        <w:ind w:firstLine="720"/>
        <w:rPr>
          <w:rFonts w:ascii="Times New Roman" w:hAnsi="Times New Roman"/>
          <w:u w:val="single"/>
        </w:rPr>
      </w:pPr>
      <w:r w:rsidRPr="00BD477C">
        <w:rPr>
          <w:rFonts w:ascii="Times New Roman" w:hAnsi="Times New Roman"/>
          <w:u w:val="single"/>
        </w:rPr>
        <w:t>Abstract</w:t>
      </w:r>
    </w:p>
    <w:p w14:paraId="35DDFCCD" w14:textId="19592CD6" w:rsidR="000B7555" w:rsidRDefault="000B7555" w:rsidP="00F34357">
      <w:pPr>
        <w:widowControl w:val="0"/>
        <w:tabs>
          <w:tab w:val="left" w:pos="720"/>
          <w:tab w:val="left" w:pos="2880"/>
        </w:tabs>
        <w:autoSpaceDE w:val="0"/>
        <w:autoSpaceDN w:val="0"/>
        <w:adjustRightInd w:val="0"/>
        <w:ind w:left="720"/>
        <w:rPr>
          <w:rFonts w:ascii="Times New Roman" w:hAnsi="Times New Roman"/>
        </w:rPr>
      </w:pPr>
      <w:r>
        <w:rPr>
          <w:rFonts w:ascii="Times New Roman" w:hAnsi="Times New Roman"/>
        </w:rPr>
        <w:t xml:space="preserve">Throughout Santayana’s later career, controversies </w:t>
      </w:r>
      <w:r w:rsidR="005357C1">
        <w:rPr>
          <w:rFonts w:ascii="Times New Roman" w:hAnsi="Times New Roman"/>
        </w:rPr>
        <w:t>had</w:t>
      </w:r>
      <w:r>
        <w:rPr>
          <w:rFonts w:ascii="Times New Roman" w:hAnsi="Times New Roman"/>
        </w:rPr>
        <w:t xml:space="preserve"> emerged over whether Santayana was  consistent in his thinking, or whether his later work represented a radical departure from his earlier work, one that Santayana himself refused to acknowledge. I do not think there is a clear answer to this, and no such clear answer was really at issue in </w:t>
      </w:r>
      <w:r w:rsidR="00CD6328">
        <w:rPr>
          <w:rFonts w:ascii="Times New Roman" w:hAnsi="Times New Roman"/>
        </w:rPr>
        <w:t>this</w:t>
      </w:r>
      <w:r>
        <w:rPr>
          <w:rFonts w:ascii="Times New Roman" w:hAnsi="Times New Roman"/>
        </w:rPr>
        <w:t xml:space="preserve"> dispute anyway</w:t>
      </w:r>
      <w:r w:rsidR="00B62458">
        <w:rPr>
          <w:rFonts w:ascii="Times New Roman" w:hAnsi="Times New Roman"/>
        </w:rPr>
        <w:t xml:space="preserve"> – though the participants clear</w:t>
      </w:r>
      <w:r w:rsidR="007F7DF4">
        <w:rPr>
          <w:rFonts w:ascii="Times New Roman" w:hAnsi="Times New Roman"/>
        </w:rPr>
        <w:t>l</w:t>
      </w:r>
      <w:r w:rsidR="00B62458">
        <w:rPr>
          <w:rFonts w:ascii="Times New Roman" w:hAnsi="Times New Roman"/>
        </w:rPr>
        <w:t>y thought it was</w:t>
      </w:r>
      <w:r>
        <w:rPr>
          <w:rFonts w:ascii="Times New Roman" w:hAnsi="Times New Roman"/>
        </w:rPr>
        <w:t xml:space="preserve">. At bottom, the controversy was about the </w:t>
      </w:r>
      <w:r w:rsidR="00626B20">
        <w:rPr>
          <w:rFonts w:ascii="Times New Roman" w:hAnsi="Times New Roman"/>
        </w:rPr>
        <w:t xml:space="preserve">felt </w:t>
      </w:r>
      <w:r>
        <w:rPr>
          <w:rFonts w:ascii="Times New Roman" w:hAnsi="Times New Roman"/>
        </w:rPr>
        <w:t>betrayal of the allegiance his later colleagues had ascribed to Santayana</w:t>
      </w:r>
      <w:r w:rsidR="00D82200">
        <w:rPr>
          <w:rFonts w:ascii="Times New Roman" w:hAnsi="Times New Roman"/>
        </w:rPr>
        <w:t xml:space="preserve">, </w:t>
      </w:r>
      <w:r w:rsidR="007F7DF4">
        <w:rPr>
          <w:rFonts w:ascii="Times New Roman" w:hAnsi="Times New Roman"/>
        </w:rPr>
        <w:t>which</w:t>
      </w:r>
      <w:r>
        <w:rPr>
          <w:rFonts w:ascii="Times New Roman" w:hAnsi="Times New Roman"/>
        </w:rPr>
        <w:t xml:space="preserve"> they </w:t>
      </w:r>
      <w:r w:rsidR="007F7DF4">
        <w:rPr>
          <w:rFonts w:ascii="Times New Roman" w:hAnsi="Times New Roman"/>
        </w:rPr>
        <w:t xml:space="preserve">themselves </w:t>
      </w:r>
      <w:r>
        <w:rPr>
          <w:rFonts w:ascii="Times New Roman" w:hAnsi="Times New Roman"/>
        </w:rPr>
        <w:t xml:space="preserve">still espoused. </w:t>
      </w:r>
      <w:r w:rsidR="007F7DF4">
        <w:rPr>
          <w:rFonts w:ascii="Times New Roman" w:hAnsi="Times New Roman"/>
        </w:rPr>
        <w:t>This</w:t>
      </w:r>
      <w:r>
        <w:rPr>
          <w:rFonts w:ascii="Times New Roman" w:hAnsi="Times New Roman"/>
        </w:rPr>
        <w:t xml:space="preserve"> has implications for those who wish to follow Santayana’s example – at least as far as framing for themselves a philosophy as a way of life. In particular, this points to Santayana’s rather pale vision of community and</w:t>
      </w:r>
      <w:r w:rsidR="00DA1B27">
        <w:rPr>
          <w:rFonts w:ascii="Times New Roman" w:hAnsi="Times New Roman"/>
        </w:rPr>
        <w:t xml:space="preserve"> (arguably)</w:t>
      </w:r>
      <w:r>
        <w:rPr>
          <w:rFonts w:ascii="Times New Roman" w:hAnsi="Times New Roman"/>
        </w:rPr>
        <w:t xml:space="preserve"> raises the need for a more robust vision.  </w:t>
      </w:r>
    </w:p>
    <w:p w14:paraId="2A871598" w14:textId="77777777" w:rsidR="0001429F" w:rsidRDefault="0001429F" w:rsidP="00F34357">
      <w:pPr>
        <w:widowControl w:val="0"/>
        <w:tabs>
          <w:tab w:val="left" w:pos="1440"/>
          <w:tab w:val="left" w:pos="2160"/>
          <w:tab w:val="left" w:pos="2880"/>
        </w:tabs>
        <w:autoSpaceDE w:val="0"/>
        <w:autoSpaceDN w:val="0"/>
        <w:adjustRightInd w:val="0"/>
        <w:ind w:firstLine="720"/>
        <w:rPr>
          <w:rFonts w:cs="Calibri"/>
        </w:rPr>
      </w:pPr>
    </w:p>
    <w:p w14:paraId="320040F9" w14:textId="77777777" w:rsidR="000B7555" w:rsidRDefault="000B7555" w:rsidP="00F34357">
      <w:pPr>
        <w:widowControl w:val="0"/>
        <w:tabs>
          <w:tab w:val="left" w:pos="1440"/>
          <w:tab w:val="left" w:pos="2160"/>
          <w:tab w:val="left" w:pos="2880"/>
        </w:tabs>
        <w:autoSpaceDE w:val="0"/>
        <w:autoSpaceDN w:val="0"/>
        <w:adjustRightInd w:val="0"/>
        <w:ind w:firstLine="720"/>
        <w:rPr>
          <w:rFonts w:cs="Calibri"/>
        </w:rPr>
      </w:pPr>
    </w:p>
    <w:p w14:paraId="1D36D75B" w14:textId="77777777" w:rsidR="000B7555" w:rsidRDefault="000B7555" w:rsidP="00F34357">
      <w:pPr>
        <w:widowControl w:val="0"/>
        <w:tabs>
          <w:tab w:val="left" w:pos="1440"/>
          <w:tab w:val="left" w:pos="2160"/>
          <w:tab w:val="left" w:pos="2880"/>
        </w:tabs>
        <w:autoSpaceDE w:val="0"/>
        <w:autoSpaceDN w:val="0"/>
        <w:adjustRightInd w:val="0"/>
        <w:ind w:firstLine="720"/>
        <w:rPr>
          <w:rFonts w:cs="Calibri"/>
        </w:rPr>
      </w:pPr>
    </w:p>
    <w:p w14:paraId="36CFAA1D" w14:textId="36AD736D" w:rsidR="00EE3EF9"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My topic concerns the well-known development </w:t>
      </w:r>
      <w:r w:rsidR="00186F2C">
        <w:rPr>
          <w:rFonts w:cs="Calibri"/>
        </w:rPr>
        <w:t>of</w:t>
      </w:r>
      <w:r>
        <w:rPr>
          <w:rFonts w:cs="Calibri"/>
        </w:rPr>
        <w:t xml:space="preserve"> Santayana’s work, during the years leading up to the publication of SAF -- a publication which became the inaugural expression of a brand new turn in his thinking.</w:t>
      </w:r>
      <w:r>
        <w:rPr>
          <w:rFonts w:cs="Calibri"/>
          <w:b/>
        </w:rPr>
        <w:t xml:space="preserve"> </w:t>
      </w:r>
      <w:r>
        <w:rPr>
          <w:rFonts w:cs="Calibri"/>
        </w:rPr>
        <w:t>Or so one story goes</w:t>
      </w:r>
      <w:r w:rsidR="009D020E">
        <w:rPr>
          <w:rFonts w:cs="Calibri"/>
        </w:rPr>
        <w:t>: i</w:t>
      </w:r>
      <w:r w:rsidR="002D4A1E">
        <w:rPr>
          <w:rFonts w:cs="Calibri"/>
        </w:rPr>
        <w:t xml:space="preserve">t’s said that </w:t>
      </w:r>
      <w:r w:rsidR="006D7523">
        <w:rPr>
          <w:rFonts w:cs="Calibri"/>
        </w:rPr>
        <w:t xml:space="preserve">Santayana changed course in the midstream of his </w:t>
      </w:r>
      <w:r w:rsidR="00745C2F">
        <w:rPr>
          <w:rFonts w:cs="Calibri"/>
        </w:rPr>
        <w:t>career</w:t>
      </w:r>
      <w:r w:rsidR="006D7523">
        <w:rPr>
          <w:rFonts w:cs="Calibri"/>
        </w:rPr>
        <w:t xml:space="preserve">, and </w:t>
      </w:r>
      <w:r w:rsidR="00796B59">
        <w:rPr>
          <w:rFonts w:cs="Calibri"/>
        </w:rPr>
        <w:t xml:space="preserve">was swept away into strange new </w:t>
      </w:r>
      <w:r w:rsidR="00CC6966">
        <w:rPr>
          <w:rFonts w:cs="Calibri"/>
        </w:rPr>
        <w:t>philosophical depths</w:t>
      </w:r>
      <w:r w:rsidR="00745C2F">
        <w:rPr>
          <w:rFonts w:cs="Calibri"/>
        </w:rPr>
        <w:t>.</w:t>
      </w:r>
      <w:r w:rsidR="00511E3E">
        <w:rPr>
          <w:rFonts w:cs="Calibri"/>
        </w:rPr>
        <w:t xml:space="preserve"> </w:t>
      </w:r>
    </w:p>
    <w:p w14:paraId="2A871599" w14:textId="1134EF5E" w:rsidR="0001429F" w:rsidRDefault="0001429F" w:rsidP="00F34357">
      <w:pPr>
        <w:widowControl w:val="0"/>
        <w:tabs>
          <w:tab w:val="left" w:pos="1440"/>
          <w:tab w:val="left" w:pos="2160"/>
          <w:tab w:val="left" w:pos="2880"/>
        </w:tabs>
        <w:autoSpaceDE w:val="0"/>
        <w:autoSpaceDN w:val="0"/>
        <w:adjustRightInd w:val="0"/>
        <w:rPr>
          <w:rFonts w:cs="Calibri"/>
        </w:rPr>
      </w:pPr>
      <w:r>
        <w:rPr>
          <w:rFonts w:cs="Calibri"/>
        </w:rPr>
        <w:tab/>
      </w:r>
    </w:p>
    <w:p w14:paraId="1F6D174F" w14:textId="2CF615B6" w:rsidR="0044019B"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But was it really </w:t>
      </w:r>
      <w:r w:rsidR="00431777">
        <w:rPr>
          <w:rFonts w:cs="Calibri"/>
        </w:rPr>
        <w:t>such a</w:t>
      </w:r>
      <w:r>
        <w:rPr>
          <w:rFonts w:cs="Calibri"/>
        </w:rPr>
        <w:t xml:space="preserve"> “new turn”? </w:t>
      </w:r>
      <w:r w:rsidR="003B7946">
        <w:rPr>
          <w:rFonts w:cs="Calibri"/>
        </w:rPr>
        <w:t xml:space="preserve">There were prior indicators that suggest </w:t>
      </w:r>
      <w:r w:rsidR="00EA10A1">
        <w:rPr>
          <w:rFonts w:cs="Calibri"/>
        </w:rPr>
        <w:t xml:space="preserve">doctrinal </w:t>
      </w:r>
      <w:r w:rsidR="003B7946">
        <w:rPr>
          <w:rFonts w:cs="Calibri"/>
        </w:rPr>
        <w:t>continuity</w:t>
      </w:r>
      <w:r w:rsidR="009D020E">
        <w:rPr>
          <w:rFonts w:cs="Calibri"/>
        </w:rPr>
        <w:t xml:space="preserve"> instead</w:t>
      </w:r>
      <w:r w:rsidR="003B7946">
        <w:rPr>
          <w:rFonts w:cs="Calibri"/>
        </w:rPr>
        <w:t>.</w:t>
      </w:r>
      <w:r w:rsidR="002F216E">
        <w:rPr>
          <w:rFonts w:cs="Calibri"/>
        </w:rPr>
        <w:t xml:space="preserve"> An early letter to George Herbert Palmer announced that a new project called “The Realms of Being” would</w:t>
      </w:r>
      <w:r w:rsidR="002F216E">
        <w:rPr>
          <w:rFonts w:cs="Calibri"/>
          <w:color w:val="000000"/>
        </w:rPr>
        <w:t xml:space="preserve"> “contain the correction of the misunderstanding to which ‘The Life of Reason’ gave occasion</w:t>
      </w:r>
      <w:r w:rsidR="00F00335">
        <w:rPr>
          <w:rFonts w:cs="Calibri"/>
          <w:color w:val="000000"/>
        </w:rPr>
        <w:t>.</w:t>
      </w:r>
      <w:r w:rsidR="002F216E">
        <w:rPr>
          <w:rFonts w:cs="Calibri"/>
          <w:color w:val="000000"/>
        </w:rPr>
        <w:t>”</w:t>
      </w:r>
      <w:r w:rsidR="003B7946">
        <w:rPr>
          <w:rFonts w:cs="Calibri"/>
          <w:vertAlign w:val="superscript"/>
        </w:rPr>
        <w:footnoteReference w:id="2"/>
      </w:r>
      <w:r w:rsidR="003B7946">
        <w:rPr>
          <w:rFonts w:cs="Calibri"/>
        </w:rPr>
        <w:t xml:space="preserve"> </w:t>
      </w:r>
      <w:r>
        <w:rPr>
          <w:rFonts w:cs="Calibri"/>
        </w:rPr>
        <w:t xml:space="preserve">By mid-career, even though Santayana was abandoning the so-called “humanist” tone of his earlier writing, he explicitly dismissed the idea that there was any “change in … deliberate doctrine” (SAF 183). </w:t>
      </w:r>
    </w:p>
    <w:p w14:paraId="796346C3" w14:textId="77777777" w:rsidR="0044019B" w:rsidRDefault="0044019B" w:rsidP="00F34357">
      <w:pPr>
        <w:widowControl w:val="0"/>
        <w:tabs>
          <w:tab w:val="left" w:pos="1440"/>
          <w:tab w:val="left" w:pos="2160"/>
          <w:tab w:val="left" w:pos="2880"/>
        </w:tabs>
        <w:autoSpaceDE w:val="0"/>
        <w:autoSpaceDN w:val="0"/>
        <w:adjustRightInd w:val="0"/>
        <w:rPr>
          <w:rFonts w:cs="Calibri"/>
        </w:rPr>
      </w:pPr>
    </w:p>
    <w:p w14:paraId="399C9917" w14:textId="6A074522" w:rsidR="00A22ECD"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Nevertheless, by the late 1930’s critics like Irwin Edman were pouncing on “certain glaring inconsistencies” </w:t>
      </w:r>
      <w:r w:rsidR="008164ED">
        <w:rPr>
          <w:rFonts w:cs="Calibri"/>
        </w:rPr>
        <w:t>raised by</w:t>
      </w:r>
      <w:r w:rsidR="00F75490">
        <w:rPr>
          <w:rFonts w:cs="Calibri"/>
        </w:rPr>
        <w:t xml:space="preserve"> Santayana’s later work</w:t>
      </w:r>
      <w:r w:rsidR="00F42B5A">
        <w:rPr>
          <w:rFonts w:cs="Calibri"/>
        </w:rPr>
        <w:t>,</w:t>
      </w:r>
      <w:r w:rsidR="00F75490" w:rsidRPr="00F75490">
        <w:rPr>
          <w:rFonts w:cs="Calibri"/>
        </w:rPr>
        <w:t xml:space="preserve"> </w:t>
      </w:r>
      <w:r>
        <w:rPr>
          <w:rFonts w:cs="Calibri"/>
        </w:rPr>
        <w:t xml:space="preserve">where “the Life of Reason and the Spiritual Life have got in each other’s way” (Edman, 1939, 592). </w:t>
      </w:r>
      <w:r w:rsidR="004A27C0">
        <w:rPr>
          <w:rFonts w:cs="Calibri"/>
        </w:rPr>
        <w:t>And t</w:t>
      </w:r>
      <w:r w:rsidR="00672D32">
        <w:rPr>
          <w:rFonts w:cs="Calibri"/>
        </w:rPr>
        <w:t xml:space="preserve">his continued </w:t>
      </w:r>
      <w:r w:rsidR="00A82AFA">
        <w:rPr>
          <w:rFonts w:cs="Calibri"/>
        </w:rPr>
        <w:t xml:space="preserve">apace </w:t>
      </w:r>
      <w:r w:rsidR="00672D32">
        <w:rPr>
          <w:rFonts w:cs="Calibri"/>
        </w:rPr>
        <w:t>even after Santayana’s death</w:t>
      </w:r>
      <w:r w:rsidR="004A27C0">
        <w:rPr>
          <w:rFonts w:cs="Calibri"/>
        </w:rPr>
        <w:t>.</w:t>
      </w:r>
      <w:r w:rsidR="00A82AFA">
        <w:rPr>
          <w:rFonts w:cs="Calibri"/>
        </w:rPr>
        <w:t xml:space="preserve"> </w:t>
      </w:r>
      <w:r w:rsidR="004A27C0">
        <w:rPr>
          <w:rFonts w:cs="Calibri"/>
        </w:rPr>
        <w:t>O</w:t>
      </w:r>
      <w:r w:rsidR="008569F5">
        <w:rPr>
          <w:rFonts w:cs="Calibri"/>
        </w:rPr>
        <w:t>ne review of a reissued volume of Santayana succinctly characterized this: “Formerly Santayana had extolled intelligence as the art of giving form and discipline to natural impulse. Here [in his later work] all human pursuits are dismissed from the realm of spirituality as limited and transitory” (Knox,</w:t>
      </w:r>
      <w:r w:rsidR="00B27C95">
        <w:rPr>
          <w:rFonts w:cs="Calibri"/>
        </w:rPr>
        <w:t xml:space="preserve"> </w:t>
      </w:r>
      <w:r w:rsidR="008569F5">
        <w:rPr>
          <w:rFonts w:cs="Calibri"/>
        </w:rPr>
        <w:t>1958, 84).</w:t>
      </w:r>
      <w:r w:rsidR="00A22ECD">
        <w:rPr>
          <w:rFonts w:cs="Calibri"/>
        </w:rPr>
        <w:t xml:space="preserve"> </w:t>
      </w:r>
    </w:p>
    <w:p w14:paraId="5817B087" w14:textId="77777777" w:rsidR="00A22ECD" w:rsidRDefault="00A22ECD" w:rsidP="00F34357">
      <w:pPr>
        <w:widowControl w:val="0"/>
        <w:tabs>
          <w:tab w:val="left" w:pos="1440"/>
          <w:tab w:val="left" w:pos="2160"/>
          <w:tab w:val="left" w:pos="2880"/>
        </w:tabs>
        <w:autoSpaceDE w:val="0"/>
        <w:autoSpaceDN w:val="0"/>
        <w:adjustRightInd w:val="0"/>
        <w:rPr>
          <w:rFonts w:cs="Calibri"/>
        </w:rPr>
      </w:pPr>
    </w:p>
    <w:p w14:paraId="2A87159B" w14:textId="646EBEBC" w:rsidR="0001429F" w:rsidRDefault="00A22ECD" w:rsidP="00F34357">
      <w:pPr>
        <w:widowControl w:val="0"/>
        <w:tabs>
          <w:tab w:val="left" w:pos="1440"/>
          <w:tab w:val="left" w:pos="2160"/>
          <w:tab w:val="left" w:pos="2880"/>
        </w:tabs>
        <w:autoSpaceDE w:val="0"/>
        <w:autoSpaceDN w:val="0"/>
        <w:adjustRightInd w:val="0"/>
        <w:rPr>
          <w:rFonts w:cs="Calibri"/>
        </w:rPr>
      </w:pPr>
      <w:r>
        <w:rPr>
          <w:rFonts w:cs="Calibri"/>
        </w:rPr>
        <w:t>All t</w:t>
      </w:r>
      <w:r w:rsidR="0001429F">
        <w:rPr>
          <w:rFonts w:cs="Calibri"/>
        </w:rPr>
        <w:t xml:space="preserve">his points to one very natural way of framing the </w:t>
      </w:r>
      <w:r w:rsidR="00FE076E">
        <w:rPr>
          <w:rFonts w:cs="Calibri"/>
        </w:rPr>
        <w:t xml:space="preserve">so-called </w:t>
      </w:r>
      <w:r w:rsidR="002C1059">
        <w:rPr>
          <w:rFonts w:cs="Calibri"/>
        </w:rPr>
        <w:t>“</w:t>
      </w:r>
      <w:r w:rsidR="0001429F">
        <w:rPr>
          <w:rFonts w:cs="Calibri"/>
        </w:rPr>
        <w:t>continuity problem</w:t>
      </w:r>
      <w:r w:rsidR="002C1059">
        <w:rPr>
          <w:rFonts w:cs="Calibri"/>
        </w:rPr>
        <w:t>”</w:t>
      </w:r>
      <w:r w:rsidR="0001429F">
        <w:rPr>
          <w:rFonts w:cs="Calibri"/>
        </w:rPr>
        <w:t xml:space="preserve"> in Santayana — as </w:t>
      </w:r>
      <w:r w:rsidR="00C67475">
        <w:rPr>
          <w:rFonts w:cs="Calibri"/>
        </w:rPr>
        <w:t xml:space="preserve">a </w:t>
      </w:r>
      <w:r w:rsidR="0001429F">
        <w:rPr>
          <w:rFonts w:cs="Calibri"/>
        </w:rPr>
        <w:t>matter of doctrinal deviation</w:t>
      </w:r>
      <w:r w:rsidR="00BD689C">
        <w:rPr>
          <w:rFonts w:cs="Calibri"/>
        </w:rPr>
        <w:t xml:space="preserve"> from his earlier work</w:t>
      </w:r>
      <w:r w:rsidR="0001429F">
        <w:rPr>
          <w:rFonts w:cs="Calibri"/>
        </w:rPr>
        <w:t xml:space="preserve">, which for some reason Santayana was </w:t>
      </w:r>
      <w:r w:rsidR="0001429F">
        <w:rPr>
          <w:rFonts w:cs="Calibri"/>
        </w:rPr>
        <w:lastRenderedPageBreak/>
        <w:t>intent on disavowing.</w:t>
      </w:r>
      <w:r w:rsidR="00A34CA9">
        <w:rPr>
          <w:rFonts w:cs="Calibri"/>
        </w:rPr>
        <w:t xml:space="preserve"> </w:t>
      </w:r>
      <w:r w:rsidR="0001429F">
        <w:rPr>
          <w:rFonts w:cs="Calibri"/>
        </w:rPr>
        <w:t xml:space="preserve">However, </w:t>
      </w:r>
      <w:r w:rsidR="00AB5DA8">
        <w:rPr>
          <w:rFonts w:cs="Calibri"/>
        </w:rPr>
        <w:t>in hopes</w:t>
      </w:r>
      <w:r w:rsidR="00B47090">
        <w:rPr>
          <w:rFonts w:cs="Calibri"/>
        </w:rPr>
        <w:t xml:space="preserve"> </w:t>
      </w:r>
      <w:r w:rsidR="00AB5DA8">
        <w:rPr>
          <w:rFonts w:cs="Calibri"/>
        </w:rPr>
        <w:t xml:space="preserve">that we </w:t>
      </w:r>
      <w:r w:rsidR="00F829C8">
        <w:rPr>
          <w:rFonts w:cs="Calibri"/>
        </w:rPr>
        <w:t>might</w:t>
      </w:r>
      <w:r w:rsidR="0001429F">
        <w:rPr>
          <w:rFonts w:cs="Calibri"/>
        </w:rPr>
        <w:t xml:space="preserve"> open up some </w:t>
      </w:r>
      <w:r w:rsidR="00446F54">
        <w:rPr>
          <w:rFonts w:cs="Calibri"/>
        </w:rPr>
        <w:t xml:space="preserve">new </w:t>
      </w:r>
      <w:r w:rsidR="0001429F">
        <w:rPr>
          <w:rFonts w:cs="Calibri"/>
        </w:rPr>
        <w:t xml:space="preserve">possibilities for </w:t>
      </w:r>
      <w:r w:rsidR="00446F54">
        <w:rPr>
          <w:rFonts w:cs="Calibri"/>
        </w:rPr>
        <w:t>taking</w:t>
      </w:r>
      <w:r w:rsidR="0001429F">
        <w:rPr>
          <w:rFonts w:cs="Calibri"/>
        </w:rPr>
        <w:t xml:space="preserve"> up Santayana’s legacy</w:t>
      </w:r>
      <w:r w:rsidR="00AB5DA8">
        <w:rPr>
          <w:rFonts w:cs="Calibri"/>
        </w:rPr>
        <w:t>,</w:t>
      </w:r>
      <w:r w:rsidR="00AB5DA8" w:rsidRPr="00AB5DA8">
        <w:rPr>
          <w:rFonts w:cs="Calibri"/>
        </w:rPr>
        <w:t xml:space="preserve"> </w:t>
      </w:r>
      <w:r w:rsidR="00AB5DA8">
        <w:rPr>
          <w:rFonts w:cs="Calibri"/>
        </w:rPr>
        <w:t>here I’ll be framing the problem differently</w:t>
      </w:r>
      <w:r w:rsidR="0001429F">
        <w:rPr>
          <w:rFonts w:cs="Calibri"/>
        </w:rPr>
        <w:t xml:space="preserve">. </w:t>
      </w:r>
      <w:r w:rsidR="001445AB">
        <w:rPr>
          <w:rFonts w:cs="Calibri"/>
        </w:rPr>
        <w:t>Specifically</w:t>
      </w:r>
      <w:r w:rsidR="00C15EF6">
        <w:rPr>
          <w:rFonts w:cs="Calibri"/>
        </w:rPr>
        <w:t xml:space="preserve">, </w:t>
      </w:r>
      <w:r w:rsidR="001445AB">
        <w:rPr>
          <w:rFonts w:cs="Calibri"/>
        </w:rPr>
        <w:t>might we not be</w:t>
      </w:r>
      <w:r w:rsidR="0001429F">
        <w:rPr>
          <w:rFonts w:cs="Calibri"/>
        </w:rPr>
        <w:t xml:space="preserve"> better off looking behind doctrinal issues, to discover the real </w:t>
      </w:r>
      <w:r w:rsidR="00C8780A">
        <w:rPr>
          <w:rFonts w:cs="Calibri"/>
        </w:rPr>
        <w:t>impetus behind</w:t>
      </w:r>
      <w:r w:rsidR="0001429F">
        <w:rPr>
          <w:rFonts w:cs="Calibri"/>
        </w:rPr>
        <w:t xml:space="preserve"> </w:t>
      </w:r>
      <w:r w:rsidR="00032C5E">
        <w:rPr>
          <w:rFonts w:cs="Calibri"/>
        </w:rPr>
        <w:t>this</w:t>
      </w:r>
      <w:r w:rsidR="0001429F">
        <w:rPr>
          <w:rFonts w:cs="Calibri"/>
        </w:rPr>
        <w:t xml:space="preserve"> controversy</w:t>
      </w:r>
      <w:r w:rsidR="001445AB">
        <w:rPr>
          <w:rFonts w:cs="Calibri"/>
        </w:rPr>
        <w:t>?</w:t>
      </w:r>
    </w:p>
    <w:p w14:paraId="2158BC6F" w14:textId="77777777" w:rsidR="00EE3EF9" w:rsidRDefault="00EE3EF9" w:rsidP="00F34357">
      <w:pPr>
        <w:widowControl w:val="0"/>
        <w:tabs>
          <w:tab w:val="left" w:pos="1440"/>
          <w:tab w:val="left" w:pos="2160"/>
          <w:tab w:val="left" w:pos="2880"/>
        </w:tabs>
        <w:autoSpaceDE w:val="0"/>
        <w:autoSpaceDN w:val="0"/>
        <w:adjustRightInd w:val="0"/>
        <w:rPr>
          <w:rFonts w:cs="Calibri"/>
        </w:rPr>
      </w:pPr>
    </w:p>
    <w:p w14:paraId="2A87159C" w14:textId="79196C08" w:rsidR="0001429F"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So here my task will be (1) to uncover </w:t>
      </w:r>
      <w:r w:rsidR="001445AB">
        <w:rPr>
          <w:rFonts w:cs="Calibri"/>
        </w:rPr>
        <w:t xml:space="preserve">what I take to be </w:t>
      </w:r>
      <w:r>
        <w:rPr>
          <w:rFonts w:cs="Calibri"/>
        </w:rPr>
        <w:t xml:space="preserve">the controversy’s </w:t>
      </w:r>
      <w:r w:rsidR="009E11F3">
        <w:rPr>
          <w:rFonts w:cs="Calibri"/>
        </w:rPr>
        <w:t xml:space="preserve">real </w:t>
      </w:r>
      <w:r>
        <w:rPr>
          <w:rFonts w:cs="Calibri"/>
        </w:rPr>
        <w:t>source, and then (2) to draw out some implications, particularly regarding the interest some of us might have in Santayana’s philosophy as a way of life — one that</w:t>
      </w:r>
      <w:r w:rsidR="003C2184">
        <w:rPr>
          <w:rFonts w:cs="Calibri"/>
        </w:rPr>
        <w:t>,</w:t>
      </w:r>
      <w:r>
        <w:rPr>
          <w:rFonts w:cs="Calibri"/>
        </w:rPr>
        <w:t xml:space="preserve"> for some of us</w:t>
      </w:r>
      <w:r w:rsidR="003C2184">
        <w:rPr>
          <w:rFonts w:cs="Calibri"/>
        </w:rPr>
        <w:t>,</w:t>
      </w:r>
      <w:r>
        <w:rPr>
          <w:rFonts w:cs="Calibri"/>
        </w:rPr>
        <w:t xml:space="preserve"> might </w:t>
      </w:r>
      <w:r w:rsidR="008737BE">
        <w:rPr>
          <w:rFonts w:cs="Calibri"/>
        </w:rPr>
        <w:t xml:space="preserve">still </w:t>
      </w:r>
      <w:r w:rsidR="00C54DA1">
        <w:rPr>
          <w:rFonts w:cs="Calibri"/>
        </w:rPr>
        <w:t xml:space="preserve">be </w:t>
      </w:r>
      <w:r>
        <w:rPr>
          <w:rFonts w:cs="Calibri"/>
        </w:rPr>
        <w:t>possible</w:t>
      </w:r>
      <w:r w:rsidR="00823A9B">
        <w:rPr>
          <w:rFonts w:cs="Calibri"/>
        </w:rPr>
        <w:t xml:space="preserve"> today</w:t>
      </w:r>
      <w:r>
        <w:rPr>
          <w:rFonts w:cs="Calibri"/>
        </w:rPr>
        <w:t xml:space="preserve">. </w:t>
      </w:r>
    </w:p>
    <w:p w14:paraId="1EF3029F" w14:textId="77777777" w:rsidR="00D85F10" w:rsidRDefault="00D85F10" w:rsidP="00F34357">
      <w:pPr>
        <w:widowControl w:val="0"/>
        <w:tabs>
          <w:tab w:val="left" w:pos="1440"/>
          <w:tab w:val="left" w:pos="2160"/>
          <w:tab w:val="left" w:pos="2880"/>
        </w:tabs>
        <w:autoSpaceDE w:val="0"/>
        <w:autoSpaceDN w:val="0"/>
        <w:adjustRightInd w:val="0"/>
        <w:rPr>
          <w:rFonts w:cs="Calibri"/>
        </w:rPr>
      </w:pPr>
    </w:p>
    <w:p w14:paraId="2A87159D" w14:textId="77777777" w:rsidR="0001429F" w:rsidRDefault="0001429F" w:rsidP="00F34357">
      <w:pPr>
        <w:widowControl w:val="0"/>
        <w:tabs>
          <w:tab w:val="left" w:pos="1440"/>
          <w:tab w:val="left" w:pos="2160"/>
          <w:tab w:val="left" w:pos="2880"/>
        </w:tabs>
        <w:autoSpaceDE w:val="0"/>
        <w:autoSpaceDN w:val="0"/>
        <w:adjustRightInd w:val="0"/>
        <w:ind w:firstLine="720"/>
        <w:jc w:val="center"/>
        <w:rPr>
          <w:rFonts w:cs="Calibri"/>
        </w:rPr>
      </w:pPr>
      <w:r>
        <w:rPr>
          <w:rFonts w:cs="Calibri"/>
          <w:b/>
        </w:rPr>
        <w:t>*1* The source of the continuity debate</w:t>
      </w:r>
    </w:p>
    <w:p w14:paraId="2A87159E" w14:textId="77777777" w:rsidR="0001429F" w:rsidRDefault="0001429F" w:rsidP="00F34357">
      <w:pPr>
        <w:widowControl w:val="0"/>
        <w:tabs>
          <w:tab w:val="left" w:pos="1440"/>
          <w:tab w:val="left" w:pos="2160"/>
          <w:tab w:val="left" w:pos="2880"/>
        </w:tabs>
        <w:autoSpaceDE w:val="0"/>
        <w:autoSpaceDN w:val="0"/>
        <w:adjustRightInd w:val="0"/>
        <w:ind w:firstLine="720"/>
        <w:rPr>
          <w:rFonts w:cs="Calibri"/>
        </w:rPr>
      </w:pPr>
    </w:p>
    <w:p w14:paraId="2A87159F" w14:textId="4148C588" w:rsidR="0001429F"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In his article “One Santayana or Two?” Justus Buchler took up this question soon after Santayana’s death, noting that a number of Santayana’s former admirers had come to believe that the </w:t>
      </w:r>
      <w:r>
        <w:rPr>
          <w:rFonts w:cs="Calibri"/>
          <w:i/>
        </w:rPr>
        <w:t>Life of Reason</w:t>
      </w:r>
      <w:r>
        <w:rPr>
          <w:rFonts w:cs="Calibri"/>
        </w:rPr>
        <w:t xml:space="preserve"> (1905, 1906) was incompatible with the later Santayana (Buchler 1954, 53). That earlier work had attracted wide appreciation — by William James for one, who thought he whiffed a pleasant </w:t>
      </w:r>
      <w:proofErr w:type="spellStart"/>
      <w:r>
        <w:rPr>
          <w:rFonts w:cs="Calibri"/>
        </w:rPr>
        <w:t>Bergsonian</w:t>
      </w:r>
      <w:proofErr w:type="spellEnd"/>
      <w:r>
        <w:rPr>
          <w:rFonts w:cs="Calibri"/>
        </w:rPr>
        <w:t xml:space="preserve"> sensibility within its pages</w:t>
      </w:r>
      <w:r>
        <w:rPr>
          <w:rFonts w:cs="Calibri"/>
          <w:i/>
        </w:rPr>
        <w:t xml:space="preserve"> (</w:t>
      </w:r>
      <w:r>
        <w:rPr>
          <w:rFonts w:cs="Calibri"/>
        </w:rPr>
        <w:t xml:space="preserve">Schilpp 1940, 499). </w:t>
      </w:r>
      <w:r w:rsidR="00051F21">
        <w:rPr>
          <w:rFonts w:cs="Calibri"/>
        </w:rPr>
        <w:t>But l</w:t>
      </w:r>
      <w:r>
        <w:rPr>
          <w:rFonts w:cs="Calibri"/>
        </w:rPr>
        <w:t>ater on, some critics smelled fouler odors, and — according to Santayana (538) — developed a “personal animus” towards him</w:t>
      </w:r>
      <w:r w:rsidR="00C7318B">
        <w:rPr>
          <w:rFonts w:cs="Calibri"/>
        </w:rPr>
        <w:t>.</w:t>
      </w:r>
      <w:r>
        <w:rPr>
          <w:rFonts w:cs="Calibri"/>
          <w:vertAlign w:val="superscript"/>
        </w:rPr>
        <w:footnoteReference w:id="3"/>
      </w:r>
      <w:r>
        <w:rPr>
          <w:rFonts w:cs="Calibri"/>
        </w:rPr>
        <w:t xml:space="preserve"> </w:t>
      </w:r>
    </w:p>
    <w:p w14:paraId="1F73DAD6" w14:textId="77777777" w:rsidR="00922C0A" w:rsidRDefault="00922C0A" w:rsidP="00F34357">
      <w:pPr>
        <w:widowControl w:val="0"/>
        <w:tabs>
          <w:tab w:val="left" w:pos="1440"/>
          <w:tab w:val="left" w:pos="2160"/>
          <w:tab w:val="left" w:pos="2880"/>
        </w:tabs>
        <w:autoSpaceDE w:val="0"/>
        <w:autoSpaceDN w:val="0"/>
        <w:adjustRightInd w:val="0"/>
        <w:rPr>
          <w:rFonts w:cs="Calibri"/>
        </w:rPr>
      </w:pPr>
    </w:p>
    <w:p w14:paraId="2A8715A0" w14:textId="17DF01CD" w:rsidR="0001429F" w:rsidRDefault="00AA380B" w:rsidP="00F34357">
      <w:pPr>
        <w:widowControl w:val="0"/>
        <w:tabs>
          <w:tab w:val="left" w:pos="1440"/>
          <w:tab w:val="left" w:pos="2160"/>
          <w:tab w:val="left" w:pos="2880"/>
        </w:tabs>
        <w:autoSpaceDE w:val="0"/>
        <w:autoSpaceDN w:val="0"/>
        <w:adjustRightInd w:val="0"/>
        <w:rPr>
          <w:rFonts w:cs="Calibri"/>
        </w:rPr>
      </w:pPr>
      <w:r>
        <w:rPr>
          <w:rFonts w:cs="Calibri"/>
        </w:rPr>
        <w:t xml:space="preserve">“A personal animus.” This seems to me worth noting. </w:t>
      </w:r>
      <w:r w:rsidR="0001429F">
        <w:rPr>
          <w:rFonts w:cs="Calibri"/>
        </w:rPr>
        <w:t xml:space="preserve">Perhaps if we could penetrate the source of that animus, we might better diagnose the perception of discontinuity it may </w:t>
      </w:r>
      <w:r w:rsidR="00754898">
        <w:rPr>
          <w:rFonts w:cs="Calibri"/>
        </w:rPr>
        <w:t>we</w:t>
      </w:r>
      <w:r w:rsidR="009E1E56">
        <w:rPr>
          <w:rFonts w:cs="Calibri"/>
        </w:rPr>
        <w:t xml:space="preserve">ll </w:t>
      </w:r>
      <w:r w:rsidR="0001429F">
        <w:rPr>
          <w:rFonts w:cs="Calibri"/>
        </w:rPr>
        <w:t xml:space="preserve">have incited. </w:t>
      </w:r>
      <w:r w:rsidR="00EF149F">
        <w:rPr>
          <w:rFonts w:cs="Calibri"/>
        </w:rPr>
        <w:t xml:space="preserve">I’ll return to this </w:t>
      </w:r>
      <w:r w:rsidR="00C6577D">
        <w:rPr>
          <w:rFonts w:cs="Calibri"/>
        </w:rPr>
        <w:t>in a moment</w:t>
      </w:r>
      <w:r w:rsidR="00085AA1">
        <w:rPr>
          <w:rFonts w:cs="Calibri"/>
        </w:rPr>
        <w:t>.</w:t>
      </w:r>
    </w:p>
    <w:p w14:paraId="08D1571D" w14:textId="77777777" w:rsidR="00922C0A" w:rsidRDefault="00922C0A" w:rsidP="00F34357">
      <w:pPr>
        <w:widowControl w:val="0"/>
        <w:tabs>
          <w:tab w:val="left" w:pos="1440"/>
          <w:tab w:val="left" w:pos="2160"/>
          <w:tab w:val="left" w:pos="2880"/>
        </w:tabs>
        <w:autoSpaceDE w:val="0"/>
        <w:autoSpaceDN w:val="0"/>
        <w:adjustRightInd w:val="0"/>
        <w:rPr>
          <w:rFonts w:cs="Calibri"/>
        </w:rPr>
      </w:pPr>
    </w:p>
    <w:p w14:paraId="2C2DC433" w14:textId="53B1E8C0" w:rsidR="00456C19" w:rsidRDefault="00085AA1" w:rsidP="00F34357">
      <w:pPr>
        <w:widowControl w:val="0"/>
        <w:tabs>
          <w:tab w:val="left" w:pos="1440"/>
          <w:tab w:val="left" w:pos="2160"/>
          <w:tab w:val="left" w:pos="2880"/>
        </w:tabs>
        <w:autoSpaceDE w:val="0"/>
        <w:autoSpaceDN w:val="0"/>
        <w:adjustRightInd w:val="0"/>
        <w:rPr>
          <w:rFonts w:cs="Calibri"/>
        </w:rPr>
      </w:pPr>
      <w:r>
        <w:rPr>
          <w:rFonts w:cs="Calibri"/>
        </w:rPr>
        <w:t>First though,</w:t>
      </w:r>
      <w:r w:rsidR="008230E4">
        <w:rPr>
          <w:rFonts w:cs="Calibri"/>
        </w:rPr>
        <w:t xml:space="preserve"> we need to </w:t>
      </w:r>
      <w:proofErr w:type="gramStart"/>
      <w:r w:rsidR="008230E4">
        <w:rPr>
          <w:rFonts w:cs="Calibri"/>
        </w:rPr>
        <w:t>notice</w:t>
      </w:r>
      <w:proofErr w:type="gramEnd"/>
      <w:r w:rsidR="008230E4">
        <w:rPr>
          <w:rFonts w:cs="Calibri"/>
        </w:rPr>
        <w:t xml:space="preserve"> that </w:t>
      </w:r>
      <w:r w:rsidR="0001429F">
        <w:rPr>
          <w:rFonts w:cs="Calibri"/>
        </w:rPr>
        <w:t>not all commentators have discerned this same discontinuity</w:t>
      </w:r>
      <w:r w:rsidR="005B1597">
        <w:rPr>
          <w:rFonts w:cs="Calibri"/>
        </w:rPr>
        <w:t xml:space="preserve">. </w:t>
      </w:r>
      <w:r w:rsidR="0001429F">
        <w:rPr>
          <w:rFonts w:cs="Calibri"/>
        </w:rPr>
        <w:t>Buchler himself did not follow the crowd on this,</w:t>
      </w:r>
      <w:r w:rsidR="0001429F">
        <w:rPr>
          <w:rFonts w:cs="Calibri"/>
          <w:i/>
        </w:rPr>
        <w:t xml:space="preserve"> </w:t>
      </w:r>
      <w:r w:rsidR="00C61132">
        <w:rPr>
          <w:rFonts w:cs="Calibri"/>
        </w:rPr>
        <w:t>though</w:t>
      </w:r>
      <w:r w:rsidR="0001429F">
        <w:rPr>
          <w:rFonts w:cs="Calibri"/>
        </w:rPr>
        <w:t xml:space="preserve"> he did feel the tension others felt, </w:t>
      </w:r>
      <w:r w:rsidR="00C61132">
        <w:rPr>
          <w:rFonts w:cs="Calibri"/>
        </w:rPr>
        <w:t>one that</w:t>
      </w:r>
      <w:r w:rsidR="0001429F">
        <w:rPr>
          <w:rFonts w:cs="Calibri"/>
        </w:rPr>
        <w:t xml:space="preserve"> made each of Santayana’s major works such an “adventure in equilibrium” (54).</w:t>
      </w:r>
      <w:r w:rsidR="0001429F">
        <w:rPr>
          <w:rFonts w:cs="Calibri"/>
          <w:vertAlign w:val="superscript"/>
        </w:rPr>
        <w:footnoteReference w:id="4"/>
      </w:r>
      <w:r w:rsidR="0001429F">
        <w:rPr>
          <w:rFonts w:cs="Calibri"/>
        </w:rPr>
        <w:t xml:space="preserve"> And more recent commentators (including in particular John McCormick and Herman Saatkamp)</w:t>
      </w:r>
      <w:r w:rsidR="0001429F">
        <w:rPr>
          <w:rFonts w:cs="Calibri"/>
          <w:vertAlign w:val="superscript"/>
        </w:rPr>
        <w:footnoteReference w:id="5"/>
      </w:r>
      <w:r w:rsidR="0001429F">
        <w:rPr>
          <w:rFonts w:cs="Calibri"/>
        </w:rPr>
        <w:t xml:space="preserve"> have gone a little further and focused on the implicit </w:t>
      </w:r>
      <w:r w:rsidR="0001429F">
        <w:rPr>
          <w:rFonts w:cs="Calibri"/>
          <w:iCs/>
        </w:rPr>
        <w:t>continuity</w:t>
      </w:r>
      <w:r w:rsidR="0001429F">
        <w:rPr>
          <w:rFonts w:cs="Calibri"/>
        </w:rPr>
        <w:t xml:space="preserve"> they discern in Santayana’s doctrine, as expressing a harmonious unfolding toward his capstone achievement, </w:t>
      </w:r>
      <w:r w:rsidR="00426E0E">
        <w:rPr>
          <w:rFonts w:cs="Calibri"/>
          <w:iCs/>
        </w:rPr>
        <w:t>t</w:t>
      </w:r>
      <w:r w:rsidR="0001429F">
        <w:rPr>
          <w:rFonts w:cs="Calibri"/>
          <w:iCs/>
        </w:rPr>
        <w:t>he</w:t>
      </w:r>
      <w:r w:rsidR="0001429F">
        <w:rPr>
          <w:rFonts w:cs="Calibri"/>
          <w:i/>
        </w:rPr>
        <w:t xml:space="preserve"> Realms of Being</w:t>
      </w:r>
      <w:r w:rsidR="0001429F">
        <w:rPr>
          <w:rFonts w:cs="Calibri"/>
        </w:rPr>
        <w:t xml:space="preserve"> (1942).</w:t>
      </w:r>
      <w:r w:rsidR="00C41A0C">
        <w:rPr>
          <w:rFonts w:cs="Calibri"/>
          <w:vertAlign w:val="superscript"/>
        </w:rPr>
        <w:footnoteReference w:id="6"/>
      </w:r>
      <w:r w:rsidR="0001429F">
        <w:rPr>
          <w:rFonts w:cs="Calibri"/>
        </w:rPr>
        <w:t xml:space="preserve"> </w:t>
      </w:r>
    </w:p>
    <w:p w14:paraId="31E671B1" w14:textId="77777777" w:rsidR="00456C19" w:rsidRDefault="00456C19" w:rsidP="00F34357">
      <w:pPr>
        <w:widowControl w:val="0"/>
        <w:tabs>
          <w:tab w:val="left" w:pos="1440"/>
          <w:tab w:val="left" w:pos="2160"/>
          <w:tab w:val="left" w:pos="2880"/>
        </w:tabs>
        <w:autoSpaceDE w:val="0"/>
        <w:autoSpaceDN w:val="0"/>
        <w:adjustRightInd w:val="0"/>
        <w:rPr>
          <w:rFonts w:cs="Calibri"/>
        </w:rPr>
      </w:pPr>
    </w:p>
    <w:p w14:paraId="54CA247B" w14:textId="77777777" w:rsidR="00872331" w:rsidRDefault="0001429F" w:rsidP="00F34357">
      <w:pPr>
        <w:widowControl w:val="0"/>
        <w:tabs>
          <w:tab w:val="left" w:pos="1440"/>
          <w:tab w:val="left" w:pos="2160"/>
          <w:tab w:val="left" w:pos="2880"/>
        </w:tabs>
        <w:autoSpaceDE w:val="0"/>
        <w:autoSpaceDN w:val="0"/>
        <w:adjustRightInd w:val="0"/>
        <w:rPr>
          <w:rFonts w:cs="Calibri"/>
          <w:sz w:val="18"/>
          <w:szCs w:val="18"/>
        </w:rPr>
      </w:pPr>
      <w:r>
        <w:rPr>
          <w:rFonts w:cs="Calibri"/>
        </w:rPr>
        <w:t>Santayana himself declare</w:t>
      </w:r>
      <w:r w:rsidR="00893261">
        <w:rPr>
          <w:rFonts w:cs="Calibri"/>
        </w:rPr>
        <w:t>d</w:t>
      </w:r>
      <w:r>
        <w:rPr>
          <w:rFonts w:cs="Calibri"/>
        </w:rPr>
        <w:t xml:space="preserve"> that “my philosophy has never changed,” and “the more I change the more I am the same person” (PP 167, 159]. </w:t>
      </w:r>
      <w:r w:rsidR="0033215B">
        <w:rPr>
          <w:rFonts w:cs="Calibri"/>
        </w:rPr>
        <w:t>Does this</w:t>
      </w:r>
      <w:r>
        <w:rPr>
          <w:rFonts w:cs="Calibri"/>
        </w:rPr>
        <w:t xml:space="preserve"> evidence from his </w:t>
      </w:r>
      <w:r w:rsidR="00E21980">
        <w:rPr>
          <w:rFonts w:cs="Calibri"/>
        </w:rPr>
        <w:t xml:space="preserve">own </w:t>
      </w:r>
      <w:r>
        <w:rPr>
          <w:rFonts w:cs="Calibri"/>
        </w:rPr>
        <w:t>autobiography suffic</w:t>
      </w:r>
      <w:r w:rsidR="00E44AEB">
        <w:rPr>
          <w:rFonts w:cs="Calibri"/>
        </w:rPr>
        <w:t>e</w:t>
      </w:r>
      <w:r>
        <w:rPr>
          <w:rFonts w:cs="Calibri"/>
        </w:rPr>
        <w:t xml:space="preserve">? Perhaps. Still, </w:t>
      </w:r>
      <w:r w:rsidR="00160960">
        <w:rPr>
          <w:rFonts w:cs="Calibri"/>
        </w:rPr>
        <w:t xml:space="preserve">as I’ll suggest </w:t>
      </w:r>
      <w:r w:rsidR="00E57F4A">
        <w:rPr>
          <w:rFonts w:cs="Calibri"/>
        </w:rPr>
        <w:t xml:space="preserve">below, </w:t>
      </w:r>
      <w:r>
        <w:rPr>
          <w:rFonts w:cs="Calibri"/>
        </w:rPr>
        <w:t xml:space="preserve">it </w:t>
      </w:r>
      <w:r w:rsidR="00E57F4A">
        <w:rPr>
          <w:rFonts w:cs="Calibri"/>
        </w:rPr>
        <w:t xml:space="preserve">seems </w:t>
      </w:r>
      <w:r>
        <w:rPr>
          <w:rFonts w:cs="Calibri"/>
        </w:rPr>
        <w:t xml:space="preserve">hard to deny that Santayana could seem coy </w:t>
      </w:r>
      <w:r>
        <w:rPr>
          <w:rFonts w:cs="Calibri"/>
        </w:rPr>
        <w:lastRenderedPageBreak/>
        <w:t xml:space="preserve">or </w:t>
      </w:r>
      <w:r w:rsidR="00AF1472">
        <w:rPr>
          <w:rFonts w:cs="Calibri"/>
        </w:rPr>
        <w:t>perhaps even disingenuous</w:t>
      </w:r>
      <w:r w:rsidR="00B70576">
        <w:rPr>
          <w:rFonts w:cs="Calibri"/>
        </w:rPr>
        <w:t xml:space="preserve"> in his own written accounts</w:t>
      </w:r>
      <w:r>
        <w:rPr>
          <w:rFonts w:cs="Calibri"/>
        </w:rPr>
        <w:t xml:space="preserve">. </w:t>
      </w:r>
      <w:r w:rsidR="00E44AEB">
        <w:rPr>
          <w:rFonts w:cs="Calibri"/>
        </w:rPr>
        <w:t>And</w:t>
      </w:r>
      <w:r w:rsidR="00974B7E">
        <w:rPr>
          <w:rFonts w:cs="Calibri"/>
        </w:rPr>
        <w:t xml:space="preserve"> e</w:t>
      </w:r>
      <w:r w:rsidR="00043ED8">
        <w:rPr>
          <w:rFonts w:cs="Calibri"/>
        </w:rPr>
        <w:t xml:space="preserve">ven discounting this, </w:t>
      </w:r>
      <w:r>
        <w:rPr>
          <w:rFonts w:cs="Calibri"/>
        </w:rPr>
        <w:t xml:space="preserve">one might </w:t>
      </w:r>
      <w:r w:rsidR="00553AF8">
        <w:rPr>
          <w:rFonts w:cs="Calibri"/>
        </w:rPr>
        <w:t xml:space="preserve">still </w:t>
      </w:r>
      <w:r>
        <w:rPr>
          <w:rFonts w:cs="Calibri"/>
        </w:rPr>
        <w:t xml:space="preserve">wonder how accurate his autobiography </w:t>
      </w:r>
      <w:r w:rsidR="00187142">
        <w:rPr>
          <w:rFonts w:cs="Calibri"/>
        </w:rPr>
        <w:t xml:space="preserve">really </w:t>
      </w:r>
      <w:r w:rsidR="00676A11">
        <w:rPr>
          <w:rFonts w:cs="Calibri"/>
        </w:rPr>
        <w:t>is</w:t>
      </w:r>
      <w:r>
        <w:rPr>
          <w:rFonts w:cs="Calibri"/>
        </w:rPr>
        <w:t xml:space="preserve">. </w:t>
      </w:r>
      <w:r w:rsidR="00130BC8">
        <w:rPr>
          <w:rFonts w:cs="Calibri"/>
        </w:rPr>
        <w:t xml:space="preserve">In the late 50s Herbert Schneider remarked that “his memory was certainly going” by the time he wrote </w:t>
      </w:r>
      <w:r w:rsidR="00130BC8">
        <w:rPr>
          <w:rFonts w:cs="Calibri"/>
          <w:i/>
        </w:rPr>
        <w:t>Persons and Places</w:t>
      </w:r>
      <w:r w:rsidR="00130BC8">
        <w:rPr>
          <w:rFonts w:cs="Calibri"/>
        </w:rPr>
        <w:t>. John Herman Randall and Horace Kallen agreed. All had visited Santayana during his later years in Rome (Lamont, 1959, 62).</w:t>
      </w:r>
      <w:r w:rsidR="00130BC8">
        <w:rPr>
          <w:rFonts w:cs="Calibri"/>
          <w:sz w:val="18"/>
          <w:szCs w:val="18"/>
        </w:rPr>
        <w:t xml:space="preserve"> </w:t>
      </w:r>
    </w:p>
    <w:p w14:paraId="45899193" w14:textId="77777777" w:rsidR="00872331" w:rsidRDefault="00872331" w:rsidP="00F34357">
      <w:pPr>
        <w:widowControl w:val="0"/>
        <w:tabs>
          <w:tab w:val="left" w:pos="1440"/>
          <w:tab w:val="left" w:pos="2160"/>
          <w:tab w:val="left" w:pos="2880"/>
        </w:tabs>
        <w:autoSpaceDE w:val="0"/>
        <w:autoSpaceDN w:val="0"/>
        <w:adjustRightInd w:val="0"/>
        <w:rPr>
          <w:rFonts w:cs="Calibri"/>
          <w:sz w:val="18"/>
          <w:szCs w:val="18"/>
        </w:rPr>
      </w:pPr>
    </w:p>
    <w:p w14:paraId="676AF011" w14:textId="53B3F9D4" w:rsidR="00461636" w:rsidRDefault="00B20CBD" w:rsidP="00F34357">
      <w:pPr>
        <w:widowControl w:val="0"/>
        <w:tabs>
          <w:tab w:val="left" w:pos="1440"/>
          <w:tab w:val="left" w:pos="2160"/>
          <w:tab w:val="left" w:pos="2880"/>
        </w:tabs>
        <w:autoSpaceDE w:val="0"/>
        <w:autoSpaceDN w:val="0"/>
        <w:adjustRightInd w:val="0"/>
        <w:rPr>
          <w:rFonts w:cs="Calibri"/>
        </w:rPr>
      </w:pPr>
      <w:r>
        <w:rPr>
          <w:rFonts w:cs="Calibri"/>
        </w:rPr>
        <w:t>One</w:t>
      </w:r>
      <w:r w:rsidR="0001429F">
        <w:rPr>
          <w:rFonts w:cs="Calibri"/>
        </w:rPr>
        <w:t xml:space="preserve"> could certainly argue either way on this</w:t>
      </w:r>
      <w:r w:rsidR="00872331">
        <w:rPr>
          <w:rFonts w:cs="Calibri"/>
        </w:rPr>
        <w:t xml:space="preserve"> point, </w:t>
      </w:r>
      <w:r w:rsidR="00165628">
        <w:rPr>
          <w:rFonts w:cs="Calibri"/>
        </w:rPr>
        <w:t>but</w:t>
      </w:r>
      <w:r w:rsidR="00296261">
        <w:rPr>
          <w:rFonts w:cs="Calibri"/>
        </w:rPr>
        <w:t xml:space="preserve"> </w:t>
      </w:r>
      <w:r>
        <w:rPr>
          <w:rFonts w:cs="Calibri"/>
        </w:rPr>
        <w:t xml:space="preserve">I </w:t>
      </w:r>
      <w:r w:rsidR="00165628">
        <w:rPr>
          <w:rFonts w:cs="Calibri"/>
        </w:rPr>
        <w:t xml:space="preserve">don’t </w:t>
      </w:r>
      <w:r>
        <w:rPr>
          <w:rFonts w:cs="Calibri"/>
        </w:rPr>
        <w:t>think</w:t>
      </w:r>
      <w:r w:rsidR="00CD5AA9">
        <w:rPr>
          <w:rFonts w:cs="Calibri"/>
        </w:rPr>
        <w:t xml:space="preserve"> we really </w:t>
      </w:r>
      <w:r w:rsidR="00335FE7">
        <w:rPr>
          <w:rFonts w:cs="Calibri"/>
        </w:rPr>
        <w:t>need to continue this line of argument. I</w:t>
      </w:r>
      <w:r w:rsidR="00730AE1">
        <w:rPr>
          <w:rFonts w:cs="Calibri"/>
        </w:rPr>
        <w:t xml:space="preserve">f we concentrate </w:t>
      </w:r>
      <w:r w:rsidR="009817F5">
        <w:rPr>
          <w:rFonts w:cs="Calibri"/>
        </w:rPr>
        <w:t xml:space="preserve">just on </w:t>
      </w:r>
      <w:r w:rsidR="0001429F">
        <w:rPr>
          <w:rFonts w:cs="Calibri"/>
        </w:rPr>
        <w:t xml:space="preserve">this </w:t>
      </w:r>
      <w:r w:rsidR="009817F5">
        <w:rPr>
          <w:rFonts w:cs="Calibri"/>
        </w:rPr>
        <w:t xml:space="preserve">surface </w:t>
      </w:r>
      <w:r w:rsidR="0001429F">
        <w:rPr>
          <w:rFonts w:cs="Calibri"/>
        </w:rPr>
        <w:t xml:space="preserve">issue of doctrinal integrity, we risk gliding over an important </w:t>
      </w:r>
      <w:r w:rsidR="007431CF">
        <w:rPr>
          <w:rFonts w:cs="Calibri"/>
        </w:rPr>
        <w:t>consideration</w:t>
      </w:r>
      <w:r w:rsidR="004D7BE7">
        <w:rPr>
          <w:rFonts w:cs="Calibri"/>
        </w:rPr>
        <w:t>:</w:t>
      </w:r>
      <w:r w:rsidR="0001429F">
        <w:rPr>
          <w:rFonts w:cs="Calibri"/>
        </w:rPr>
        <w:t xml:space="preserve"> </w:t>
      </w:r>
      <w:r w:rsidR="0001429F">
        <w:rPr>
          <w:rFonts w:cs="Calibri"/>
          <w:i/>
          <w:iCs/>
        </w:rPr>
        <w:t>Why did this issue of continuity ever seem worth considering in the first place?</w:t>
      </w:r>
      <w:r w:rsidR="0001429F">
        <w:rPr>
          <w:rFonts w:cs="Calibri"/>
        </w:rPr>
        <w:t xml:space="preserve"> </w:t>
      </w:r>
      <w:r w:rsidR="002256F3">
        <w:rPr>
          <w:rFonts w:cs="Calibri"/>
        </w:rPr>
        <w:t xml:space="preserve">Why was it so important to </w:t>
      </w:r>
      <w:r w:rsidR="00147966">
        <w:rPr>
          <w:rFonts w:cs="Calibri"/>
        </w:rPr>
        <w:t>those</w:t>
      </w:r>
      <w:r w:rsidR="002256F3">
        <w:rPr>
          <w:rFonts w:cs="Calibri"/>
        </w:rPr>
        <w:t xml:space="preserve"> who brought it up? </w:t>
      </w:r>
      <w:r w:rsidR="0001429F">
        <w:rPr>
          <w:rFonts w:cs="Calibri"/>
        </w:rPr>
        <w:t xml:space="preserve">In his </w:t>
      </w:r>
      <w:r w:rsidR="0001429F">
        <w:rPr>
          <w:rFonts w:cs="Calibri"/>
          <w:i/>
        </w:rPr>
        <w:t>Apologia</w:t>
      </w:r>
      <w:r w:rsidR="0001429F">
        <w:rPr>
          <w:rFonts w:cs="Calibri"/>
        </w:rPr>
        <w:t xml:space="preserve"> Santayana responds to “resentful” pragmatist-oriented critics</w:t>
      </w:r>
      <w:r w:rsidR="00142037">
        <w:rPr>
          <w:rFonts w:cs="Calibri"/>
        </w:rPr>
        <w:t xml:space="preserve"> </w:t>
      </w:r>
      <w:r w:rsidR="00720F19">
        <w:rPr>
          <w:rFonts w:cs="Calibri"/>
        </w:rPr>
        <w:t>-- the ones who “feel that I have deserted the truth for the very errors that I denounced when I was a good humanist” (Schilpp,</w:t>
      </w:r>
      <w:r w:rsidR="00212F77">
        <w:rPr>
          <w:rFonts w:cs="Calibri"/>
        </w:rPr>
        <w:t xml:space="preserve"> </w:t>
      </w:r>
      <w:r w:rsidR="00720F19">
        <w:rPr>
          <w:rFonts w:cs="Calibri"/>
        </w:rPr>
        <w:t>1940, 560)</w:t>
      </w:r>
      <w:r w:rsidR="00705AC6">
        <w:rPr>
          <w:rFonts w:cs="Calibri"/>
        </w:rPr>
        <w:t>.</w:t>
      </w:r>
      <w:r w:rsidR="0001429F">
        <w:rPr>
          <w:rFonts w:cs="Calibri"/>
          <w:vertAlign w:val="superscript"/>
        </w:rPr>
        <w:footnoteReference w:id="7"/>
      </w:r>
      <w:r w:rsidR="00720F19">
        <w:rPr>
          <w:rFonts w:cs="Calibri"/>
        </w:rPr>
        <w:t xml:space="preserve"> </w:t>
      </w:r>
      <w:r w:rsidR="00705AC6">
        <w:rPr>
          <w:rFonts w:cs="Calibri"/>
        </w:rPr>
        <w:t>There he repeats</w:t>
      </w:r>
      <w:r w:rsidR="0001429F">
        <w:rPr>
          <w:rFonts w:cs="Calibri"/>
        </w:rPr>
        <w:t xml:space="preserve"> the same account he gave in the 1922 Prefac</w:t>
      </w:r>
      <w:r w:rsidR="000A53B7">
        <w:rPr>
          <w:rFonts w:cs="Calibri"/>
        </w:rPr>
        <w:t>e</w:t>
      </w:r>
      <w:r w:rsidR="00AB0F8A">
        <w:rPr>
          <w:rFonts w:cs="Calibri"/>
        </w:rPr>
        <w:t xml:space="preserve"> to </w:t>
      </w:r>
      <w:r w:rsidR="00AB0F8A">
        <w:rPr>
          <w:rFonts w:cs="Calibri"/>
          <w:i/>
          <w:iCs/>
        </w:rPr>
        <w:t>Reason and Common Sense</w:t>
      </w:r>
      <w:r w:rsidR="00777D95">
        <w:rPr>
          <w:rStyle w:val="FootnoteReference"/>
          <w:rFonts w:cs="Calibri"/>
        </w:rPr>
        <w:footnoteReference w:id="8"/>
      </w:r>
      <w:r w:rsidR="000A53B7">
        <w:rPr>
          <w:rFonts w:cs="Calibri"/>
        </w:rPr>
        <w:t xml:space="preserve">: </w:t>
      </w:r>
      <w:r w:rsidR="0001429F">
        <w:rPr>
          <w:rFonts w:cs="Calibri"/>
        </w:rPr>
        <w:t xml:space="preserve">“there has really been a change in my </w:t>
      </w:r>
      <w:r w:rsidR="0001429F">
        <w:rPr>
          <w:rFonts w:cs="Calibri"/>
          <w:i/>
          <w:iCs/>
        </w:rPr>
        <w:t>sentiment</w:t>
      </w:r>
      <w:r w:rsidR="0001429F">
        <w:rPr>
          <w:rFonts w:cs="Calibri"/>
        </w:rPr>
        <w:t xml:space="preserve">, though none in my theory or </w:t>
      </w:r>
      <w:r w:rsidR="0001429F">
        <w:rPr>
          <w:rFonts w:cs="Calibri"/>
          <w:i/>
        </w:rPr>
        <w:t>in my allegiance to the life of reason</w:t>
      </w:r>
      <w:r w:rsidR="0001429F">
        <w:rPr>
          <w:rFonts w:cs="Calibri"/>
        </w:rPr>
        <w:t xml:space="preserve">” (Schilpp, 1940, 560 [italics added]). And maybe this </w:t>
      </w:r>
      <w:r w:rsidR="002073CF">
        <w:rPr>
          <w:rFonts w:cs="Calibri"/>
        </w:rPr>
        <w:t>indicates</w:t>
      </w:r>
      <w:r w:rsidR="0001429F">
        <w:rPr>
          <w:rFonts w:cs="Calibri"/>
        </w:rPr>
        <w:t xml:space="preserve"> what we should be noticing — that the </w:t>
      </w:r>
      <w:r w:rsidR="003C79F8">
        <w:rPr>
          <w:rFonts w:cs="Calibri"/>
        </w:rPr>
        <w:t>real</w:t>
      </w:r>
      <w:r w:rsidR="0001429F">
        <w:rPr>
          <w:rFonts w:cs="Calibri"/>
        </w:rPr>
        <w:t xml:space="preserve"> nagging issue in this back-and-forth might </w:t>
      </w:r>
      <w:r w:rsidR="0085136C">
        <w:rPr>
          <w:rFonts w:cs="Calibri"/>
        </w:rPr>
        <w:t>not be</w:t>
      </w:r>
      <w:r w:rsidR="003C79F8">
        <w:rPr>
          <w:rFonts w:cs="Calibri"/>
        </w:rPr>
        <w:t xml:space="preserve"> over any</w:t>
      </w:r>
      <w:r w:rsidR="0001429F">
        <w:rPr>
          <w:rFonts w:cs="Calibri"/>
        </w:rPr>
        <w:t xml:space="preserve"> change in theory. Instead, perhaps it</w:t>
      </w:r>
      <w:r w:rsidR="00F830AF">
        <w:rPr>
          <w:rFonts w:cs="Calibri"/>
        </w:rPr>
        <w:t>’s</w:t>
      </w:r>
      <w:r w:rsidR="0001429F">
        <w:rPr>
          <w:rFonts w:cs="Calibri"/>
        </w:rPr>
        <w:t xml:space="preserve"> really about </w:t>
      </w:r>
      <w:r w:rsidR="0001429F">
        <w:rPr>
          <w:rFonts w:cs="Calibri"/>
          <w:i/>
          <w:iCs/>
        </w:rPr>
        <w:t>allegiance</w:t>
      </w:r>
      <w:r w:rsidR="0001429F">
        <w:rPr>
          <w:rFonts w:cs="Calibri"/>
        </w:rPr>
        <w:t>.</w:t>
      </w:r>
      <w:r w:rsidR="00F830AF">
        <w:rPr>
          <w:rFonts w:cs="Calibri"/>
        </w:rPr>
        <w:t xml:space="preserve"> </w:t>
      </w:r>
      <w:r w:rsidR="00E92AB7">
        <w:rPr>
          <w:rFonts w:cs="Calibri"/>
        </w:rPr>
        <w:t xml:space="preserve">Santayana maintained </w:t>
      </w:r>
      <w:r w:rsidR="0073164F">
        <w:rPr>
          <w:rFonts w:cs="Calibri"/>
        </w:rPr>
        <w:t xml:space="preserve">allegiance to </w:t>
      </w:r>
      <w:r w:rsidR="00906A92">
        <w:rPr>
          <w:rFonts w:cs="Calibri"/>
        </w:rPr>
        <w:t xml:space="preserve">the core of his own vision, </w:t>
      </w:r>
      <w:r w:rsidR="00815AAD">
        <w:rPr>
          <w:rFonts w:cs="Calibri"/>
        </w:rPr>
        <w:t>partially but proleptically</w:t>
      </w:r>
      <w:r w:rsidR="00906A92">
        <w:rPr>
          <w:rFonts w:cs="Calibri"/>
        </w:rPr>
        <w:t xml:space="preserve"> revealed in </w:t>
      </w:r>
      <w:r w:rsidR="00A32F68">
        <w:rPr>
          <w:rFonts w:cs="Calibri"/>
        </w:rPr>
        <w:t xml:space="preserve">the </w:t>
      </w:r>
      <w:r w:rsidR="00906A92">
        <w:rPr>
          <w:rFonts w:cs="Calibri"/>
          <w:i/>
          <w:iCs/>
        </w:rPr>
        <w:t>Life of Reason</w:t>
      </w:r>
      <w:r w:rsidR="00906A92">
        <w:rPr>
          <w:rFonts w:cs="Calibri"/>
        </w:rPr>
        <w:t xml:space="preserve">. </w:t>
      </w:r>
      <w:r w:rsidR="006E6C21">
        <w:rPr>
          <w:rFonts w:cs="Calibri"/>
        </w:rPr>
        <w:t>His critics</w:t>
      </w:r>
      <w:r w:rsidR="006703C3">
        <w:rPr>
          <w:rFonts w:cs="Calibri"/>
        </w:rPr>
        <w:t>,</w:t>
      </w:r>
      <w:r w:rsidR="006E6C21">
        <w:rPr>
          <w:rFonts w:cs="Calibri"/>
        </w:rPr>
        <w:t xml:space="preserve"> on the other hand</w:t>
      </w:r>
      <w:r w:rsidR="006703C3">
        <w:rPr>
          <w:rFonts w:cs="Calibri"/>
        </w:rPr>
        <w:t>,</w:t>
      </w:r>
      <w:r w:rsidR="006E6C21">
        <w:rPr>
          <w:rFonts w:cs="Calibri"/>
        </w:rPr>
        <w:t xml:space="preserve"> </w:t>
      </w:r>
      <w:r w:rsidR="007E1158">
        <w:rPr>
          <w:rFonts w:cs="Calibri"/>
        </w:rPr>
        <w:t>read</w:t>
      </w:r>
      <w:r w:rsidR="0073164F">
        <w:rPr>
          <w:rFonts w:cs="Calibri"/>
        </w:rPr>
        <w:t xml:space="preserve"> </w:t>
      </w:r>
      <w:r w:rsidR="007021CD">
        <w:rPr>
          <w:rFonts w:cs="Calibri"/>
        </w:rPr>
        <w:t>that work by their own lights, and when</w:t>
      </w:r>
      <w:r w:rsidR="003F1DBE">
        <w:rPr>
          <w:rFonts w:cs="Calibri"/>
        </w:rPr>
        <w:t xml:space="preserve"> Santayana </w:t>
      </w:r>
      <w:r w:rsidR="006703C3">
        <w:rPr>
          <w:rFonts w:cs="Calibri"/>
        </w:rPr>
        <w:t>discovered</w:t>
      </w:r>
      <w:r w:rsidR="003F1DBE">
        <w:rPr>
          <w:rFonts w:cs="Calibri"/>
        </w:rPr>
        <w:t xml:space="preserve"> his </w:t>
      </w:r>
      <w:r w:rsidR="007B4641">
        <w:rPr>
          <w:rFonts w:cs="Calibri"/>
        </w:rPr>
        <w:t xml:space="preserve">most </w:t>
      </w:r>
      <w:r w:rsidR="009D37F5">
        <w:rPr>
          <w:rFonts w:cs="Calibri"/>
        </w:rPr>
        <w:t xml:space="preserve">mature </w:t>
      </w:r>
      <w:r w:rsidR="003F1DBE">
        <w:rPr>
          <w:rFonts w:cs="Calibri"/>
        </w:rPr>
        <w:t>voice after leaving Harvard,</w:t>
      </w:r>
      <w:r w:rsidR="007E1158">
        <w:rPr>
          <w:rFonts w:cs="Calibri"/>
        </w:rPr>
        <w:t xml:space="preserve"> </w:t>
      </w:r>
      <w:r w:rsidR="009D37F5">
        <w:rPr>
          <w:rFonts w:cs="Calibri"/>
        </w:rPr>
        <w:t>they were</w:t>
      </w:r>
      <w:r w:rsidR="00535997">
        <w:rPr>
          <w:rFonts w:cs="Calibri"/>
        </w:rPr>
        <w:t xml:space="preserve"> dismayed</w:t>
      </w:r>
      <w:r w:rsidR="00E37EEC">
        <w:rPr>
          <w:rFonts w:cs="Calibri"/>
        </w:rPr>
        <w:t xml:space="preserve">, especially after </w:t>
      </w:r>
      <w:r w:rsidR="00B51E3C">
        <w:rPr>
          <w:rFonts w:cs="Calibri"/>
        </w:rPr>
        <w:t>he had</w:t>
      </w:r>
      <w:r w:rsidR="00455771">
        <w:rPr>
          <w:rFonts w:cs="Calibri"/>
        </w:rPr>
        <w:t xml:space="preserve"> apparently </w:t>
      </w:r>
      <w:r w:rsidR="00B51E3C">
        <w:rPr>
          <w:rFonts w:cs="Calibri"/>
        </w:rPr>
        <w:t xml:space="preserve">gone out of his way to deny what seemed plain </w:t>
      </w:r>
      <w:r w:rsidR="00DF56A6">
        <w:rPr>
          <w:rFonts w:cs="Calibri"/>
        </w:rPr>
        <w:t>to their</w:t>
      </w:r>
      <w:r w:rsidR="00B51E3C">
        <w:rPr>
          <w:rFonts w:cs="Calibri"/>
        </w:rPr>
        <w:t xml:space="preserve"> own eyes</w:t>
      </w:r>
      <w:r w:rsidR="008A0979">
        <w:rPr>
          <w:rFonts w:cs="Calibri"/>
        </w:rPr>
        <w:t xml:space="preserve"> – his abandonment of the </w:t>
      </w:r>
      <w:r w:rsidR="007C0042">
        <w:rPr>
          <w:rFonts w:cs="Calibri"/>
        </w:rPr>
        <w:t xml:space="preserve">very “liberation” </w:t>
      </w:r>
      <w:r w:rsidR="008A0979">
        <w:rPr>
          <w:rFonts w:cs="Calibri"/>
        </w:rPr>
        <w:t xml:space="preserve">they had </w:t>
      </w:r>
      <w:r w:rsidR="00DB59A0">
        <w:rPr>
          <w:rFonts w:cs="Calibri"/>
        </w:rPr>
        <w:t>imbibed from</w:t>
      </w:r>
      <w:r w:rsidR="0041437D">
        <w:rPr>
          <w:rFonts w:cs="Calibri"/>
        </w:rPr>
        <w:t xml:space="preserve"> </w:t>
      </w:r>
      <w:r w:rsidR="00FC1E23">
        <w:rPr>
          <w:rFonts w:cs="Calibri"/>
        </w:rPr>
        <w:t xml:space="preserve">reading </w:t>
      </w:r>
      <w:r w:rsidR="00E230FF">
        <w:rPr>
          <w:rFonts w:cs="Calibri"/>
        </w:rPr>
        <w:t>Santayana’s own “</w:t>
      </w:r>
      <w:r w:rsidR="002E261D">
        <w:rPr>
          <w:rFonts w:cs="Calibri"/>
        </w:rPr>
        <w:t>masterpiece</w:t>
      </w:r>
      <w:r w:rsidR="00061FA5">
        <w:rPr>
          <w:rFonts w:cs="Calibri"/>
        </w:rPr>
        <w:t>.</w:t>
      </w:r>
      <w:r w:rsidR="002E261D">
        <w:rPr>
          <w:rFonts w:cs="Calibri"/>
        </w:rPr>
        <w:t>”</w:t>
      </w:r>
      <w:r w:rsidR="00015D8A">
        <w:rPr>
          <w:rStyle w:val="FootnoteReference"/>
          <w:rFonts w:cs="Calibri"/>
        </w:rPr>
        <w:footnoteReference w:id="9"/>
      </w:r>
      <w:r w:rsidR="00015D8A">
        <w:rPr>
          <w:rFonts w:cs="Calibri"/>
        </w:rPr>
        <w:t xml:space="preserve"> </w:t>
      </w:r>
    </w:p>
    <w:p w14:paraId="7425AD1D" w14:textId="77777777" w:rsidR="00461636" w:rsidRDefault="00461636" w:rsidP="00F34357">
      <w:pPr>
        <w:widowControl w:val="0"/>
        <w:tabs>
          <w:tab w:val="left" w:pos="1440"/>
          <w:tab w:val="left" w:pos="2160"/>
          <w:tab w:val="left" w:pos="2880"/>
        </w:tabs>
        <w:autoSpaceDE w:val="0"/>
        <w:autoSpaceDN w:val="0"/>
        <w:adjustRightInd w:val="0"/>
        <w:rPr>
          <w:rFonts w:cs="Calibri"/>
        </w:rPr>
      </w:pPr>
    </w:p>
    <w:p w14:paraId="0C6B375B" w14:textId="4704A86C" w:rsidR="005C7018" w:rsidRDefault="00461636" w:rsidP="00F34357">
      <w:pPr>
        <w:widowControl w:val="0"/>
        <w:tabs>
          <w:tab w:val="left" w:pos="1440"/>
          <w:tab w:val="left" w:pos="2160"/>
          <w:tab w:val="left" w:pos="2880"/>
        </w:tabs>
        <w:autoSpaceDE w:val="0"/>
        <w:autoSpaceDN w:val="0"/>
        <w:adjustRightInd w:val="0"/>
        <w:rPr>
          <w:rFonts w:cs="Calibri"/>
        </w:rPr>
      </w:pPr>
      <w:r>
        <w:rPr>
          <w:rFonts w:cs="Calibri"/>
        </w:rPr>
        <w:t>So i</w:t>
      </w:r>
      <w:r w:rsidR="00234AC9">
        <w:rPr>
          <w:rFonts w:cs="Calibri"/>
        </w:rPr>
        <w:t xml:space="preserve">t’s not hard to imagine </w:t>
      </w:r>
      <w:r w:rsidR="00A81CAA">
        <w:rPr>
          <w:rFonts w:cs="Calibri"/>
        </w:rPr>
        <w:t>what the “personal animus” was all about.</w:t>
      </w:r>
      <w:r>
        <w:rPr>
          <w:rFonts w:cs="Calibri"/>
        </w:rPr>
        <w:t xml:space="preserve"> </w:t>
      </w:r>
      <w:r w:rsidR="0001429F">
        <w:rPr>
          <w:rFonts w:cs="Calibri"/>
        </w:rPr>
        <w:t xml:space="preserve">For the pragmatists of the day, theory is </w:t>
      </w:r>
      <w:r w:rsidR="006829B0">
        <w:rPr>
          <w:rFonts w:cs="Calibri"/>
        </w:rPr>
        <w:t>no</w:t>
      </w:r>
      <w:r w:rsidR="0001429F">
        <w:rPr>
          <w:rFonts w:cs="Calibri"/>
        </w:rPr>
        <w:t xml:space="preserve"> more important than allegiance, because allegiance tracks what a person in actual practice is going to do</w:t>
      </w:r>
      <w:r w:rsidR="007E518D">
        <w:rPr>
          <w:rFonts w:cs="Calibri"/>
        </w:rPr>
        <w:t>. A</w:t>
      </w:r>
      <w:r w:rsidR="0001429F">
        <w:rPr>
          <w:rFonts w:cs="Calibri"/>
        </w:rPr>
        <w:t xml:space="preserve">nd what pragmatist philosophers do is solve </w:t>
      </w:r>
      <w:r w:rsidR="00355018">
        <w:rPr>
          <w:rFonts w:cs="Calibri"/>
        </w:rPr>
        <w:t>social-</w:t>
      </w:r>
      <w:r w:rsidR="0001429F">
        <w:rPr>
          <w:rFonts w:cs="Calibri"/>
        </w:rPr>
        <w:t xml:space="preserve">philosophical problems. </w:t>
      </w:r>
      <w:r w:rsidR="007E6A13">
        <w:rPr>
          <w:rFonts w:cs="Calibri"/>
        </w:rPr>
        <w:t xml:space="preserve">As Henry Samuel Levinson tells it, this was indeed the project that Santayana had signed onto with </w:t>
      </w:r>
      <w:r w:rsidR="007E6A13">
        <w:rPr>
          <w:rFonts w:cs="Calibri"/>
          <w:i/>
          <w:iCs/>
        </w:rPr>
        <w:t>Life of Reason</w:t>
      </w:r>
      <w:r w:rsidR="00D56746">
        <w:rPr>
          <w:rFonts w:cs="Calibri"/>
        </w:rPr>
        <w:t xml:space="preserve">, or at least one that any reasonable reader of </w:t>
      </w:r>
      <w:r w:rsidR="00A93A60">
        <w:rPr>
          <w:rFonts w:cs="Calibri"/>
        </w:rPr>
        <w:t xml:space="preserve">that first </w:t>
      </w:r>
      <w:r w:rsidR="00971FD3">
        <w:rPr>
          <w:rFonts w:cs="Calibri"/>
        </w:rPr>
        <w:t>five-volume</w:t>
      </w:r>
      <w:r w:rsidR="00A93A60">
        <w:rPr>
          <w:rFonts w:cs="Calibri"/>
        </w:rPr>
        <w:t xml:space="preserve"> opus </w:t>
      </w:r>
      <w:r w:rsidR="00E42E88">
        <w:rPr>
          <w:rFonts w:cs="Calibri"/>
        </w:rPr>
        <w:t>might discern</w:t>
      </w:r>
      <w:r w:rsidR="00A93A60">
        <w:rPr>
          <w:rFonts w:cs="Calibri"/>
        </w:rPr>
        <w:t xml:space="preserve"> </w:t>
      </w:r>
      <w:r w:rsidR="002043FC">
        <w:rPr>
          <w:rFonts w:cs="Calibri"/>
        </w:rPr>
        <w:t xml:space="preserve">– “a civic humanism, a post-Christian republicanism, an account of philosophy that transforms it into </w:t>
      </w:r>
      <w:r w:rsidR="002043FC" w:rsidRPr="002922CC">
        <w:rPr>
          <w:rFonts w:cs="Calibri"/>
          <w:i/>
          <w:iCs/>
        </w:rPr>
        <w:t>intellectual statesmanship</w:t>
      </w:r>
      <w:r w:rsidR="002043FC">
        <w:rPr>
          <w:rFonts w:cs="Calibri"/>
        </w:rPr>
        <w:t xml:space="preserve">, that makes its work </w:t>
      </w:r>
      <w:r w:rsidR="00532903">
        <w:rPr>
          <w:rFonts w:cs="Calibri"/>
        </w:rPr>
        <w:t>c</w:t>
      </w:r>
      <w:r w:rsidR="002043FC">
        <w:rPr>
          <w:rFonts w:cs="Calibri"/>
        </w:rPr>
        <w:t xml:space="preserve">ultural reconstruction, and that aims to show, as synoptically as possible, how the institutions and practices of culture can hang together without hanging themselves” (Levinson </w:t>
      </w:r>
      <w:r w:rsidR="001823DA">
        <w:rPr>
          <w:rFonts w:cs="Calibri"/>
        </w:rPr>
        <w:t xml:space="preserve">1992, </w:t>
      </w:r>
      <w:r w:rsidR="00532903">
        <w:rPr>
          <w:rFonts w:cs="Calibri"/>
        </w:rPr>
        <w:t>120</w:t>
      </w:r>
      <w:r w:rsidR="002922CC">
        <w:rPr>
          <w:rFonts w:cs="Calibri"/>
        </w:rPr>
        <w:t xml:space="preserve"> </w:t>
      </w:r>
      <w:r w:rsidR="00195FBC">
        <w:rPr>
          <w:rFonts w:cs="Calibri"/>
        </w:rPr>
        <w:t>[</w:t>
      </w:r>
      <w:r w:rsidR="002922CC">
        <w:rPr>
          <w:rFonts w:cs="Calibri"/>
        </w:rPr>
        <w:t>italics added]</w:t>
      </w:r>
      <w:r w:rsidR="00532903">
        <w:rPr>
          <w:rFonts w:cs="Calibri"/>
        </w:rPr>
        <w:t>).</w:t>
      </w:r>
      <w:r w:rsidR="009C46A8">
        <w:rPr>
          <w:rFonts w:cs="Calibri"/>
        </w:rPr>
        <w:t xml:space="preserve"> But in retrospect, this was never to be Santayana’s </w:t>
      </w:r>
      <w:r w:rsidR="00584A91">
        <w:rPr>
          <w:rFonts w:cs="Calibri"/>
        </w:rPr>
        <w:t>fervent</w:t>
      </w:r>
      <w:r w:rsidR="009C46A8">
        <w:rPr>
          <w:rFonts w:cs="Calibri"/>
        </w:rPr>
        <w:t xml:space="preserve"> allegiance.</w:t>
      </w:r>
      <w:r w:rsidR="00F92F8A">
        <w:rPr>
          <w:rFonts w:cs="Calibri"/>
        </w:rPr>
        <w:t xml:space="preserve"> It was perhaps an attraction of his “sentiment</w:t>
      </w:r>
      <w:r w:rsidR="009C2D01">
        <w:rPr>
          <w:rFonts w:cs="Calibri"/>
        </w:rPr>
        <w:t>”</w:t>
      </w:r>
      <w:r w:rsidR="00F92F8A">
        <w:rPr>
          <w:rFonts w:cs="Calibri"/>
        </w:rPr>
        <w:t xml:space="preserve"> at th</w:t>
      </w:r>
      <w:r w:rsidR="009C2D01">
        <w:rPr>
          <w:rFonts w:cs="Calibri"/>
        </w:rPr>
        <w:t>e time. But over time t</w:t>
      </w:r>
      <w:r w:rsidR="00C33598">
        <w:rPr>
          <w:rFonts w:cs="Calibri"/>
        </w:rPr>
        <w:t>he</w:t>
      </w:r>
      <w:r w:rsidR="0001429F">
        <w:rPr>
          <w:rFonts w:cs="Calibri"/>
        </w:rPr>
        <w:t xml:space="preserve"> problems that Santayana began to work on</w:t>
      </w:r>
      <w:r w:rsidR="00E74E11">
        <w:rPr>
          <w:rFonts w:cs="Calibri"/>
        </w:rPr>
        <w:t xml:space="preserve"> </w:t>
      </w:r>
      <w:r w:rsidR="0001429F">
        <w:rPr>
          <w:rFonts w:cs="Calibri"/>
        </w:rPr>
        <w:t xml:space="preserve">had indeed changed. He simply became no longer so “taken up with rational ethics” as he was in the </w:t>
      </w:r>
      <w:r w:rsidR="0001429F">
        <w:rPr>
          <w:rFonts w:cs="Calibri"/>
          <w:i/>
        </w:rPr>
        <w:t xml:space="preserve">Life of Reason. </w:t>
      </w:r>
      <w:r w:rsidR="0001429F">
        <w:rPr>
          <w:rFonts w:cs="Calibri"/>
        </w:rPr>
        <w:t>He was</w:t>
      </w:r>
      <w:r w:rsidR="00D40485">
        <w:rPr>
          <w:rFonts w:cs="Calibri"/>
        </w:rPr>
        <w:t xml:space="preserve"> </w:t>
      </w:r>
      <w:r w:rsidR="0001429F">
        <w:rPr>
          <w:rFonts w:cs="Calibri"/>
        </w:rPr>
        <w:t xml:space="preserve">no longer interested </w:t>
      </w:r>
      <w:r w:rsidR="00483F37">
        <w:rPr>
          <w:rFonts w:cs="Calibri"/>
        </w:rPr>
        <w:t xml:space="preserve">at all </w:t>
      </w:r>
      <w:r w:rsidR="001806F7">
        <w:rPr>
          <w:rFonts w:cs="Calibri"/>
        </w:rPr>
        <w:t>(if he ever was</w:t>
      </w:r>
      <w:r w:rsidR="00E9434F">
        <w:rPr>
          <w:rFonts w:cs="Calibri"/>
        </w:rPr>
        <w:t>)</w:t>
      </w:r>
      <w:r w:rsidR="0001429F">
        <w:rPr>
          <w:rFonts w:cs="Calibri"/>
        </w:rPr>
        <w:t xml:space="preserve"> in being </w:t>
      </w:r>
      <w:r w:rsidR="00483F37">
        <w:rPr>
          <w:rFonts w:cs="Calibri"/>
        </w:rPr>
        <w:t>a</w:t>
      </w:r>
      <w:r w:rsidR="0001429F">
        <w:rPr>
          <w:rFonts w:cs="Calibri"/>
        </w:rPr>
        <w:t xml:space="preserve"> member of the pragmatist research project.</w:t>
      </w:r>
      <w:r w:rsidR="0001429F">
        <w:rPr>
          <w:rFonts w:cs="Calibri"/>
          <w:i/>
        </w:rPr>
        <w:t xml:space="preserve"> </w:t>
      </w:r>
      <w:r w:rsidR="00E66DD9">
        <w:rPr>
          <w:rFonts w:cs="Calibri"/>
        </w:rPr>
        <w:t xml:space="preserve">He </w:t>
      </w:r>
      <w:r w:rsidR="003B42C8">
        <w:rPr>
          <w:rFonts w:cs="Calibri"/>
        </w:rPr>
        <w:t>did insist</w:t>
      </w:r>
      <w:r w:rsidR="00E66DD9">
        <w:rPr>
          <w:rFonts w:cs="Calibri"/>
        </w:rPr>
        <w:t xml:space="preserve"> that</w:t>
      </w:r>
      <w:r w:rsidR="0001429F">
        <w:rPr>
          <w:rFonts w:cs="Calibri"/>
        </w:rPr>
        <w:t xml:space="preserve"> his actual doctrine had</w:t>
      </w:r>
      <w:r w:rsidR="009C3804">
        <w:rPr>
          <w:rFonts w:cs="Calibri"/>
        </w:rPr>
        <w:t xml:space="preserve"> no</w:t>
      </w:r>
      <w:r w:rsidR="00C21CF9">
        <w:rPr>
          <w:rFonts w:cs="Calibri"/>
        </w:rPr>
        <w:t>t</w:t>
      </w:r>
      <w:r w:rsidR="0001429F">
        <w:rPr>
          <w:rFonts w:cs="Calibri"/>
        </w:rPr>
        <w:t xml:space="preserve"> changed</w:t>
      </w:r>
      <w:r w:rsidR="00C21CF9">
        <w:rPr>
          <w:rFonts w:cs="Calibri"/>
        </w:rPr>
        <w:t xml:space="preserve">, but this </w:t>
      </w:r>
      <w:r w:rsidR="00C21CF9">
        <w:rPr>
          <w:rFonts w:cs="Calibri"/>
        </w:rPr>
        <w:lastRenderedPageBreak/>
        <w:t xml:space="preserve">really meant that </w:t>
      </w:r>
      <w:r w:rsidR="007A68BA">
        <w:rPr>
          <w:rFonts w:cs="Calibri"/>
        </w:rPr>
        <w:t xml:space="preserve">(1) he </w:t>
      </w:r>
      <w:r w:rsidR="007D4D35">
        <w:rPr>
          <w:rFonts w:cs="Calibri"/>
        </w:rPr>
        <w:t>still maintain</w:t>
      </w:r>
      <w:r w:rsidR="00B4578C">
        <w:rPr>
          <w:rFonts w:cs="Calibri"/>
        </w:rPr>
        <w:t xml:space="preserve">ed </w:t>
      </w:r>
      <w:r w:rsidR="007D4D35">
        <w:rPr>
          <w:rFonts w:cs="Calibri"/>
        </w:rPr>
        <w:t xml:space="preserve">his allegiance to the </w:t>
      </w:r>
      <w:r w:rsidR="00F5427B">
        <w:rPr>
          <w:rFonts w:cs="Calibri"/>
        </w:rPr>
        <w:t>vision</w:t>
      </w:r>
      <w:r w:rsidR="007D4D35">
        <w:rPr>
          <w:rFonts w:cs="Calibri"/>
        </w:rPr>
        <w:t xml:space="preserve"> </w:t>
      </w:r>
      <w:r w:rsidR="00904A4D">
        <w:rPr>
          <w:rFonts w:cs="Calibri"/>
        </w:rPr>
        <w:t>that seized him as a</w:t>
      </w:r>
      <w:r w:rsidR="00D40940">
        <w:rPr>
          <w:rFonts w:cs="Calibri"/>
        </w:rPr>
        <w:t xml:space="preserve"> young scholar</w:t>
      </w:r>
      <w:r w:rsidR="00C21CF9">
        <w:rPr>
          <w:rFonts w:cs="Calibri"/>
        </w:rPr>
        <w:t>, and that</w:t>
      </w:r>
      <w:r w:rsidR="0001429F">
        <w:rPr>
          <w:rFonts w:cs="Calibri"/>
        </w:rPr>
        <w:t xml:space="preserve"> </w:t>
      </w:r>
      <w:r w:rsidR="007A68BA">
        <w:rPr>
          <w:rFonts w:cs="Calibri"/>
        </w:rPr>
        <w:t xml:space="preserve">(2) </w:t>
      </w:r>
      <w:r w:rsidR="0001429F">
        <w:rPr>
          <w:rFonts w:cs="Calibri"/>
        </w:rPr>
        <w:t xml:space="preserve">he still </w:t>
      </w:r>
      <w:r w:rsidR="00B4578C">
        <w:rPr>
          <w:rFonts w:cs="Calibri"/>
        </w:rPr>
        <w:t>thought</w:t>
      </w:r>
      <w:r w:rsidR="0001429F">
        <w:rPr>
          <w:rFonts w:cs="Calibri"/>
        </w:rPr>
        <w:t xml:space="preserve"> that </w:t>
      </w:r>
      <w:r w:rsidR="0001429F">
        <w:rPr>
          <w:rFonts w:cs="Calibri"/>
          <w:i/>
        </w:rPr>
        <w:t>if someone is going to do ethics</w:t>
      </w:r>
      <w:r w:rsidR="0001429F">
        <w:rPr>
          <w:rFonts w:cs="Calibri"/>
        </w:rPr>
        <w:t xml:space="preserve">, then the story he told in the </w:t>
      </w:r>
      <w:r w:rsidR="0001429F">
        <w:rPr>
          <w:rFonts w:cs="Calibri"/>
          <w:i/>
        </w:rPr>
        <w:t>Life of Reason</w:t>
      </w:r>
      <w:r w:rsidR="0001429F">
        <w:rPr>
          <w:rFonts w:cs="Calibri"/>
        </w:rPr>
        <w:t xml:space="preserve"> is </w:t>
      </w:r>
      <w:r w:rsidR="00E354A9">
        <w:rPr>
          <w:rFonts w:cs="Calibri"/>
        </w:rPr>
        <w:t xml:space="preserve">pretty much </w:t>
      </w:r>
      <w:r w:rsidR="0001429F">
        <w:rPr>
          <w:rFonts w:cs="Calibri"/>
        </w:rPr>
        <w:t xml:space="preserve">the way to go. But that someone is no longer George Santayana. </w:t>
      </w:r>
      <w:r w:rsidR="00E4578B">
        <w:rPr>
          <w:rFonts w:cs="Calibri"/>
        </w:rPr>
        <w:t>His</w:t>
      </w:r>
      <w:r w:rsidR="001F6358">
        <w:rPr>
          <w:rFonts w:cs="Calibri"/>
        </w:rPr>
        <w:t xml:space="preserve"> allegiance to </w:t>
      </w:r>
      <w:r w:rsidR="0001429F">
        <w:rPr>
          <w:rFonts w:cs="Calibri"/>
        </w:rPr>
        <w:t xml:space="preserve">what he wrote decades before </w:t>
      </w:r>
      <w:r w:rsidR="00E4578B">
        <w:rPr>
          <w:rFonts w:cs="Calibri"/>
        </w:rPr>
        <w:t xml:space="preserve">remained </w:t>
      </w:r>
      <w:r w:rsidR="0001429F">
        <w:rPr>
          <w:rFonts w:cs="Calibri"/>
        </w:rPr>
        <w:t>--</w:t>
      </w:r>
      <w:r w:rsidR="0001429F">
        <w:rPr>
          <w:rFonts w:cs="Calibri"/>
          <w:i/>
        </w:rPr>
        <w:t xml:space="preserve"> </w:t>
      </w:r>
      <w:r w:rsidR="0001429F">
        <w:rPr>
          <w:rFonts w:cs="Calibri"/>
        </w:rPr>
        <w:t>but</w:t>
      </w:r>
      <w:r w:rsidR="0001429F">
        <w:rPr>
          <w:rFonts w:cs="Calibri"/>
          <w:i/>
        </w:rPr>
        <w:t xml:space="preserve"> in theory</w:t>
      </w:r>
      <w:r w:rsidR="0001429F">
        <w:rPr>
          <w:rFonts w:cs="Calibri"/>
        </w:rPr>
        <w:t xml:space="preserve">, not in his own </w:t>
      </w:r>
      <w:r w:rsidR="00315E48">
        <w:rPr>
          <w:rFonts w:cs="Calibri"/>
        </w:rPr>
        <w:t xml:space="preserve">philosophical </w:t>
      </w:r>
      <w:r w:rsidR="0001429F">
        <w:rPr>
          <w:rFonts w:cs="Calibri"/>
        </w:rPr>
        <w:t>practice.</w:t>
      </w:r>
      <w:r w:rsidR="00386BDB">
        <w:rPr>
          <w:rFonts w:cs="Calibri"/>
        </w:rPr>
        <w:t xml:space="preserve"> </w:t>
      </w:r>
      <w:r w:rsidR="00686ACD">
        <w:rPr>
          <w:rFonts w:cs="Calibri"/>
        </w:rPr>
        <w:t xml:space="preserve">And this is </w:t>
      </w:r>
      <w:r w:rsidR="00A444B3">
        <w:rPr>
          <w:rFonts w:cs="Calibri"/>
        </w:rPr>
        <w:t xml:space="preserve">what bristled the </w:t>
      </w:r>
      <w:r w:rsidR="00686ACD">
        <w:rPr>
          <w:rFonts w:cs="Calibri"/>
        </w:rPr>
        <w:t>resentment</w:t>
      </w:r>
      <w:r w:rsidR="00272495">
        <w:rPr>
          <w:rFonts w:cs="Calibri"/>
        </w:rPr>
        <w:t xml:space="preserve">. </w:t>
      </w:r>
    </w:p>
    <w:p w14:paraId="31ABA4F8" w14:textId="77777777" w:rsidR="00297FEC" w:rsidRDefault="00297FEC" w:rsidP="00F34357">
      <w:pPr>
        <w:widowControl w:val="0"/>
        <w:tabs>
          <w:tab w:val="left" w:pos="1440"/>
          <w:tab w:val="left" w:pos="2160"/>
          <w:tab w:val="left" w:pos="2880"/>
        </w:tabs>
        <w:autoSpaceDE w:val="0"/>
        <w:autoSpaceDN w:val="0"/>
        <w:adjustRightInd w:val="0"/>
        <w:rPr>
          <w:rFonts w:cs="Calibri"/>
        </w:rPr>
      </w:pPr>
    </w:p>
    <w:p w14:paraId="5B41A6D3" w14:textId="0A6F5C8A" w:rsidR="000631A7" w:rsidRDefault="0001429F" w:rsidP="00F34357">
      <w:pPr>
        <w:widowControl w:val="0"/>
        <w:tabs>
          <w:tab w:val="left" w:pos="1440"/>
          <w:tab w:val="left" w:pos="2160"/>
          <w:tab w:val="left" w:pos="2880"/>
        </w:tabs>
        <w:autoSpaceDE w:val="0"/>
        <w:autoSpaceDN w:val="0"/>
        <w:adjustRightInd w:val="0"/>
        <w:rPr>
          <w:rFonts w:cs="Calibri"/>
        </w:rPr>
      </w:pPr>
      <w:r>
        <w:rPr>
          <w:rFonts w:cs="Calibri"/>
        </w:rPr>
        <w:t>Rational ethics was the major concern of a great many of his pragmatist colleagues</w:t>
      </w:r>
      <w:r w:rsidR="009B66FB">
        <w:rPr>
          <w:rFonts w:cs="Calibri"/>
        </w:rPr>
        <w:t>.</w:t>
      </w:r>
      <w:r>
        <w:rPr>
          <w:rFonts w:cs="Calibri"/>
        </w:rPr>
        <w:t xml:space="preserve"> (</w:t>
      </w:r>
      <w:r w:rsidR="009B66FB">
        <w:rPr>
          <w:rFonts w:cs="Calibri"/>
        </w:rPr>
        <w:t>R</w:t>
      </w:r>
      <w:r>
        <w:rPr>
          <w:rFonts w:cs="Calibri"/>
        </w:rPr>
        <w:t>ead just about any article by Sydney Hook</w:t>
      </w:r>
      <w:r w:rsidR="00900CF5">
        <w:rPr>
          <w:rFonts w:cs="Calibri"/>
        </w:rPr>
        <w:t>.</w:t>
      </w:r>
      <w:r>
        <w:rPr>
          <w:rFonts w:cs="Calibri"/>
          <w:vertAlign w:val="superscript"/>
        </w:rPr>
        <w:footnoteReference w:id="10"/>
      </w:r>
      <w:r>
        <w:rPr>
          <w:rFonts w:cs="Calibri"/>
        </w:rPr>
        <w:t>)</w:t>
      </w:r>
      <w:r w:rsidR="00900CF5">
        <w:rPr>
          <w:rFonts w:cs="Calibri"/>
        </w:rPr>
        <w:t xml:space="preserve"> </w:t>
      </w:r>
      <w:r>
        <w:rPr>
          <w:rFonts w:cs="Calibri"/>
        </w:rPr>
        <w:t xml:space="preserve">But though the </w:t>
      </w:r>
      <w:r>
        <w:rPr>
          <w:rFonts w:cs="Calibri"/>
          <w:i/>
        </w:rPr>
        <w:t>Life of Reason</w:t>
      </w:r>
      <w:r>
        <w:rPr>
          <w:rFonts w:cs="Calibri"/>
        </w:rPr>
        <w:t xml:space="preserve"> “moves in a moralistic, humanistic, atmosphere” which the </w:t>
      </w:r>
      <w:proofErr w:type="spellStart"/>
      <w:r>
        <w:rPr>
          <w:rFonts w:cs="Calibri"/>
        </w:rPr>
        <w:t>Deweyans</w:t>
      </w:r>
      <w:proofErr w:type="spellEnd"/>
      <w:r>
        <w:rPr>
          <w:rFonts w:cs="Calibri"/>
        </w:rPr>
        <w:t xml:space="preserve"> at Columbia “can appreciate,”</w:t>
      </w:r>
      <w:r>
        <w:rPr>
          <w:rFonts w:cs="Calibri"/>
          <w:vertAlign w:val="superscript"/>
        </w:rPr>
        <w:footnoteReference w:id="11"/>
      </w:r>
      <w:r>
        <w:rPr>
          <w:rFonts w:cs="Calibri"/>
        </w:rPr>
        <w:t xml:space="preserve"> Santayana himself “never thought of life in society, or of moral economy, as the obligatory or only worthy life.”</w:t>
      </w:r>
      <w:r>
        <w:rPr>
          <w:rFonts w:cs="Calibri"/>
          <w:vertAlign w:val="superscript"/>
        </w:rPr>
        <w:footnoteReference w:id="12"/>
      </w:r>
      <w:r>
        <w:rPr>
          <w:rFonts w:cs="Calibri"/>
        </w:rPr>
        <w:t xml:space="preserve"> Pragmatists seemed to think it was. And in the eyes of the pragmatists, Santayana’s resistance to this must have been what smarted so much. This is where his allegiance must have seemed hollow. It must have struck a nerve that the common enterprise of the philosophical community</w:t>
      </w:r>
      <w:r>
        <w:rPr>
          <w:rFonts w:cs="Calibri"/>
          <w:vertAlign w:val="superscript"/>
        </w:rPr>
        <w:footnoteReference w:id="13"/>
      </w:r>
      <w:r w:rsidR="004D3203">
        <w:rPr>
          <w:rFonts w:cs="Calibri"/>
        </w:rPr>
        <w:t xml:space="preserve"> </w:t>
      </w:r>
      <w:r>
        <w:rPr>
          <w:rFonts w:cs="Calibri"/>
        </w:rPr>
        <w:t>was being disrupted by one who</w:t>
      </w:r>
      <w:r w:rsidR="00D221F6">
        <w:rPr>
          <w:rFonts w:cs="Calibri"/>
        </w:rPr>
        <w:t xml:space="preserve">, it now seemed, </w:t>
      </w:r>
      <w:r>
        <w:rPr>
          <w:rFonts w:cs="Calibri"/>
        </w:rPr>
        <w:t>had never even aspired to join in the first place.</w:t>
      </w:r>
      <w:r w:rsidR="006D4C64">
        <w:rPr>
          <w:rStyle w:val="FootnoteReference"/>
          <w:rFonts w:cs="Calibri"/>
        </w:rPr>
        <w:footnoteReference w:id="14"/>
      </w:r>
      <w:r>
        <w:rPr>
          <w:rFonts w:cs="Calibri"/>
        </w:rPr>
        <w:t xml:space="preserve">  </w:t>
      </w:r>
      <w:r w:rsidR="000631A7">
        <w:rPr>
          <w:rFonts w:cs="Calibri"/>
        </w:rPr>
        <w:t>Santayana remained true to the allegiance that really counted to him, which was his own philosophical vision; but to his erstwhile colleagues he had betrayed the allegiance that really counted to them – the vision of “intellectual statesmanship”</w:t>
      </w:r>
      <w:r w:rsidR="004822FD">
        <w:rPr>
          <w:rFonts w:cs="Calibri"/>
        </w:rPr>
        <w:t xml:space="preserve"> (Levinson 1992, 120).</w:t>
      </w:r>
    </w:p>
    <w:p w14:paraId="17CEBA42" w14:textId="77777777" w:rsidR="008C76B3" w:rsidRDefault="008C76B3" w:rsidP="00F34357">
      <w:pPr>
        <w:widowControl w:val="0"/>
        <w:tabs>
          <w:tab w:val="left" w:pos="1440"/>
          <w:tab w:val="left" w:pos="2160"/>
          <w:tab w:val="left" w:pos="2880"/>
        </w:tabs>
        <w:autoSpaceDE w:val="0"/>
        <w:autoSpaceDN w:val="0"/>
        <w:adjustRightInd w:val="0"/>
        <w:rPr>
          <w:rFonts w:cs="Calibri"/>
        </w:rPr>
      </w:pPr>
    </w:p>
    <w:p w14:paraId="2A8715A4" w14:textId="231F9AC2" w:rsidR="0001429F" w:rsidRDefault="00E61D19" w:rsidP="00F34357">
      <w:pPr>
        <w:widowControl w:val="0"/>
        <w:tabs>
          <w:tab w:val="left" w:pos="1440"/>
          <w:tab w:val="left" w:pos="2160"/>
          <w:tab w:val="left" w:pos="2880"/>
        </w:tabs>
        <w:autoSpaceDE w:val="0"/>
        <w:autoSpaceDN w:val="0"/>
        <w:adjustRightInd w:val="0"/>
        <w:rPr>
          <w:rFonts w:cs="Calibri"/>
        </w:rPr>
      </w:pPr>
      <w:r>
        <w:rPr>
          <w:rFonts w:cs="Calibri"/>
        </w:rPr>
        <w:t>And as for the</w:t>
      </w:r>
      <w:r w:rsidR="0001429F">
        <w:rPr>
          <w:rFonts w:cs="Calibri"/>
        </w:rPr>
        <w:t xml:space="preserve"> question “Continuity or not?” </w:t>
      </w:r>
      <w:r>
        <w:rPr>
          <w:rFonts w:cs="Calibri"/>
        </w:rPr>
        <w:t>the answer is</w:t>
      </w:r>
      <w:r w:rsidR="0001429F">
        <w:rPr>
          <w:rFonts w:cs="Calibri"/>
        </w:rPr>
        <w:t xml:space="preserve"> the obvious one: </w:t>
      </w:r>
      <w:r w:rsidR="00093205">
        <w:rPr>
          <w:rFonts w:cs="Calibri"/>
          <w:iCs/>
        </w:rPr>
        <w:t>i</w:t>
      </w:r>
      <w:r w:rsidR="0001429F">
        <w:rPr>
          <w:rFonts w:cs="Calibri"/>
          <w:iCs/>
        </w:rPr>
        <w:t>t all depends.</w:t>
      </w:r>
      <w:r w:rsidR="00DF280B">
        <w:rPr>
          <w:rFonts w:cs="Calibri"/>
          <w:i/>
        </w:rPr>
        <w:t xml:space="preserve"> </w:t>
      </w:r>
      <w:r w:rsidR="0001429F">
        <w:rPr>
          <w:rFonts w:cs="Calibri"/>
        </w:rPr>
        <w:t>It depends on a commentator’s own agenda</w:t>
      </w:r>
      <w:r w:rsidR="00DF280B">
        <w:rPr>
          <w:rFonts w:cs="Calibri"/>
        </w:rPr>
        <w:t xml:space="preserve"> – on his or her allegiances</w:t>
      </w:r>
      <w:r w:rsidR="0001429F">
        <w:rPr>
          <w:rFonts w:cs="Calibri"/>
        </w:rPr>
        <w:t xml:space="preserve">. We can see either continuity or discontinuity if we look hard enough. For the advocates of discontinuity, the attraction to Santayana seems to concern some aspect of the moral vision enunciated in </w:t>
      </w:r>
      <w:r w:rsidR="0001429F">
        <w:rPr>
          <w:rFonts w:cs="Calibri"/>
          <w:i/>
        </w:rPr>
        <w:t xml:space="preserve">Life of Reason, </w:t>
      </w:r>
      <w:r w:rsidR="0001429F">
        <w:rPr>
          <w:rFonts w:cs="Calibri"/>
        </w:rPr>
        <w:t xml:space="preserve">and Santayana’s later disenchantment with the “humanistic” aspects of that earlier work feels like the interruption of an exciting tale that needs more chapters. </w:t>
      </w:r>
      <w:r w:rsidR="0001429F">
        <w:rPr>
          <w:rFonts w:cs="Calibri"/>
          <w:i/>
        </w:rPr>
        <w:t>That</w:t>
      </w:r>
      <w:r w:rsidR="0001429F">
        <w:rPr>
          <w:rFonts w:cs="Calibri"/>
        </w:rPr>
        <w:t xml:space="preserve"> feels discontinuous. On the other hand, those who embrace instead his later spiritual disintoxication project may find it rather pointless to be trudging along the old dialectical ditches, after the master himself has shaken the dust from his feet and moved on.</w:t>
      </w:r>
      <w:r w:rsidR="00E33D64">
        <w:rPr>
          <w:rFonts w:cs="Calibri"/>
        </w:rPr>
        <w:t xml:space="preserve"> </w:t>
      </w:r>
      <w:r w:rsidR="00BA595F">
        <w:rPr>
          <w:rFonts w:cs="Calibri"/>
        </w:rPr>
        <w:t xml:space="preserve">In that case, </w:t>
      </w:r>
      <w:r w:rsidR="005F1319">
        <w:rPr>
          <w:rFonts w:cs="Calibri"/>
        </w:rPr>
        <w:t xml:space="preserve">shouldn’t we </w:t>
      </w:r>
      <w:r w:rsidR="00E33D64">
        <w:rPr>
          <w:rFonts w:cs="Calibri"/>
        </w:rPr>
        <w:t xml:space="preserve">just take him </w:t>
      </w:r>
      <w:proofErr w:type="gramStart"/>
      <w:r w:rsidR="00E33D64">
        <w:rPr>
          <w:rFonts w:cs="Calibri"/>
        </w:rPr>
        <w:t>at</w:t>
      </w:r>
      <w:proofErr w:type="gramEnd"/>
      <w:r w:rsidR="00E33D64">
        <w:rPr>
          <w:rFonts w:cs="Calibri"/>
        </w:rPr>
        <w:t xml:space="preserve"> his word and move on with him</w:t>
      </w:r>
      <w:r w:rsidR="005F1319">
        <w:rPr>
          <w:rFonts w:cs="Calibri"/>
        </w:rPr>
        <w:t>?</w:t>
      </w:r>
    </w:p>
    <w:p w14:paraId="221459A8" w14:textId="77777777" w:rsidR="00622C18" w:rsidRDefault="00622C18" w:rsidP="00F34357">
      <w:pPr>
        <w:widowControl w:val="0"/>
        <w:tabs>
          <w:tab w:val="left" w:pos="1440"/>
          <w:tab w:val="left" w:pos="2160"/>
          <w:tab w:val="left" w:pos="2880"/>
        </w:tabs>
        <w:autoSpaceDE w:val="0"/>
        <w:autoSpaceDN w:val="0"/>
        <w:adjustRightInd w:val="0"/>
        <w:rPr>
          <w:rFonts w:cs="Calibri"/>
        </w:rPr>
      </w:pPr>
    </w:p>
    <w:p w14:paraId="2A8715A5" w14:textId="358572E3" w:rsidR="0001429F" w:rsidRDefault="00E81C60" w:rsidP="00F34357">
      <w:pPr>
        <w:widowControl w:val="0"/>
        <w:tabs>
          <w:tab w:val="left" w:pos="1440"/>
          <w:tab w:val="left" w:pos="2160"/>
          <w:tab w:val="left" w:pos="2880"/>
        </w:tabs>
        <w:autoSpaceDE w:val="0"/>
        <w:autoSpaceDN w:val="0"/>
        <w:adjustRightInd w:val="0"/>
        <w:rPr>
          <w:rFonts w:cs="Calibri"/>
        </w:rPr>
      </w:pPr>
      <w:r>
        <w:rPr>
          <w:rFonts w:cs="Calibri"/>
        </w:rPr>
        <w:t>In any case</w:t>
      </w:r>
      <w:r w:rsidR="0001429F">
        <w:rPr>
          <w:rFonts w:cs="Calibri"/>
        </w:rPr>
        <w:t xml:space="preserve">, </w:t>
      </w:r>
      <w:r w:rsidR="002034B2">
        <w:rPr>
          <w:rFonts w:cs="Calibri"/>
        </w:rPr>
        <w:t xml:space="preserve">we should probably move on from the continuity issue. The real </w:t>
      </w:r>
      <w:r w:rsidR="0001429F">
        <w:rPr>
          <w:rFonts w:cs="Calibri"/>
        </w:rPr>
        <w:t>the issue is not so much whether there has</w:t>
      </w:r>
      <w:r w:rsidR="00AD271D">
        <w:rPr>
          <w:rFonts w:cs="Calibri"/>
        </w:rPr>
        <w:t xml:space="preserve"> </w:t>
      </w:r>
      <w:r w:rsidR="00AD271D" w:rsidRPr="002E2AFE">
        <w:rPr>
          <w:rFonts w:cs="Calibri"/>
          <w:i/>
          <w:iCs/>
        </w:rPr>
        <w:t>actually</w:t>
      </w:r>
      <w:r w:rsidR="0001429F">
        <w:rPr>
          <w:rFonts w:cs="Calibri"/>
        </w:rPr>
        <w:t xml:space="preserve"> been a fundamental continuity between the early and later Santayana, but rather which continuities or discontinuities, based on </w:t>
      </w:r>
      <w:r w:rsidR="0001429F" w:rsidRPr="004A54BE">
        <w:rPr>
          <w:rFonts w:cs="Calibri"/>
          <w:iCs/>
        </w:rPr>
        <w:t>our own allegiances,</w:t>
      </w:r>
      <w:r w:rsidR="0001429F">
        <w:rPr>
          <w:rFonts w:cs="Calibri"/>
        </w:rPr>
        <w:t xml:space="preserve"> we </w:t>
      </w:r>
      <w:r w:rsidR="005B1516">
        <w:rPr>
          <w:rFonts w:cs="Calibri"/>
        </w:rPr>
        <w:t xml:space="preserve">ourselves </w:t>
      </w:r>
      <w:r w:rsidR="0001429F">
        <w:rPr>
          <w:rFonts w:cs="Calibri"/>
        </w:rPr>
        <w:t xml:space="preserve">might wish to highlight. </w:t>
      </w:r>
    </w:p>
    <w:p w14:paraId="2A8715A6" w14:textId="77777777" w:rsidR="0001429F" w:rsidRDefault="0001429F" w:rsidP="00F34357">
      <w:pPr>
        <w:widowControl w:val="0"/>
        <w:autoSpaceDE w:val="0"/>
        <w:autoSpaceDN w:val="0"/>
        <w:adjustRightInd w:val="0"/>
        <w:rPr>
          <w:rFonts w:cs="Calibri"/>
        </w:rPr>
      </w:pPr>
    </w:p>
    <w:p w14:paraId="2A8715A7" w14:textId="77777777" w:rsidR="0001429F" w:rsidRDefault="0001429F" w:rsidP="00F34357">
      <w:pPr>
        <w:widowControl w:val="0"/>
        <w:tabs>
          <w:tab w:val="left" w:pos="1440"/>
          <w:tab w:val="left" w:pos="2160"/>
          <w:tab w:val="left" w:pos="2880"/>
        </w:tabs>
        <w:autoSpaceDE w:val="0"/>
        <w:autoSpaceDN w:val="0"/>
        <w:adjustRightInd w:val="0"/>
        <w:ind w:firstLine="720"/>
        <w:jc w:val="center"/>
        <w:rPr>
          <w:rFonts w:cs="Calibri"/>
        </w:rPr>
      </w:pPr>
      <w:r>
        <w:rPr>
          <w:rFonts w:cs="Calibri"/>
          <w:b/>
        </w:rPr>
        <w:t>*2* Living the life one's philosophy describes</w:t>
      </w:r>
    </w:p>
    <w:p w14:paraId="2A8715A8" w14:textId="77777777" w:rsidR="0001429F" w:rsidRDefault="0001429F" w:rsidP="00F34357">
      <w:pPr>
        <w:widowControl w:val="0"/>
        <w:tabs>
          <w:tab w:val="left" w:pos="1440"/>
          <w:tab w:val="left" w:pos="2160"/>
          <w:tab w:val="left" w:pos="2880"/>
        </w:tabs>
        <w:autoSpaceDE w:val="0"/>
        <w:autoSpaceDN w:val="0"/>
        <w:adjustRightInd w:val="0"/>
        <w:ind w:firstLine="720"/>
        <w:jc w:val="center"/>
        <w:rPr>
          <w:rFonts w:cs="Calibri"/>
          <w:b/>
        </w:rPr>
      </w:pPr>
    </w:p>
    <w:p w14:paraId="126C5DA7" w14:textId="253C15A7" w:rsidR="00176887" w:rsidRDefault="00E62C07" w:rsidP="00F34357">
      <w:pPr>
        <w:widowControl w:val="0"/>
        <w:tabs>
          <w:tab w:val="left" w:pos="1440"/>
          <w:tab w:val="left" w:pos="2160"/>
          <w:tab w:val="left" w:pos="2880"/>
        </w:tabs>
        <w:autoSpaceDE w:val="0"/>
        <w:autoSpaceDN w:val="0"/>
        <w:adjustRightInd w:val="0"/>
        <w:rPr>
          <w:rFonts w:cs="Calibri"/>
        </w:rPr>
      </w:pPr>
      <w:r>
        <w:rPr>
          <w:rFonts w:cs="Calibri"/>
        </w:rPr>
        <w:lastRenderedPageBreak/>
        <w:t xml:space="preserve">So is there </w:t>
      </w:r>
      <w:r w:rsidR="00D65D15">
        <w:rPr>
          <w:rFonts w:cs="Calibri"/>
        </w:rPr>
        <w:t>n</w:t>
      </w:r>
      <w:r w:rsidR="003A6B8F">
        <w:rPr>
          <w:rFonts w:cs="Calibri"/>
        </w:rPr>
        <w:t xml:space="preserve">ow </w:t>
      </w:r>
      <w:r>
        <w:rPr>
          <w:rFonts w:cs="Calibri"/>
        </w:rPr>
        <w:t xml:space="preserve">anything important </w:t>
      </w:r>
      <w:r w:rsidR="00D152D6">
        <w:rPr>
          <w:rFonts w:cs="Calibri"/>
        </w:rPr>
        <w:t xml:space="preserve">that remains </w:t>
      </w:r>
      <w:r>
        <w:rPr>
          <w:rFonts w:cs="Calibri"/>
        </w:rPr>
        <w:t>from this entire discussion?</w:t>
      </w:r>
      <w:r w:rsidR="00D455AB">
        <w:rPr>
          <w:rFonts w:cs="Calibri"/>
        </w:rPr>
        <w:t xml:space="preserve"> I think </w:t>
      </w:r>
      <w:r w:rsidR="00755A72">
        <w:rPr>
          <w:rFonts w:cs="Calibri"/>
        </w:rPr>
        <w:t>there is</w:t>
      </w:r>
      <w:r w:rsidR="00D455AB">
        <w:rPr>
          <w:rFonts w:cs="Calibri"/>
        </w:rPr>
        <w:t>.</w:t>
      </w:r>
      <w:r w:rsidR="005B1516">
        <w:rPr>
          <w:rFonts w:cs="Calibri"/>
        </w:rPr>
        <w:t xml:space="preserve"> </w:t>
      </w:r>
    </w:p>
    <w:p w14:paraId="14B12C0B" w14:textId="7ED32A00" w:rsidR="0004794D" w:rsidRDefault="00176887" w:rsidP="00F34357">
      <w:pPr>
        <w:widowControl w:val="0"/>
        <w:tabs>
          <w:tab w:val="left" w:pos="1440"/>
          <w:tab w:val="left" w:pos="2160"/>
          <w:tab w:val="left" w:pos="2880"/>
        </w:tabs>
        <w:autoSpaceDE w:val="0"/>
        <w:autoSpaceDN w:val="0"/>
        <w:adjustRightInd w:val="0"/>
        <w:rPr>
          <w:rFonts w:cs="Calibri"/>
        </w:rPr>
      </w:pPr>
      <w:r>
        <w:rPr>
          <w:rFonts w:cs="Calibri"/>
        </w:rPr>
        <w:t xml:space="preserve">For contemporary readers of Santayana, the continuity issue has not entirely evaporated, and </w:t>
      </w:r>
      <w:r w:rsidR="008835C6">
        <w:rPr>
          <w:rFonts w:cs="Calibri"/>
        </w:rPr>
        <w:t xml:space="preserve">it’s </w:t>
      </w:r>
      <w:r>
        <w:rPr>
          <w:rFonts w:cs="Calibri"/>
        </w:rPr>
        <w:t xml:space="preserve">worth considering what </w:t>
      </w:r>
      <w:r w:rsidR="00AF3476">
        <w:rPr>
          <w:rFonts w:cs="Calibri"/>
        </w:rPr>
        <w:t xml:space="preserve">this issue of allegiance </w:t>
      </w:r>
      <w:r w:rsidR="000B1582">
        <w:rPr>
          <w:rFonts w:cs="Calibri"/>
        </w:rPr>
        <w:t xml:space="preserve">might </w:t>
      </w:r>
      <w:r w:rsidR="00475A3B">
        <w:rPr>
          <w:rFonts w:cs="Calibri"/>
        </w:rPr>
        <w:t xml:space="preserve">present for us </w:t>
      </w:r>
      <w:r>
        <w:rPr>
          <w:rFonts w:cs="Calibri"/>
        </w:rPr>
        <w:t xml:space="preserve">today. </w:t>
      </w:r>
      <w:r w:rsidR="0004794D">
        <w:rPr>
          <w:rFonts w:cs="Calibri"/>
        </w:rPr>
        <w:t xml:space="preserve">So let me </w:t>
      </w:r>
      <w:r w:rsidR="00B66C6D">
        <w:rPr>
          <w:rFonts w:cs="Calibri"/>
        </w:rPr>
        <w:t xml:space="preserve">now </w:t>
      </w:r>
      <w:r w:rsidR="00703272">
        <w:rPr>
          <w:rFonts w:cs="Calibri"/>
        </w:rPr>
        <w:t xml:space="preserve">move on to </w:t>
      </w:r>
      <w:r w:rsidR="0004794D">
        <w:rPr>
          <w:rFonts w:cs="Calibri"/>
        </w:rPr>
        <w:t xml:space="preserve"> that.</w:t>
      </w:r>
    </w:p>
    <w:p w14:paraId="62517F65" w14:textId="05FEA29E" w:rsidR="00176887" w:rsidRDefault="00176887" w:rsidP="00F34357">
      <w:pPr>
        <w:widowControl w:val="0"/>
        <w:tabs>
          <w:tab w:val="left" w:pos="1440"/>
          <w:tab w:val="left" w:pos="2160"/>
          <w:tab w:val="left" w:pos="2880"/>
        </w:tabs>
        <w:autoSpaceDE w:val="0"/>
        <w:autoSpaceDN w:val="0"/>
        <w:adjustRightInd w:val="0"/>
        <w:rPr>
          <w:rFonts w:cs="Calibri"/>
        </w:rPr>
      </w:pPr>
      <w:r>
        <w:rPr>
          <w:rFonts w:cs="Calibri"/>
        </w:rPr>
        <w:t xml:space="preserve"> </w:t>
      </w:r>
    </w:p>
    <w:p w14:paraId="33828643" w14:textId="2542082E" w:rsidR="003453F3" w:rsidRDefault="0001429F" w:rsidP="00F34357">
      <w:pPr>
        <w:widowControl w:val="0"/>
        <w:tabs>
          <w:tab w:val="left" w:pos="1440"/>
          <w:tab w:val="left" w:pos="2160"/>
          <w:tab w:val="left" w:pos="2880"/>
        </w:tabs>
        <w:autoSpaceDE w:val="0"/>
        <w:autoSpaceDN w:val="0"/>
        <w:adjustRightInd w:val="0"/>
        <w:rPr>
          <w:rFonts w:cs="Calibri"/>
        </w:rPr>
      </w:pPr>
      <w:r>
        <w:rPr>
          <w:rFonts w:cs="Calibri"/>
        </w:rPr>
        <w:t xml:space="preserve">I’ve been remarking here on the cherished allegiances among the Harvard and Columbia faculties as they assessed Santayana’s later work — in particular, their allegiance to reformist politics. This might naturally provoke </w:t>
      </w:r>
      <w:r w:rsidR="00E17D8B">
        <w:rPr>
          <w:rFonts w:cs="Calibri"/>
        </w:rPr>
        <w:t>some</w:t>
      </w:r>
      <w:r>
        <w:rPr>
          <w:rFonts w:cs="Calibri"/>
        </w:rPr>
        <w:t xml:space="preserve"> reflection regarding our own allegiances. Of course, interest in a particular philosopher can take different forms from different motives. But certainly for the readers of Santayana, it’s hard not to feel appreciative wonder for one who actually lived the life his philosophy describes</w:t>
      </w:r>
      <w:r w:rsidR="00DE2C08">
        <w:rPr>
          <w:rFonts w:cs="Calibri"/>
        </w:rPr>
        <w:t xml:space="preserve">. </w:t>
      </w:r>
      <w:r w:rsidR="0089361A">
        <w:rPr>
          <w:rFonts w:cs="Calibri"/>
        </w:rPr>
        <w:t>Once</w:t>
      </w:r>
      <w:r>
        <w:rPr>
          <w:rFonts w:cs="Calibri"/>
        </w:rPr>
        <w:t xml:space="preserve"> this appreciation takes hold in a self-reflective manner, </w:t>
      </w:r>
      <w:r w:rsidR="007D0675">
        <w:rPr>
          <w:rFonts w:cs="Calibri"/>
        </w:rPr>
        <w:t xml:space="preserve">what </w:t>
      </w:r>
      <w:r w:rsidR="00296C6D">
        <w:rPr>
          <w:rFonts w:cs="Calibri"/>
        </w:rPr>
        <w:t xml:space="preserve">then </w:t>
      </w:r>
      <w:r w:rsidR="007D0675">
        <w:rPr>
          <w:rFonts w:cs="Calibri"/>
        </w:rPr>
        <w:t xml:space="preserve">might be </w:t>
      </w:r>
      <w:r>
        <w:rPr>
          <w:rFonts w:cs="Calibri"/>
        </w:rPr>
        <w:t>the natural response on the part of those of us who have been impressed with the recent turn toward “philosophy as a way of life”</w:t>
      </w:r>
      <w:r w:rsidR="00886B9A">
        <w:rPr>
          <w:rStyle w:val="FootnoteReference"/>
          <w:rFonts w:cs="Calibri"/>
        </w:rPr>
        <w:footnoteReference w:id="15"/>
      </w:r>
      <w:r w:rsidR="007D0675">
        <w:rPr>
          <w:rFonts w:cs="Calibri"/>
        </w:rPr>
        <w:t xml:space="preserve">? </w:t>
      </w:r>
      <w:r>
        <w:rPr>
          <w:rFonts w:cs="Calibri"/>
        </w:rPr>
        <w:t xml:space="preserve">In accordance with Santayana’s own suggestion, we might want to clean the windows of our own souls </w:t>
      </w:r>
      <w:r w:rsidR="005333B4">
        <w:rPr>
          <w:rFonts w:cs="Calibri"/>
        </w:rPr>
        <w:t xml:space="preserve">(SAF </w:t>
      </w:r>
      <w:r w:rsidR="008C6F72">
        <w:rPr>
          <w:rFonts w:cs="Calibri"/>
        </w:rPr>
        <w:t xml:space="preserve">vi-vii) </w:t>
      </w:r>
      <w:r>
        <w:rPr>
          <w:rFonts w:cs="Calibri"/>
        </w:rPr>
        <w:t>rather than cluster around the dogmatisms that could emerge from too much dialectical polishing</w:t>
      </w:r>
      <w:r w:rsidR="00C147B7">
        <w:rPr>
          <w:rFonts w:cs="Calibri"/>
        </w:rPr>
        <w:t>, even</w:t>
      </w:r>
      <w:r>
        <w:rPr>
          <w:rFonts w:cs="Calibri"/>
        </w:rPr>
        <w:t xml:space="preserve"> of Santayana’s </w:t>
      </w:r>
      <w:r w:rsidR="003E4B0D">
        <w:rPr>
          <w:rFonts w:cs="Calibri"/>
        </w:rPr>
        <w:t xml:space="preserve">own </w:t>
      </w:r>
      <w:r w:rsidR="00296C6D">
        <w:rPr>
          <w:rFonts w:cs="Calibri"/>
        </w:rPr>
        <w:t>words</w:t>
      </w:r>
      <w:r>
        <w:rPr>
          <w:rFonts w:cs="Calibri"/>
        </w:rPr>
        <w:t xml:space="preserve">. In this regard, I think there is one key consideration especially that might </w:t>
      </w:r>
      <w:r w:rsidR="00B04D8D">
        <w:rPr>
          <w:rFonts w:cs="Calibri"/>
        </w:rPr>
        <w:t xml:space="preserve">rivet us if </w:t>
      </w:r>
      <w:r>
        <w:rPr>
          <w:rFonts w:cs="Calibri"/>
        </w:rPr>
        <w:t xml:space="preserve">we are entertaining Santayana’s own philosophy as a possible way of life. </w:t>
      </w:r>
      <w:r w:rsidR="00EE4F75">
        <w:rPr>
          <w:rFonts w:cs="Calibri"/>
        </w:rPr>
        <w:t xml:space="preserve">It has to do with community and Santayana’s </w:t>
      </w:r>
      <w:r w:rsidR="00DA1C38">
        <w:rPr>
          <w:rFonts w:cs="Calibri"/>
        </w:rPr>
        <w:t xml:space="preserve">relation </w:t>
      </w:r>
      <w:r w:rsidR="000B5956">
        <w:rPr>
          <w:rFonts w:cs="Calibri"/>
        </w:rPr>
        <w:t xml:space="preserve">to </w:t>
      </w:r>
      <w:r w:rsidR="000551B0">
        <w:rPr>
          <w:rFonts w:cs="Calibri"/>
        </w:rPr>
        <w:t>it</w:t>
      </w:r>
      <w:r w:rsidR="003453F3">
        <w:rPr>
          <w:rFonts w:cs="Calibri"/>
        </w:rPr>
        <w:t>.</w:t>
      </w:r>
    </w:p>
    <w:p w14:paraId="1F13527E" w14:textId="77777777" w:rsidR="003453F3" w:rsidRDefault="003453F3" w:rsidP="00F34357">
      <w:pPr>
        <w:widowControl w:val="0"/>
        <w:tabs>
          <w:tab w:val="left" w:pos="1440"/>
          <w:tab w:val="left" w:pos="2160"/>
          <w:tab w:val="left" w:pos="2880"/>
        </w:tabs>
        <w:autoSpaceDE w:val="0"/>
        <w:autoSpaceDN w:val="0"/>
        <w:adjustRightInd w:val="0"/>
        <w:rPr>
          <w:rFonts w:cs="Calibri"/>
        </w:rPr>
      </w:pPr>
    </w:p>
    <w:p w14:paraId="2A8715AC" w14:textId="2E62F834" w:rsidR="0001429F" w:rsidRDefault="003453F3" w:rsidP="00F34357">
      <w:pPr>
        <w:widowControl w:val="0"/>
        <w:tabs>
          <w:tab w:val="left" w:pos="1440"/>
          <w:tab w:val="left" w:pos="2160"/>
          <w:tab w:val="left" w:pos="2880"/>
        </w:tabs>
        <w:autoSpaceDE w:val="0"/>
        <w:autoSpaceDN w:val="0"/>
        <w:adjustRightInd w:val="0"/>
        <w:rPr>
          <w:rFonts w:cs="Calibri"/>
        </w:rPr>
      </w:pPr>
      <w:r>
        <w:rPr>
          <w:rFonts w:cs="Calibri"/>
        </w:rPr>
        <w:t>Santayana was no recluse during his time at Harvard. He enjoy</w:t>
      </w:r>
      <w:r w:rsidR="00D31A09">
        <w:rPr>
          <w:rFonts w:cs="Calibri"/>
        </w:rPr>
        <w:t>ed</w:t>
      </w:r>
      <w:r>
        <w:rPr>
          <w:rFonts w:cs="Calibri"/>
        </w:rPr>
        <w:t xml:space="preserve"> </w:t>
      </w:r>
      <w:r w:rsidR="006249DC">
        <w:rPr>
          <w:rFonts w:cs="Calibri"/>
        </w:rPr>
        <w:t>t</w:t>
      </w:r>
      <w:r>
        <w:rPr>
          <w:rFonts w:cs="Calibri"/>
        </w:rPr>
        <w:t xml:space="preserve">he </w:t>
      </w:r>
      <w:r w:rsidR="001E4162">
        <w:rPr>
          <w:rFonts w:cs="Calibri"/>
        </w:rPr>
        <w:t xml:space="preserve">“convivial dinners” and “sprightly conversation” </w:t>
      </w:r>
      <w:r w:rsidR="00633FC3">
        <w:rPr>
          <w:rFonts w:cs="Calibri"/>
        </w:rPr>
        <w:t xml:space="preserve">with the young men of </w:t>
      </w:r>
      <w:r w:rsidR="008A5F3D">
        <w:rPr>
          <w:rFonts w:cs="Calibri"/>
        </w:rPr>
        <w:t xml:space="preserve">the </w:t>
      </w:r>
      <w:r w:rsidR="003045AF">
        <w:rPr>
          <w:rFonts w:cs="Calibri"/>
        </w:rPr>
        <w:t>Delphic Club of Harvard</w:t>
      </w:r>
      <w:r w:rsidR="001A3DA6">
        <w:rPr>
          <w:rFonts w:cs="Calibri"/>
        </w:rPr>
        <w:t xml:space="preserve"> (Porte, 1962, 337).</w:t>
      </w:r>
      <w:r w:rsidR="00D674B5">
        <w:rPr>
          <w:rFonts w:cs="Calibri"/>
        </w:rPr>
        <w:t xml:space="preserve"> </w:t>
      </w:r>
      <w:r w:rsidR="00550570">
        <w:rPr>
          <w:rFonts w:cs="Calibri"/>
        </w:rPr>
        <w:t xml:space="preserve"> There</w:t>
      </w:r>
      <w:r w:rsidR="006249DC">
        <w:rPr>
          <w:rFonts w:cs="Calibri"/>
        </w:rPr>
        <w:t xml:space="preserve"> he </w:t>
      </w:r>
      <w:r w:rsidR="001139AE">
        <w:rPr>
          <w:rFonts w:cs="Calibri"/>
        </w:rPr>
        <w:t>formed friendships with</w:t>
      </w:r>
      <w:r w:rsidR="001E63F4">
        <w:rPr>
          <w:rFonts w:cs="Calibri"/>
        </w:rPr>
        <w:t xml:space="preserve"> those he </w:t>
      </w:r>
      <w:r w:rsidR="00FE7558">
        <w:rPr>
          <w:rFonts w:cs="Calibri"/>
        </w:rPr>
        <w:t xml:space="preserve">later </w:t>
      </w:r>
      <w:r w:rsidR="001E63F4">
        <w:rPr>
          <w:rFonts w:cs="Calibri"/>
        </w:rPr>
        <w:t xml:space="preserve">used as </w:t>
      </w:r>
      <w:r w:rsidR="006249DC">
        <w:rPr>
          <w:rFonts w:cs="Calibri"/>
        </w:rPr>
        <w:t xml:space="preserve">models for </w:t>
      </w:r>
      <w:r w:rsidR="00AA4BF4">
        <w:rPr>
          <w:rFonts w:cs="Calibri"/>
        </w:rPr>
        <w:t xml:space="preserve">Oliver Alden (in </w:t>
      </w:r>
      <w:r w:rsidR="00AA4BF4">
        <w:rPr>
          <w:rFonts w:cs="Calibri"/>
          <w:i/>
          <w:iCs/>
        </w:rPr>
        <w:t>The Last Puritan</w:t>
      </w:r>
      <w:r w:rsidR="00AA4BF4">
        <w:rPr>
          <w:rFonts w:cs="Calibri"/>
        </w:rPr>
        <w:t>)</w:t>
      </w:r>
      <w:r w:rsidR="001E63F4">
        <w:rPr>
          <w:rFonts w:cs="Calibri"/>
        </w:rPr>
        <w:t xml:space="preserve">. And there he </w:t>
      </w:r>
      <w:r w:rsidR="0066415F">
        <w:rPr>
          <w:rFonts w:cs="Calibri"/>
        </w:rPr>
        <w:t xml:space="preserve">also </w:t>
      </w:r>
      <w:r w:rsidR="001E63F4">
        <w:rPr>
          <w:rFonts w:cs="Calibri"/>
        </w:rPr>
        <w:t>met</w:t>
      </w:r>
      <w:r w:rsidR="00D31A09">
        <w:rPr>
          <w:rFonts w:cs="Calibri"/>
        </w:rPr>
        <w:t xml:space="preserve"> </w:t>
      </w:r>
      <w:r w:rsidR="000B632B">
        <w:rPr>
          <w:rFonts w:cs="Calibri"/>
        </w:rPr>
        <w:t xml:space="preserve">Warwick Potter, whose untimely death </w:t>
      </w:r>
      <w:r w:rsidR="002D2CC0">
        <w:rPr>
          <w:rFonts w:cs="Calibri"/>
        </w:rPr>
        <w:t xml:space="preserve">in 1893 </w:t>
      </w:r>
      <w:r w:rsidR="00AF7B8D">
        <w:rPr>
          <w:rFonts w:cs="Calibri"/>
        </w:rPr>
        <w:t xml:space="preserve">coincided with his </w:t>
      </w:r>
      <w:r w:rsidR="002D2CC0">
        <w:rPr>
          <w:rFonts w:cs="Calibri"/>
        </w:rPr>
        <w:t>own emotional crisis</w:t>
      </w:r>
      <w:r w:rsidR="0008563A">
        <w:rPr>
          <w:rFonts w:cs="Calibri"/>
        </w:rPr>
        <w:t xml:space="preserve"> </w:t>
      </w:r>
      <w:r w:rsidR="002B7E9E">
        <w:rPr>
          <w:rFonts w:cs="Calibri"/>
        </w:rPr>
        <w:t>(</w:t>
      </w:r>
      <w:r w:rsidR="00265A09">
        <w:rPr>
          <w:rFonts w:cs="Calibri"/>
        </w:rPr>
        <w:t xml:space="preserve">PP </w:t>
      </w:r>
      <w:r w:rsidR="00A26F75">
        <w:rPr>
          <w:rFonts w:cs="Calibri"/>
        </w:rPr>
        <w:t>350-</w:t>
      </w:r>
      <w:r w:rsidR="004733DF">
        <w:rPr>
          <w:rFonts w:cs="Calibri"/>
        </w:rPr>
        <w:t>351, 418ff</w:t>
      </w:r>
      <w:r w:rsidR="005F20BD">
        <w:rPr>
          <w:rFonts w:cs="Calibri"/>
        </w:rPr>
        <w:t>)</w:t>
      </w:r>
      <w:r w:rsidR="00C612F5">
        <w:rPr>
          <w:rFonts w:cs="Calibri"/>
        </w:rPr>
        <w:t xml:space="preserve"> and deepened his </w:t>
      </w:r>
      <w:r w:rsidR="00813462">
        <w:rPr>
          <w:rFonts w:cs="Calibri"/>
        </w:rPr>
        <w:t>wariness</w:t>
      </w:r>
      <w:r w:rsidR="0054642C">
        <w:rPr>
          <w:rFonts w:cs="Calibri"/>
        </w:rPr>
        <w:t xml:space="preserve"> towards emotional attachments</w:t>
      </w:r>
      <w:r w:rsidR="00897334">
        <w:rPr>
          <w:rFonts w:cs="Calibri"/>
        </w:rPr>
        <w:t xml:space="preserve"> </w:t>
      </w:r>
      <w:r w:rsidR="00FE7558">
        <w:rPr>
          <w:rFonts w:cs="Calibri"/>
        </w:rPr>
        <w:t>generally</w:t>
      </w:r>
      <w:r w:rsidR="0003105F">
        <w:rPr>
          <w:rFonts w:cs="Calibri"/>
        </w:rPr>
        <w:t>,</w:t>
      </w:r>
      <w:r w:rsidR="00FE7558">
        <w:rPr>
          <w:rFonts w:cs="Calibri"/>
        </w:rPr>
        <w:t xml:space="preserve"> </w:t>
      </w:r>
      <w:r w:rsidR="00897334">
        <w:rPr>
          <w:rFonts w:cs="Calibri"/>
        </w:rPr>
        <w:t xml:space="preserve">as well as his </w:t>
      </w:r>
      <w:r w:rsidR="009E5888">
        <w:rPr>
          <w:rFonts w:cs="Calibri"/>
        </w:rPr>
        <w:t xml:space="preserve">disaffection </w:t>
      </w:r>
      <w:r w:rsidR="00111687">
        <w:rPr>
          <w:rFonts w:cs="Calibri"/>
        </w:rPr>
        <w:t>with</w:t>
      </w:r>
      <w:r w:rsidR="009817F8">
        <w:rPr>
          <w:rFonts w:cs="Calibri"/>
        </w:rPr>
        <w:t xml:space="preserve"> </w:t>
      </w:r>
      <w:r w:rsidR="00BD5420">
        <w:rPr>
          <w:rFonts w:cs="Calibri"/>
        </w:rPr>
        <w:t>social elites</w:t>
      </w:r>
      <w:r w:rsidR="00D12BEF">
        <w:rPr>
          <w:rFonts w:cs="Calibri"/>
        </w:rPr>
        <w:t>.</w:t>
      </w:r>
      <w:r w:rsidR="00DF3A75">
        <w:rPr>
          <w:rFonts w:cs="Calibri"/>
        </w:rPr>
        <w:t xml:space="preserve"> </w:t>
      </w:r>
      <w:r w:rsidR="0001429F">
        <w:rPr>
          <w:rFonts w:cs="Calibri"/>
        </w:rPr>
        <w:t xml:space="preserve">Gilded Age America, at least for the gilded agents of high society Boston and New York, was a community of movers and shakers, and of the </w:t>
      </w:r>
      <w:r w:rsidR="00874C8F">
        <w:rPr>
          <w:rFonts w:cs="Calibri"/>
        </w:rPr>
        <w:t xml:space="preserve">“philistine” </w:t>
      </w:r>
      <w:r w:rsidR="0001429F">
        <w:rPr>
          <w:rFonts w:cs="Calibri"/>
        </w:rPr>
        <w:t>intellectuals</w:t>
      </w:r>
      <w:r w:rsidR="00874C8F">
        <w:rPr>
          <w:rFonts w:cs="Calibri"/>
        </w:rPr>
        <w:t xml:space="preserve"> (WIP</w:t>
      </w:r>
      <w:r w:rsidR="00451CA4">
        <w:rPr>
          <w:rFonts w:cs="Calibri"/>
        </w:rPr>
        <w:t>)</w:t>
      </w:r>
      <w:r w:rsidR="0001429F">
        <w:rPr>
          <w:rFonts w:cs="Calibri"/>
        </w:rPr>
        <w:t xml:space="preserve"> who were preparing the up and coming generation for the destiny that at the time seemed so manifest. </w:t>
      </w:r>
      <w:r w:rsidR="00A26DB3">
        <w:rPr>
          <w:rFonts w:cs="Calibri"/>
        </w:rPr>
        <w:t xml:space="preserve">This was adamantly not Santayana’s </w:t>
      </w:r>
      <w:r w:rsidR="00657062">
        <w:rPr>
          <w:rFonts w:cs="Calibri"/>
        </w:rPr>
        <w:t xml:space="preserve">own </w:t>
      </w:r>
      <w:r w:rsidR="00A26DB3">
        <w:rPr>
          <w:rFonts w:cs="Calibri"/>
        </w:rPr>
        <w:t xml:space="preserve">mission. </w:t>
      </w:r>
    </w:p>
    <w:p w14:paraId="59C9E4D6" w14:textId="77777777" w:rsidR="006E38FA" w:rsidRDefault="006E38FA" w:rsidP="00F34357">
      <w:pPr>
        <w:widowControl w:val="0"/>
        <w:tabs>
          <w:tab w:val="left" w:pos="1440"/>
          <w:tab w:val="left" w:pos="2160"/>
          <w:tab w:val="left" w:pos="2880"/>
        </w:tabs>
        <w:autoSpaceDE w:val="0"/>
        <w:autoSpaceDN w:val="0"/>
        <w:adjustRightInd w:val="0"/>
        <w:rPr>
          <w:rFonts w:cs="Calibri"/>
        </w:rPr>
      </w:pPr>
    </w:p>
    <w:p w14:paraId="2A8715AD" w14:textId="144BF28A" w:rsidR="0001429F" w:rsidRDefault="00A26DB3" w:rsidP="00F34357">
      <w:pPr>
        <w:widowControl w:val="0"/>
        <w:tabs>
          <w:tab w:val="left" w:pos="1440"/>
          <w:tab w:val="left" w:pos="2160"/>
          <w:tab w:val="left" w:pos="2880"/>
        </w:tabs>
        <w:autoSpaceDE w:val="0"/>
        <w:autoSpaceDN w:val="0"/>
        <w:adjustRightInd w:val="0"/>
        <w:rPr>
          <w:rFonts w:cs="Calibri"/>
        </w:rPr>
      </w:pPr>
      <w:r>
        <w:rPr>
          <w:rFonts w:cs="Calibri"/>
        </w:rPr>
        <w:t>This speaks to a</w:t>
      </w:r>
      <w:r w:rsidR="0011023E">
        <w:rPr>
          <w:rFonts w:cs="Calibri"/>
        </w:rPr>
        <w:t>t least one</w:t>
      </w:r>
      <w:r w:rsidR="0001429F">
        <w:rPr>
          <w:rFonts w:cs="Calibri"/>
        </w:rPr>
        <w:t xml:space="preserve"> </w:t>
      </w:r>
      <w:r w:rsidR="00BB7CD9">
        <w:rPr>
          <w:rFonts w:cs="Calibri"/>
        </w:rPr>
        <w:t>resounding</w:t>
      </w:r>
      <w:r w:rsidR="0001429F">
        <w:rPr>
          <w:rFonts w:cs="Calibri"/>
        </w:rPr>
        <w:t xml:space="preserve"> continuity in Santayana’s </w:t>
      </w:r>
      <w:r w:rsidR="007756A3">
        <w:rPr>
          <w:rFonts w:cs="Calibri"/>
        </w:rPr>
        <w:t xml:space="preserve">life and </w:t>
      </w:r>
      <w:r w:rsidR="0001429F">
        <w:rPr>
          <w:rFonts w:cs="Calibri"/>
        </w:rPr>
        <w:t xml:space="preserve">work. Santayana was </w:t>
      </w:r>
      <w:r w:rsidR="000C0274">
        <w:rPr>
          <w:rFonts w:cs="Calibri"/>
        </w:rPr>
        <w:t xml:space="preserve">continuously </w:t>
      </w:r>
      <w:r w:rsidR="0001429F">
        <w:rPr>
          <w:rFonts w:cs="Calibri"/>
        </w:rPr>
        <w:t xml:space="preserve">anti-communitarian. </w:t>
      </w:r>
      <w:r w:rsidR="00B10653">
        <w:rPr>
          <w:rFonts w:cs="Calibri"/>
        </w:rPr>
        <w:t>T</w:t>
      </w:r>
      <w:r w:rsidR="0001429F">
        <w:rPr>
          <w:rFonts w:cs="Calibri"/>
        </w:rPr>
        <w:t>his did not surface as much in</w:t>
      </w:r>
      <w:r w:rsidR="004A43C9">
        <w:rPr>
          <w:rFonts w:cs="Calibri"/>
        </w:rPr>
        <w:t xml:space="preserve"> the</w:t>
      </w:r>
      <w:r w:rsidR="0001429F">
        <w:rPr>
          <w:rFonts w:cs="Calibri"/>
        </w:rPr>
        <w:t xml:space="preserve"> </w:t>
      </w:r>
      <w:r w:rsidR="0001429F">
        <w:rPr>
          <w:rFonts w:cs="Calibri"/>
          <w:i/>
        </w:rPr>
        <w:t>Life of Reason</w:t>
      </w:r>
      <w:r w:rsidR="0001429F">
        <w:rPr>
          <w:rFonts w:cs="Calibri"/>
        </w:rPr>
        <w:t xml:space="preserve">, which was intended as an account of how an ideal society might be organized — not politically so much as culturally and ethically. But Santayana’s </w:t>
      </w:r>
      <w:r w:rsidR="0044248E">
        <w:rPr>
          <w:rFonts w:cs="Calibri"/>
        </w:rPr>
        <w:t xml:space="preserve">primary </w:t>
      </w:r>
      <w:r w:rsidR="0001429F">
        <w:rPr>
          <w:rFonts w:cs="Calibri"/>
        </w:rPr>
        <w:t xml:space="preserve">focus on ethics </w:t>
      </w:r>
      <w:r w:rsidR="00502D7C">
        <w:rPr>
          <w:rFonts w:cs="Calibri"/>
        </w:rPr>
        <w:t xml:space="preserve">and society </w:t>
      </w:r>
      <w:r w:rsidR="0001429F">
        <w:rPr>
          <w:rFonts w:cs="Calibri"/>
        </w:rPr>
        <w:t xml:space="preserve">would not </w:t>
      </w:r>
      <w:r w:rsidR="0043561A">
        <w:rPr>
          <w:rFonts w:cs="Calibri"/>
        </w:rPr>
        <w:t xml:space="preserve">long </w:t>
      </w:r>
      <w:r w:rsidR="0001429F">
        <w:rPr>
          <w:rFonts w:cs="Calibri"/>
        </w:rPr>
        <w:t>outlast his departure from Harvard</w:t>
      </w:r>
      <w:r w:rsidR="00E72252">
        <w:rPr>
          <w:rFonts w:cs="Calibri"/>
        </w:rPr>
        <w:t>.</w:t>
      </w:r>
      <w:r w:rsidR="0001429F">
        <w:rPr>
          <w:rFonts w:cs="Calibri"/>
          <w:vertAlign w:val="superscript"/>
        </w:rPr>
        <w:footnoteReference w:id="16"/>
      </w:r>
      <w:r w:rsidR="00E72252">
        <w:rPr>
          <w:rFonts w:cs="Calibri"/>
        </w:rPr>
        <w:t xml:space="preserve"> </w:t>
      </w:r>
      <w:r w:rsidR="0001429F">
        <w:rPr>
          <w:rFonts w:cs="Calibri"/>
        </w:rPr>
        <w:t xml:space="preserve">At this point, his “eventual metanoia” — “the slow change that appeared in my way of living” (PP 422) — was fully taking hold in his anti-communitarianism. </w:t>
      </w:r>
    </w:p>
    <w:p w14:paraId="0765E85C" w14:textId="77777777" w:rsidR="006E38FA" w:rsidRDefault="006E38FA" w:rsidP="00F34357">
      <w:pPr>
        <w:widowControl w:val="0"/>
        <w:tabs>
          <w:tab w:val="left" w:pos="1440"/>
          <w:tab w:val="left" w:pos="2160"/>
          <w:tab w:val="left" w:pos="2880"/>
        </w:tabs>
        <w:autoSpaceDE w:val="0"/>
        <w:autoSpaceDN w:val="0"/>
        <w:adjustRightInd w:val="0"/>
        <w:rPr>
          <w:rFonts w:cs="Calibri"/>
        </w:rPr>
      </w:pPr>
    </w:p>
    <w:p w14:paraId="2A8715AE" w14:textId="2D239FF1" w:rsidR="0001429F" w:rsidRDefault="00B01760" w:rsidP="00F34357">
      <w:pPr>
        <w:widowControl w:val="0"/>
        <w:tabs>
          <w:tab w:val="left" w:pos="1440"/>
          <w:tab w:val="left" w:pos="2160"/>
          <w:tab w:val="left" w:pos="2880"/>
        </w:tabs>
        <w:autoSpaceDE w:val="0"/>
        <w:autoSpaceDN w:val="0"/>
        <w:adjustRightInd w:val="0"/>
        <w:rPr>
          <w:rFonts w:cs="Calibri"/>
        </w:rPr>
      </w:pPr>
      <w:r>
        <w:rPr>
          <w:rFonts w:cs="Calibri"/>
        </w:rPr>
        <w:t xml:space="preserve">And here is where the </w:t>
      </w:r>
      <w:r w:rsidR="00F2313D">
        <w:rPr>
          <w:rFonts w:cs="Calibri"/>
        </w:rPr>
        <w:t xml:space="preserve">real relevance of this </w:t>
      </w:r>
      <w:r w:rsidR="00A77DFD">
        <w:rPr>
          <w:rFonts w:cs="Calibri"/>
        </w:rPr>
        <w:t xml:space="preserve">entire </w:t>
      </w:r>
      <w:r w:rsidR="00F2313D">
        <w:rPr>
          <w:rFonts w:cs="Calibri"/>
        </w:rPr>
        <w:t xml:space="preserve">discussion emerges. </w:t>
      </w:r>
      <w:r w:rsidR="0001429F">
        <w:rPr>
          <w:rFonts w:cs="Calibri"/>
        </w:rPr>
        <w:t>Communities, like ethical practices in general, are not realized in the abstract</w:t>
      </w:r>
      <w:r w:rsidR="00FA11AC">
        <w:rPr>
          <w:rFonts w:cs="Calibri"/>
        </w:rPr>
        <w:t>, a</w:t>
      </w:r>
      <w:r w:rsidR="0001429F">
        <w:rPr>
          <w:rFonts w:cs="Calibri"/>
        </w:rPr>
        <w:t xml:space="preserve">nd one way to interpret the notion of “communitarianism” might be in terms of the specific </w:t>
      </w:r>
      <w:r w:rsidR="00253CB9">
        <w:rPr>
          <w:rFonts w:cs="Calibri"/>
        </w:rPr>
        <w:t xml:space="preserve">community-building </w:t>
      </w:r>
      <w:r w:rsidR="0001429F">
        <w:rPr>
          <w:rFonts w:cs="Calibri"/>
        </w:rPr>
        <w:t>practices one is willing to engage</w:t>
      </w:r>
      <w:r w:rsidR="00942320">
        <w:rPr>
          <w:rFonts w:cs="Calibri"/>
        </w:rPr>
        <w:t xml:space="preserve"> in</w:t>
      </w:r>
      <w:r w:rsidR="00845354">
        <w:rPr>
          <w:rFonts w:cs="Calibri"/>
        </w:rPr>
        <w:t>. W</w:t>
      </w:r>
      <w:r w:rsidR="0001429F">
        <w:rPr>
          <w:rFonts w:cs="Calibri"/>
        </w:rPr>
        <w:t xml:space="preserve">ithin the concrete particularities of one’s own extended social circle, </w:t>
      </w:r>
      <w:r w:rsidR="00845354">
        <w:rPr>
          <w:rFonts w:cs="Calibri"/>
        </w:rPr>
        <w:t xml:space="preserve">these </w:t>
      </w:r>
      <w:r w:rsidR="00C93807">
        <w:rPr>
          <w:rFonts w:cs="Calibri"/>
        </w:rPr>
        <w:lastRenderedPageBreak/>
        <w:t xml:space="preserve">practices </w:t>
      </w:r>
      <w:r w:rsidR="00845354">
        <w:rPr>
          <w:rFonts w:cs="Calibri"/>
        </w:rPr>
        <w:t xml:space="preserve">would be the </w:t>
      </w:r>
      <w:proofErr w:type="gramStart"/>
      <w:r w:rsidR="0001429F">
        <w:rPr>
          <w:rFonts w:cs="Calibri"/>
        </w:rPr>
        <w:t>ways</w:t>
      </w:r>
      <w:proofErr w:type="gramEnd"/>
      <w:r w:rsidR="0001429F">
        <w:rPr>
          <w:rFonts w:cs="Calibri"/>
        </w:rPr>
        <w:t xml:space="preserve"> that might strengthen its neighborly bonds. I’m speaking about more than just social formalities. Certainly Santayana could show dedication to acting out conventional roles of courtesy, often out of a sense of duty and often out of the genuine enjoyment </w:t>
      </w:r>
      <w:r w:rsidR="00493FB0">
        <w:rPr>
          <w:rFonts w:cs="Calibri"/>
        </w:rPr>
        <w:t xml:space="preserve">that </w:t>
      </w:r>
      <w:r w:rsidR="0001429F">
        <w:rPr>
          <w:rFonts w:cs="Calibri"/>
        </w:rPr>
        <w:t>playing that role gave him</w:t>
      </w:r>
      <w:r w:rsidR="00493FB0">
        <w:rPr>
          <w:rFonts w:cs="Calibri"/>
        </w:rPr>
        <w:t>. N</w:t>
      </w:r>
      <w:r w:rsidR="0001429F">
        <w:rPr>
          <w:rFonts w:cs="Calibri"/>
        </w:rPr>
        <w:t>evertheless, enjoying the social role one plays is not the same as forming personal relationship</w:t>
      </w:r>
      <w:r w:rsidR="008E1279">
        <w:rPr>
          <w:rFonts w:cs="Calibri"/>
        </w:rPr>
        <w:t>s</w:t>
      </w:r>
      <w:r w:rsidR="0001429F">
        <w:rPr>
          <w:rFonts w:cs="Calibri"/>
        </w:rPr>
        <w:t xml:space="preserve"> with one’s neighbors. This is the kind of community I have in mind. Increasingly (it seems to me) Santayana was unwilling to enter into more personal emotional connections with almost anyone. </w:t>
      </w:r>
      <w:r w:rsidR="008631DD">
        <w:rPr>
          <w:rFonts w:cs="Calibri"/>
        </w:rPr>
        <w:t>He</w:t>
      </w:r>
      <w:r w:rsidR="0001429F">
        <w:rPr>
          <w:rFonts w:cs="Calibri"/>
        </w:rPr>
        <w:t xml:space="preserve"> lived the life of the mind rather than the life of the community. </w:t>
      </w:r>
    </w:p>
    <w:p w14:paraId="5773398C" w14:textId="77777777" w:rsidR="00E72E3F" w:rsidRPr="00E72E3F" w:rsidRDefault="00E72E3F" w:rsidP="00F34357">
      <w:pPr>
        <w:widowControl w:val="0"/>
        <w:tabs>
          <w:tab w:val="left" w:pos="1440"/>
          <w:tab w:val="left" w:pos="2160"/>
          <w:tab w:val="left" w:pos="2880"/>
        </w:tabs>
        <w:autoSpaceDE w:val="0"/>
        <w:autoSpaceDN w:val="0"/>
        <w:adjustRightInd w:val="0"/>
        <w:rPr>
          <w:rFonts w:cs="Calibri"/>
          <w:sz w:val="12"/>
          <w:szCs w:val="12"/>
        </w:rPr>
      </w:pPr>
    </w:p>
    <w:p w14:paraId="7D323601" w14:textId="5B68E376" w:rsidR="00B41BC0" w:rsidRDefault="0001429F" w:rsidP="00F34357">
      <w:pPr>
        <w:widowControl w:val="0"/>
        <w:tabs>
          <w:tab w:val="left" w:pos="1440"/>
          <w:tab w:val="left" w:pos="2160"/>
          <w:tab w:val="left" w:pos="2880"/>
        </w:tabs>
        <w:autoSpaceDE w:val="0"/>
        <w:autoSpaceDN w:val="0"/>
        <w:adjustRightInd w:val="0"/>
        <w:rPr>
          <w:rFonts w:cs="Calibri"/>
        </w:rPr>
      </w:pPr>
      <w:r>
        <w:rPr>
          <w:rFonts w:cs="Calibri"/>
        </w:rPr>
        <w:t>I’ve argued elsewhere</w:t>
      </w:r>
      <w:r>
        <w:rPr>
          <w:rFonts w:cs="Calibri"/>
          <w:vertAlign w:val="superscript"/>
        </w:rPr>
        <w:footnoteReference w:id="17"/>
      </w:r>
      <w:r w:rsidR="005A4759">
        <w:rPr>
          <w:rFonts w:cs="Calibri"/>
        </w:rPr>
        <w:t xml:space="preserve"> </w:t>
      </w:r>
      <w:r>
        <w:rPr>
          <w:rFonts w:cs="Calibri"/>
        </w:rPr>
        <w:t xml:space="preserve">that Santayana’s self-described metanoia was only a partially accurate reflection of his actual life after 1893. His autobiography, which provides us with the most detailed account of that, was composed at least forty years after the fact (Saatkamp, 2018, 4), and reflects how Santayana thought of himself after decades of hard-won self-discipline. But he </w:t>
      </w:r>
      <w:r w:rsidR="00E96F79">
        <w:rPr>
          <w:rFonts w:cs="Calibri"/>
        </w:rPr>
        <w:t>does not</w:t>
      </w:r>
      <w:r>
        <w:rPr>
          <w:rFonts w:cs="Calibri"/>
        </w:rPr>
        <w:t xml:space="preserve"> say much about those difficulties, </w:t>
      </w:r>
      <w:r w:rsidR="00B22C22">
        <w:rPr>
          <w:rFonts w:cs="Calibri"/>
        </w:rPr>
        <w:t xml:space="preserve">perhaps </w:t>
      </w:r>
      <w:r>
        <w:rPr>
          <w:rFonts w:cs="Calibri"/>
        </w:rPr>
        <w:t xml:space="preserve">because he has </w:t>
      </w:r>
      <w:r w:rsidR="00E14956">
        <w:rPr>
          <w:rFonts w:cs="Calibri"/>
        </w:rPr>
        <w:t>his own reasons</w:t>
      </w:r>
      <w:r>
        <w:rPr>
          <w:rFonts w:cs="Calibri"/>
        </w:rPr>
        <w:t xml:space="preserve"> </w:t>
      </w:r>
      <w:r w:rsidR="004E042D">
        <w:rPr>
          <w:rFonts w:cs="Calibri"/>
        </w:rPr>
        <w:t xml:space="preserve">for </w:t>
      </w:r>
      <w:r>
        <w:rPr>
          <w:rFonts w:cs="Calibri"/>
        </w:rPr>
        <w:t xml:space="preserve">gliding over the challenges he must have faced. Or else maybe his memory simply lost track of them. In either case, all through the autobiography he is reiterating (to himself as much as anyone) the equanimity he has achieved. </w:t>
      </w:r>
      <w:r w:rsidR="008926B5">
        <w:rPr>
          <w:rFonts w:cs="Calibri"/>
        </w:rPr>
        <w:t xml:space="preserve">But </w:t>
      </w:r>
      <w:r>
        <w:rPr>
          <w:rFonts w:cs="Calibri"/>
        </w:rPr>
        <w:t>I think a sober reading of his account suggests that (knowingly or not) he</w:t>
      </w:r>
      <w:r w:rsidR="004E5665">
        <w:rPr>
          <w:rFonts w:cs="Calibri"/>
        </w:rPr>
        <w:t xml:space="preserve"> is</w:t>
      </w:r>
      <w:r>
        <w:rPr>
          <w:rFonts w:cs="Calibri"/>
        </w:rPr>
        <w:t xml:space="preserve"> indulging in fictive literary narrative. Of course, saying this is indulging in our own version of literary psychology, but</w:t>
      </w:r>
      <w:r w:rsidR="00806299">
        <w:rPr>
          <w:rFonts w:cs="Calibri"/>
        </w:rPr>
        <w:t xml:space="preserve"> Santayana assures us that we have no other choice</w:t>
      </w:r>
      <w:r w:rsidR="00B051AA">
        <w:rPr>
          <w:rStyle w:val="FootnoteReference"/>
          <w:rFonts w:cs="Calibri"/>
        </w:rPr>
        <w:footnoteReference w:id="18"/>
      </w:r>
      <w:r w:rsidR="00806299">
        <w:rPr>
          <w:rFonts w:cs="Calibri"/>
        </w:rPr>
        <w:t xml:space="preserve">; </w:t>
      </w:r>
      <w:r w:rsidR="00A66ABA">
        <w:rPr>
          <w:rFonts w:cs="Calibri"/>
        </w:rPr>
        <w:t>and</w:t>
      </w:r>
      <w:r>
        <w:rPr>
          <w:rFonts w:cs="Calibri"/>
        </w:rPr>
        <w:t xml:space="preserve"> I suspect we might be able to improve </w:t>
      </w:r>
      <w:r w:rsidR="005676BC">
        <w:rPr>
          <w:rFonts w:cs="Calibri"/>
        </w:rPr>
        <w:t xml:space="preserve">a little </w:t>
      </w:r>
      <w:r>
        <w:rPr>
          <w:rFonts w:cs="Calibri"/>
        </w:rPr>
        <w:t>on Santayana’s account</w:t>
      </w:r>
      <w:r w:rsidR="005676BC">
        <w:rPr>
          <w:rFonts w:cs="Calibri"/>
        </w:rPr>
        <w:t xml:space="preserve"> if</w:t>
      </w:r>
      <w:r w:rsidR="00830FFC">
        <w:rPr>
          <w:rFonts w:cs="Calibri"/>
        </w:rPr>
        <w:t>, with this in mind,</w:t>
      </w:r>
      <w:r w:rsidR="005676BC">
        <w:rPr>
          <w:rFonts w:cs="Calibri"/>
        </w:rPr>
        <w:t xml:space="preserve"> we try</w:t>
      </w:r>
      <w:r>
        <w:rPr>
          <w:rFonts w:cs="Calibri"/>
        </w:rPr>
        <w:t xml:space="preserve"> to reconstruct the younger man he once </w:t>
      </w:r>
      <w:r w:rsidR="005676BC">
        <w:rPr>
          <w:rFonts w:cs="Calibri"/>
        </w:rPr>
        <w:t>must have been.</w:t>
      </w:r>
      <w:r>
        <w:rPr>
          <w:rFonts w:cs="Calibri"/>
        </w:rPr>
        <w:t xml:space="preserve"> </w:t>
      </w:r>
    </w:p>
    <w:p w14:paraId="0A67A565" w14:textId="77777777" w:rsidR="00B41BC0" w:rsidRDefault="00B41BC0" w:rsidP="00F34357">
      <w:pPr>
        <w:widowControl w:val="0"/>
        <w:tabs>
          <w:tab w:val="left" w:pos="1440"/>
          <w:tab w:val="left" w:pos="2160"/>
          <w:tab w:val="left" w:pos="2880"/>
        </w:tabs>
        <w:autoSpaceDE w:val="0"/>
        <w:autoSpaceDN w:val="0"/>
        <w:adjustRightInd w:val="0"/>
        <w:rPr>
          <w:rFonts w:cs="Calibri"/>
          <w:sz w:val="16"/>
          <w:szCs w:val="16"/>
        </w:rPr>
      </w:pPr>
    </w:p>
    <w:p w14:paraId="26BB9B57" w14:textId="098AFA8D" w:rsidR="00923DC7" w:rsidRDefault="009045B8" w:rsidP="00F34357">
      <w:pPr>
        <w:widowControl w:val="0"/>
        <w:tabs>
          <w:tab w:val="left" w:pos="1440"/>
          <w:tab w:val="left" w:pos="2160"/>
          <w:tab w:val="left" w:pos="2880"/>
        </w:tabs>
        <w:autoSpaceDE w:val="0"/>
        <w:autoSpaceDN w:val="0"/>
        <w:adjustRightInd w:val="0"/>
        <w:rPr>
          <w:rFonts w:cs="Calibri"/>
          <w:color w:val="000000"/>
        </w:rPr>
      </w:pPr>
      <w:r>
        <w:rPr>
          <w:rFonts w:cs="Calibri"/>
        </w:rPr>
        <w:t>To put it bluntly, t</w:t>
      </w:r>
      <w:r w:rsidR="000F26D8">
        <w:rPr>
          <w:rFonts w:cs="Calibri"/>
        </w:rPr>
        <w:t>he story of</w:t>
      </w:r>
      <w:r w:rsidR="00B41BC0">
        <w:rPr>
          <w:rFonts w:cs="Calibri"/>
        </w:rPr>
        <w:t xml:space="preserve"> Santayana’s </w:t>
      </w:r>
      <w:r w:rsidR="000F26D8">
        <w:rPr>
          <w:rFonts w:cs="Calibri"/>
        </w:rPr>
        <w:t xml:space="preserve">own </w:t>
      </w:r>
      <w:r w:rsidR="007748DA">
        <w:rPr>
          <w:rFonts w:cs="Calibri"/>
        </w:rPr>
        <w:t>family</w:t>
      </w:r>
      <w:r w:rsidR="00B41BC0">
        <w:rPr>
          <w:rFonts w:cs="Calibri"/>
        </w:rPr>
        <w:t xml:space="preserve"> foretells </w:t>
      </w:r>
      <w:r w:rsidR="00FB79B5">
        <w:rPr>
          <w:rFonts w:cs="Calibri"/>
        </w:rPr>
        <w:t>a man</w:t>
      </w:r>
      <w:r w:rsidR="00116862">
        <w:rPr>
          <w:rFonts w:cs="Calibri"/>
        </w:rPr>
        <w:t xml:space="preserve"> </w:t>
      </w:r>
      <w:r w:rsidR="00DB3F1D">
        <w:rPr>
          <w:rFonts w:cs="Calibri"/>
        </w:rPr>
        <w:t xml:space="preserve">bereft of </w:t>
      </w:r>
      <w:r w:rsidR="00010D33">
        <w:rPr>
          <w:rFonts w:cs="Calibri"/>
        </w:rPr>
        <w:t>some</w:t>
      </w:r>
      <w:r w:rsidR="00C65B30">
        <w:rPr>
          <w:rFonts w:cs="Calibri"/>
        </w:rPr>
        <w:t xml:space="preserve"> degree of</w:t>
      </w:r>
      <w:r w:rsidR="000010A0">
        <w:rPr>
          <w:rFonts w:cs="Calibri"/>
        </w:rPr>
        <w:t xml:space="preserve"> </w:t>
      </w:r>
      <w:r w:rsidR="00DB3F1D">
        <w:rPr>
          <w:rFonts w:cs="Calibri"/>
        </w:rPr>
        <w:t xml:space="preserve">humanness. </w:t>
      </w:r>
      <w:r w:rsidR="0001429F">
        <w:rPr>
          <w:rFonts w:cs="Calibri"/>
        </w:rPr>
        <w:t xml:space="preserve">The literary critic Joseph Epstein once wrote that Santayana did not have to cultivate detachment: he was born with it, “the way other people are born with, say, large feet” (Epstein, 1989, 321). This may not have been a serious remark, but if it was, </w:t>
      </w:r>
      <w:r w:rsidR="00EE3D25">
        <w:rPr>
          <w:rFonts w:cs="Calibri"/>
        </w:rPr>
        <w:t>it must be</w:t>
      </w:r>
      <w:r w:rsidR="0001429F">
        <w:rPr>
          <w:rFonts w:cs="Calibri"/>
        </w:rPr>
        <w:t xml:space="preserve"> wildly off the mark. </w:t>
      </w:r>
      <w:r w:rsidR="00595266">
        <w:rPr>
          <w:rFonts w:cs="Calibri"/>
        </w:rPr>
        <w:t>The proble</w:t>
      </w:r>
      <w:r w:rsidR="00C77645">
        <w:rPr>
          <w:rFonts w:cs="Calibri"/>
        </w:rPr>
        <w:t>m</w:t>
      </w:r>
      <w:r w:rsidR="00595266">
        <w:rPr>
          <w:rFonts w:cs="Calibri"/>
        </w:rPr>
        <w:t xml:space="preserve"> was</w:t>
      </w:r>
      <w:r w:rsidR="00AA7A26">
        <w:rPr>
          <w:rFonts w:cs="Calibri"/>
        </w:rPr>
        <w:t xml:space="preserve"> not his genes but</w:t>
      </w:r>
      <w:r w:rsidR="00595266">
        <w:rPr>
          <w:rFonts w:cs="Calibri"/>
        </w:rPr>
        <w:t xml:space="preserve"> his family. </w:t>
      </w:r>
      <w:r w:rsidR="0001429F">
        <w:rPr>
          <w:rFonts w:cs="Calibri"/>
        </w:rPr>
        <w:t>Santayana’s own family was painfully dysfunctional</w:t>
      </w:r>
      <w:r w:rsidR="00584ACD">
        <w:rPr>
          <w:rFonts w:cs="Calibri"/>
        </w:rPr>
        <w:t>.</w:t>
      </w:r>
      <w:r w:rsidR="001731EF">
        <w:rPr>
          <w:rFonts w:cs="Calibri"/>
        </w:rPr>
        <w:t xml:space="preserve"> His mother left him together with </w:t>
      </w:r>
      <w:r w:rsidR="00B711B4">
        <w:rPr>
          <w:rFonts w:cs="Calibri"/>
        </w:rPr>
        <w:t>his sister Susana “to pick</w:t>
      </w:r>
      <w:r w:rsidR="00397690">
        <w:rPr>
          <w:rFonts w:cs="Calibri"/>
        </w:rPr>
        <w:t xml:space="preserve"> </w:t>
      </w:r>
      <w:r w:rsidR="00B711B4">
        <w:rPr>
          <w:rFonts w:cs="Calibri"/>
        </w:rPr>
        <w:t>our way through the world by our own native wits, without adequate means or preparation</w:t>
      </w:r>
      <w:r w:rsidR="009409F8">
        <w:rPr>
          <w:rFonts w:cs="Calibri"/>
        </w:rPr>
        <w:t xml:space="preserve">, and without any sympathy on her side” (PP 333). His </w:t>
      </w:r>
      <w:r w:rsidR="00397690">
        <w:rPr>
          <w:rFonts w:cs="Calibri"/>
        </w:rPr>
        <w:t>f</w:t>
      </w:r>
      <w:r w:rsidR="009409F8">
        <w:rPr>
          <w:rFonts w:cs="Calibri"/>
        </w:rPr>
        <w:t xml:space="preserve">ather, largely absent </w:t>
      </w:r>
      <w:r w:rsidR="00D80F5A">
        <w:rPr>
          <w:rFonts w:cs="Calibri"/>
        </w:rPr>
        <w:t xml:space="preserve">except for summer visits from George, </w:t>
      </w:r>
      <w:r w:rsidR="00DC5626">
        <w:rPr>
          <w:rFonts w:cs="Calibri"/>
        </w:rPr>
        <w:t xml:space="preserve">became </w:t>
      </w:r>
      <w:r w:rsidR="00DC5626">
        <w:rPr>
          <w:rFonts w:cs="Calibri"/>
          <w:color w:val="000000"/>
        </w:rPr>
        <w:t>“a hypochondriac, always watching his symptoms, and fearing that death was at hand” (PP 27)</w:t>
      </w:r>
      <w:r w:rsidR="0090013A">
        <w:rPr>
          <w:rFonts w:cs="Calibri"/>
          <w:color w:val="000000"/>
        </w:rPr>
        <w:t>.</w:t>
      </w:r>
      <w:r w:rsidR="0026187B">
        <w:rPr>
          <w:rFonts w:cs="Calibri"/>
          <w:color w:val="000000"/>
        </w:rPr>
        <w:t xml:space="preserve"> </w:t>
      </w:r>
      <w:r w:rsidR="003B249B">
        <w:rPr>
          <w:rFonts w:cs="Calibri"/>
          <w:color w:val="000000"/>
        </w:rPr>
        <w:t>Through it all, “</w:t>
      </w:r>
      <w:r w:rsidR="00D44F8B">
        <w:rPr>
          <w:rFonts w:cs="Calibri"/>
          <w:color w:val="000000"/>
        </w:rPr>
        <w:t>a</w:t>
      </w:r>
      <w:r w:rsidR="003B249B">
        <w:rPr>
          <w:rFonts w:cs="Calibri"/>
          <w:color w:val="000000"/>
        </w:rPr>
        <w:t xml:space="preserve"> real father in my case was lacking, and the real mother was my sister Susana” (PP 248)</w:t>
      </w:r>
      <w:r w:rsidR="00991ED2">
        <w:rPr>
          <w:rFonts w:cs="Calibri"/>
          <w:color w:val="000000"/>
        </w:rPr>
        <w:t>.</w:t>
      </w:r>
      <w:r w:rsidR="00DC5626">
        <w:rPr>
          <w:rFonts w:cs="Calibri"/>
          <w:color w:val="000000"/>
        </w:rPr>
        <w:t xml:space="preserve"> </w:t>
      </w:r>
      <w:r w:rsidR="00036070">
        <w:rPr>
          <w:rFonts w:cs="Calibri"/>
          <w:color w:val="000000"/>
        </w:rPr>
        <w:t xml:space="preserve">But </w:t>
      </w:r>
      <w:r w:rsidR="00671AFF">
        <w:rPr>
          <w:rFonts w:cs="Calibri"/>
          <w:color w:val="000000"/>
        </w:rPr>
        <w:t>finally</w:t>
      </w:r>
      <w:r w:rsidR="00036070">
        <w:rPr>
          <w:rFonts w:cs="Calibri"/>
          <w:color w:val="000000"/>
        </w:rPr>
        <w:t xml:space="preserve"> even this semblance of stability was yanked away. When Susana decided to marry an entirely unsuitable prospect (the “third event” of his awakened metanoia), this “struck perhaps even deeper into my conscience” than the death of either his father or Warwick Potter. This he saw as “an act of desperation on her part, a redoubled proof of her weakness” and showed that “she, who had given the first impulse to my speculative life, had never had any speculative or mystical insight. …This was a sad disillusion for me in regard to the person to whom I was most attached” (PP </w:t>
      </w:r>
      <w:r w:rsidR="00036070">
        <w:rPr>
          <w:rFonts w:cs="Calibri"/>
          <w:color w:val="000000"/>
          <w:sz w:val="22"/>
          <w:szCs w:val="22"/>
        </w:rPr>
        <w:t>424-25</w:t>
      </w:r>
      <w:r w:rsidR="00036070">
        <w:rPr>
          <w:rFonts w:cs="Calibri"/>
          <w:color w:val="000000"/>
        </w:rPr>
        <w:t xml:space="preserve">). The world had fooled </w:t>
      </w:r>
      <w:r w:rsidR="00671AFF">
        <w:rPr>
          <w:rFonts w:cs="Calibri"/>
          <w:color w:val="000000"/>
        </w:rPr>
        <w:t>George Santayana</w:t>
      </w:r>
      <w:r w:rsidR="00036070">
        <w:rPr>
          <w:rFonts w:cs="Calibri"/>
          <w:color w:val="000000"/>
        </w:rPr>
        <w:t xml:space="preserve"> for the very last time. </w:t>
      </w:r>
    </w:p>
    <w:p w14:paraId="6C3E8E26" w14:textId="77777777" w:rsidR="004733FE" w:rsidRDefault="004733FE" w:rsidP="00F34357">
      <w:pPr>
        <w:widowControl w:val="0"/>
        <w:tabs>
          <w:tab w:val="left" w:pos="1440"/>
          <w:tab w:val="left" w:pos="2160"/>
          <w:tab w:val="left" w:pos="2880"/>
        </w:tabs>
        <w:autoSpaceDE w:val="0"/>
        <w:autoSpaceDN w:val="0"/>
        <w:adjustRightInd w:val="0"/>
        <w:rPr>
          <w:rFonts w:cs="Calibri"/>
          <w:color w:val="000000"/>
        </w:rPr>
      </w:pPr>
    </w:p>
    <w:p w14:paraId="62C4983B" w14:textId="1CED31C8" w:rsidR="00DC5626" w:rsidRDefault="00DC5626" w:rsidP="00F34357">
      <w:pPr>
        <w:widowControl w:val="0"/>
        <w:tabs>
          <w:tab w:val="left" w:pos="1440"/>
          <w:tab w:val="left" w:pos="2160"/>
          <w:tab w:val="left" w:pos="2880"/>
        </w:tabs>
        <w:autoSpaceDE w:val="0"/>
        <w:autoSpaceDN w:val="0"/>
        <w:adjustRightInd w:val="0"/>
        <w:rPr>
          <w:rFonts w:cs="Calibri"/>
        </w:rPr>
      </w:pPr>
      <w:r>
        <w:rPr>
          <w:rFonts w:cs="Calibri"/>
        </w:rPr>
        <w:lastRenderedPageBreak/>
        <w:t xml:space="preserve">In short, </w:t>
      </w:r>
      <w:r w:rsidR="00A449DE">
        <w:rPr>
          <w:rFonts w:cs="Calibri"/>
        </w:rPr>
        <w:t>our reconstruction here reads almost like a novel out of Thomas Hardy</w:t>
      </w:r>
      <w:r w:rsidR="00E52414">
        <w:rPr>
          <w:rFonts w:cs="Calibri"/>
        </w:rPr>
        <w:t>, where</w:t>
      </w:r>
      <w:r w:rsidR="00FC3CAE">
        <w:rPr>
          <w:rFonts w:cs="Calibri"/>
        </w:rPr>
        <w:t xml:space="preserve"> </w:t>
      </w:r>
      <w:r w:rsidR="00E52414">
        <w:rPr>
          <w:rFonts w:cs="Calibri"/>
        </w:rPr>
        <w:t xml:space="preserve">the main character </w:t>
      </w:r>
      <w:r w:rsidR="00330883">
        <w:rPr>
          <w:rFonts w:cs="Calibri"/>
        </w:rPr>
        <w:t xml:space="preserve">announces that </w:t>
      </w:r>
      <w:r w:rsidR="00FD0F50">
        <w:rPr>
          <w:rFonts w:cs="Calibri"/>
        </w:rPr>
        <w:t>“</w:t>
      </w:r>
      <w:r w:rsidR="00023A63" w:rsidRPr="00023A63">
        <w:rPr>
          <w:rFonts w:cs="Calibri"/>
        </w:rPr>
        <w:t>I opened my eyes on the world with the conviction that it was inhuman: not meant for man, but habitable by him, and possible to exploit, with prudence, in innumerable ways: a conviction that everything ever since has confirmed</w:t>
      </w:r>
      <w:r w:rsidR="00FD0F50">
        <w:rPr>
          <w:rFonts w:cs="Calibri"/>
        </w:rPr>
        <w:t xml:space="preserve">” </w:t>
      </w:r>
      <w:r w:rsidR="00B90B1A">
        <w:rPr>
          <w:rFonts w:cs="Calibri"/>
        </w:rPr>
        <w:t xml:space="preserve">(PP </w:t>
      </w:r>
      <w:r w:rsidR="00CC3325">
        <w:rPr>
          <w:rFonts w:cs="Calibri"/>
        </w:rPr>
        <w:t>537)</w:t>
      </w:r>
      <w:r w:rsidR="00023A63" w:rsidRPr="00023A63">
        <w:rPr>
          <w:rFonts w:cs="Calibri"/>
        </w:rPr>
        <w:t xml:space="preserve">. </w:t>
      </w:r>
      <w:r w:rsidR="00A449DE">
        <w:rPr>
          <w:rFonts w:cs="Calibri"/>
        </w:rPr>
        <w:t>T</w:t>
      </w:r>
      <w:r>
        <w:rPr>
          <w:rFonts w:cs="Calibri"/>
        </w:rPr>
        <w:t xml:space="preserve">here was little basis in his own experience for the aspect of personal, emotionally based relationships </w:t>
      </w:r>
      <w:r w:rsidR="0044135B">
        <w:rPr>
          <w:rFonts w:cs="Calibri"/>
        </w:rPr>
        <w:t>which</w:t>
      </w:r>
      <w:r w:rsidR="00C830CD">
        <w:rPr>
          <w:rFonts w:cs="Calibri"/>
        </w:rPr>
        <w:t>,</w:t>
      </w:r>
      <w:r>
        <w:rPr>
          <w:rFonts w:cs="Calibri"/>
        </w:rPr>
        <w:t xml:space="preserve"> </w:t>
      </w:r>
      <w:r w:rsidR="0044135B">
        <w:rPr>
          <w:rFonts w:cs="Calibri"/>
        </w:rPr>
        <w:t xml:space="preserve">for some of us </w:t>
      </w:r>
      <w:r w:rsidR="00CA1E7A">
        <w:rPr>
          <w:rFonts w:cs="Calibri"/>
        </w:rPr>
        <w:t>a cen</w:t>
      </w:r>
      <w:r w:rsidR="00923DC7">
        <w:rPr>
          <w:rFonts w:cs="Calibri"/>
        </w:rPr>
        <w:t>tury</w:t>
      </w:r>
      <w:r>
        <w:rPr>
          <w:rFonts w:cs="Calibri"/>
        </w:rPr>
        <w:t xml:space="preserve"> later, have become the most natural expression of community life.</w:t>
      </w:r>
      <w:r w:rsidR="00A45994">
        <w:rPr>
          <w:rFonts w:cs="Calibri"/>
        </w:rPr>
        <w:t xml:space="preserve"> </w:t>
      </w:r>
      <w:r w:rsidR="00BF5E82">
        <w:rPr>
          <w:rFonts w:cs="Calibri"/>
        </w:rPr>
        <w:t>This</w:t>
      </w:r>
      <w:r w:rsidR="008E09DB">
        <w:rPr>
          <w:rFonts w:cs="Calibri"/>
        </w:rPr>
        <w:t xml:space="preserve"> side of George </w:t>
      </w:r>
      <w:r w:rsidR="0057078E">
        <w:rPr>
          <w:rFonts w:cs="Calibri"/>
        </w:rPr>
        <w:t xml:space="preserve">Santayana never had a chance. </w:t>
      </w:r>
    </w:p>
    <w:p w14:paraId="2A8715B0" w14:textId="19B33382" w:rsidR="0001429F" w:rsidRDefault="00DC5626" w:rsidP="00F34357">
      <w:pPr>
        <w:widowControl w:val="0"/>
        <w:tabs>
          <w:tab w:val="left" w:pos="1440"/>
          <w:tab w:val="left" w:pos="2160"/>
          <w:tab w:val="left" w:pos="2880"/>
        </w:tabs>
        <w:autoSpaceDE w:val="0"/>
        <w:autoSpaceDN w:val="0"/>
        <w:adjustRightInd w:val="0"/>
        <w:rPr>
          <w:rFonts w:cs="Calibri"/>
        </w:rPr>
      </w:pPr>
      <w:r>
        <w:rPr>
          <w:rFonts w:cs="Calibri"/>
        </w:rPr>
        <w:t xml:space="preserve"> </w:t>
      </w:r>
    </w:p>
    <w:p w14:paraId="2A8715B1" w14:textId="4977C00F" w:rsidR="0001429F" w:rsidRDefault="003C0A8B" w:rsidP="00F34357">
      <w:pPr>
        <w:widowControl w:val="0"/>
        <w:tabs>
          <w:tab w:val="left" w:pos="1440"/>
          <w:tab w:val="left" w:pos="2160"/>
          <w:tab w:val="left" w:pos="2880"/>
        </w:tabs>
        <w:autoSpaceDE w:val="0"/>
        <w:autoSpaceDN w:val="0"/>
        <w:adjustRightInd w:val="0"/>
        <w:rPr>
          <w:rFonts w:cs="Calibri"/>
        </w:rPr>
      </w:pPr>
      <w:r>
        <w:rPr>
          <w:rFonts w:cs="Calibri"/>
        </w:rPr>
        <w:t>Of</w:t>
      </w:r>
      <w:r w:rsidR="0001429F">
        <w:rPr>
          <w:rFonts w:cs="Calibri"/>
        </w:rPr>
        <w:t xml:space="preserve"> course Santayana had a number of “friends</w:t>
      </w:r>
      <w:r w:rsidR="006068DE">
        <w:rPr>
          <w:rFonts w:cs="Calibri"/>
        </w:rPr>
        <w:t>,</w:t>
      </w:r>
      <w:r w:rsidR="0001429F">
        <w:rPr>
          <w:rFonts w:cs="Calibri"/>
        </w:rPr>
        <w:t>” and some he called “true friends” — especially Albert von Westenholz (PP 261) — but these seem to have been mostly those who were open to new and interesting ideas, through a “just” and “charitable” hospitality of mind (PP 177). But “justice” or “charity” in this sense is more about responding to impersonal concepts than responding to individual persons, and the notion that individuals could be admirable for</w:t>
      </w:r>
      <w:r w:rsidR="001131A4">
        <w:rPr>
          <w:rFonts w:cs="Calibri"/>
        </w:rPr>
        <w:t xml:space="preserve"> any </w:t>
      </w:r>
      <w:r w:rsidR="0001429F">
        <w:rPr>
          <w:rFonts w:cs="Calibri"/>
        </w:rPr>
        <w:t xml:space="preserve">excellences of character that did not happen to fit Santayana’s own rather patrician ideals </w:t>
      </w:r>
      <w:r w:rsidR="00D67EF0">
        <w:rPr>
          <w:rFonts w:cs="Calibri"/>
        </w:rPr>
        <w:t>must no</w:t>
      </w:r>
      <w:r w:rsidR="000278B9">
        <w:rPr>
          <w:rFonts w:cs="Calibri"/>
        </w:rPr>
        <w:t>t</w:t>
      </w:r>
      <w:r w:rsidR="00D67EF0">
        <w:rPr>
          <w:rFonts w:cs="Calibri"/>
        </w:rPr>
        <w:t xml:space="preserve"> have</w:t>
      </w:r>
      <w:r w:rsidR="0001429F">
        <w:rPr>
          <w:rFonts w:cs="Calibri"/>
        </w:rPr>
        <w:t xml:space="preserve"> figure</w:t>
      </w:r>
      <w:r w:rsidR="00D67EF0">
        <w:rPr>
          <w:rFonts w:cs="Calibri"/>
        </w:rPr>
        <w:t>d</w:t>
      </w:r>
      <w:r w:rsidR="0001429F">
        <w:rPr>
          <w:rFonts w:cs="Calibri"/>
        </w:rPr>
        <w:t xml:space="preserve"> uppermost in his assessment of </w:t>
      </w:r>
      <w:r w:rsidR="008A73CC">
        <w:rPr>
          <w:rFonts w:cs="Calibri"/>
        </w:rPr>
        <w:t>others</w:t>
      </w:r>
      <w:r w:rsidR="0001429F">
        <w:rPr>
          <w:rFonts w:cs="Calibri"/>
        </w:rPr>
        <w:t>. I don’t mean here that he insisted on others’ agreeing with his ideas (he certainly did not); but rather, his understanding of others had everything to do with the essences that he was willing to entertain</w:t>
      </w:r>
      <w:r w:rsidR="00140EEF">
        <w:rPr>
          <w:rFonts w:cs="Calibri"/>
        </w:rPr>
        <w:t>.</w:t>
      </w:r>
      <w:r w:rsidR="000C5597">
        <w:rPr>
          <w:rFonts w:cs="Calibri"/>
        </w:rPr>
        <w:t xml:space="preserve"> Why is this important? Because </w:t>
      </w:r>
      <w:r w:rsidR="0001429F">
        <w:rPr>
          <w:rFonts w:cs="Calibri"/>
        </w:rPr>
        <w:t>for Santayana, as for the rest of us</w:t>
      </w:r>
      <w:r w:rsidR="003C3F73">
        <w:rPr>
          <w:rFonts w:cs="Calibri"/>
        </w:rPr>
        <w:t xml:space="preserve">, </w:t>
      </w:r>
      <w:r w:rsidR="0001429F">
        <w:rPr>
          <w:rFonts w:cs="Calibri"/>
        </w:rPr>
        <w:t>emotional connection with others could</w:t>
      </w:r>
      <w:r w:rsidR="00477519">
        <w:rPr>
          <w:rFonts w:cs="Calibri"/>
        </w:rPr>
        <w:t>,</w:t>
      </w:r>
      <w:r w:rsidR="0001429F">
        <w:rPr>
          <w:rFonts w:cs="Calibri"/>
        </w:rPr>
        <w:t xml:space="preserve"> </w:t>
      </w:r>
      <w:r w:rsidR="002C424B">
        <w:rPr>
          <w:rFonts w:cs="Calibri"/>
        </w:rPr>
        <w:t>conceivably</w:t>
      </w:r>
      <w:r w:rsidR="005272A2">
        <w:rPr>
          <w:rFonts w:cs="Calibri"/>
        </w:rPr>
        <w:t>,</w:t>
      </w:r>
      <w:r w:rsidR="002C424B">
        <w:rPr>
          <w:rFonts w:cs="Calibri"/>
        </w:rPr>
        <w:t xml:space="preserve"> </w:t>
      </w:r>
      <w:r w:rsidR="005272A2">
        <w:rPr>
          <w:rFonts w:cs="Calibri"/>
        </w:rPr>
        <w:t>have been</w:t>
      </w:r>
      <w:r w:rsidR="0001429F">
        <w:rPr>
          <w:rFonts w:cs="Calibri"/>
        </w:rPr>
        <w:t xml:space="preserve"> a prime source for</w:t>
      </w:r>
      <w:r w:rsidR="0001429F">
        <w:rPr>
          <w:rFonts w:cs="Calibri"/>
          <w:b/>
        </w:rPr>
        <w:t xml:space="preserve"> </w:t>
      </w:r>
      <w:r w:rsidR="0001429F">
        <w:rPr>
          <w:rFonts w:cs="Calibri"/>
          <w:color w:val="000000"/>
        </w:rPr>
        <w:t xml:space="preserve">one’s own personal growth and </w:t>
      </w:r>
      <w:r w:rsidR="005272A2">
        <w:rPr>
          <w:rFonts w:cs="Calibri"/>
          <w:color w:val="000000"/>
        </w:rPr>
        <w:t>could have led</w:t>
      </w:r>
      <w:r w:rsidR="0001429F">
        <w:rPr>
          <w:rFonts w:cs="Calibri"/>
          <w:color w:val="000000"/>
        </w:rPr>
        <w:t xml:space="preserve"> </w:t>
      </w:r>
      <w:r w:rsidR="009C7D9A">
        <w:rPr>
          <w:rFonts w:cs="Calibri"/>
          <w:color w:val="000000"/>
        </w:rPr>
        <w:t xml:space="preserve">him </w:t>
      </w:r>
      <w:r w:rsidR="0001429F">
        <w:rPr>
          <w:rFonts w:cs="Calibri"/>
          <w:color w:val="000000"/>
        </w:rPr>
        <w:t xml:space="preserve">to essences that </w:t>
      </w:r>
      <w:r w:rsidR="00A57C33">
        <w:rPr>
          <w:rFonts w:cs="Calibri"/>
          <w:color w:val="000000"/>
        </w:rPr>
        <w:t>were not</w:t>
      </w:r>
      <w:r w:rsidR="00923CE4">
        <w:rPr>
          <w:rFonts w:cs="Calibri"/>
          <w:color w:val="000000"/>
        </w:rPr>
        <w:t xml:space="preserve">, </w:t>
      </w:r>
      <w:r w:rsidR="002A7D9C">
        <w:rPr>
          <w:rFonts w:cs="Calibri"/>
          <w:color w:val="000000"/>
        </w:rPr>
        <w:t>for</w:t>
      </w:r>
      <w:r w:rsidR="00923CE4">
        <w:rPr>
          <w:rFonts w:cs="Calibri"/>
          <w:color w:val="000000"/>
        </w:rPr>
        <w:t xml:space="preserve"> him,</w:t>
      </w:r>
      <w:r w:rsidR="00A57C33">
        <w:rPr>
          <w:rFonts w:cs="Calibri"/>
          <w:color w:val="000000"/>
        </w:rPr>
        <w:t xml:space="preserve"> </w:t>
      </w:r>
      <w:r w:rsidR="002A7D9C">
        <w:rPr>
          <w:rFonts w:cs="Calibri"/>
          <w:color w:val="000000"/>
        </w:rPr>
        <w:t xml:space="preserve">the </w:t>
      </w:r>
      <w:r w:rsidR="00152D98">
        <w:rPr>
          <w:rFonts w:cs="Calibri"/>
          <w:color w:val="000000"/>
        </w:rPr>
        <w:t>most readily accessible</w:t>
      </w:r>
      <w:r w:rsidR="0001429F">
        <w:rPr>
          <w:rFonts w:cs="Calibri"/>
          <w:color w:val="000000"/>
        </w:rPr>
        <w:t>.</w:t>
      </w:r>
      <w:r w:rsidR="0001429F">
        <w:rPr>
          <w:rFonts w:cs="Calibri"/>
          <w:b/>
          <w:color w:val="000000"/>
        </w:rPr>
        <w:t xml:space="preserve"> </w:t>
      </w:r>
      <w:r w:rsidR="0001429F">
        <w:rPr>
          <w:rFonts w:cs="Calibri"/>
        </w:rPr>
        <w:t>But rather soon in Santayana’s life, this simply seems to have pretty much fallen off his radar</w:t>
      </w:r>
      <w:r w:rsidR="002D3AE2">
        <w:rPr>
          <w:rFonts w:cs="Calibri"/>
        </w:rPr>
        <w:t>, so th</w:t>
      </w:r>
      <w:r w:rsidR="00C14FA2">
        <w:rPr>
          <w:rFonts w:cs="Calibri"/>
        </w:rPr>
        <w:t xml:space="preserve">at his </w:t>
      </w:r>
      <w:r w:rsidR="00470DC9">
        <w:rPr>
          <w:rFonts w:cs="Calibri"/>
        </w:rPr>
        <w:t>final estimation of social life was stark indeed:</w:t>
      </w:r>
      <w:r w:rsidR="0001429F">
        <w:rPr>
          <w:rFonts w:cs="Calibri"/>
        </w:rPr>
        <w:t xml:space="preserve"> “</w:t>
      </w:r>
      <w:r w:rsidR="00470DC9">
        <w:rPr>
          <w:rFonts w:cs="Calibri"/>
        </w:rPr>
        <w:t>m</w:t>
      </w:r>
      <w:r w:rsidR="0001429F">
        <w:rPr>
          <w:rFonts w:cs="Calibri"/>
        </w:rPr>
        <w:t xml:space="preserve">odern life is not made for friendship: common interests are not strong enough, private interests too absorbing” (pp 352).  </w:t>
      </w:r>
    </w:p>
    <w:p w14:paraId="4F464AB4" w14:textId="77777777" w:rsidR="006E38FA" w:rsidRDefault="006E38FA" w:rsidP="00F34357">
      <w:pPr>
        <w:widowControl w:val="0"/>
        <w:tabs>
          <w:tab w:val="left" w:pos="1440"/>
          <w:tab w:val="left" w:pos="2160"/>
          <w:tab w:val="left" w:pos="2880"/>
        </w:tabs>
        <w:autoSpaceDE w:val="0"/>
        <w:autoSpaceDN w:val="0"/>
        <w:adjustRightInd w:val="0"/>
        <w:rPr>
          <w:rFonts w:cs="Calibri"/>
        </w:rPr>
      </w:pPr>
    </w:p>
    <w:p w14:paraId="2A8715B2" w14:textId="499F1E99" w:rsidR="0001429F" w:rsidRDefault="0001429F" w:rsidP="00F34357">
      <w:pPr>
        <w:widowControl w:val="0"/>
        <w:tabs>
          <w:tab w:val="left" w:pos="1440"/>
          <w:tab w:val="left" w:pos="2160"/>
          <w:tab w:val="left" w:pos="2880"/>
        </w:tabs>
        <w:autoSpaceDE w:val="0"/>
        <w:autoSpaceDN w:val="0"/>
        <w:adjustRightInd w:val="0"/>
        <w:rPr>
          <w:rFonts w:cs="Calibri"/>
        </w:rPr>
      </w:pPr>
      <w:r>
        <w:rPr>
          <w:rFonts w:cs="Calibri"/>
        </w:rPr>
        <w:t>Instead, as Lionel Trilling (I think accurately) suspected, Santayana’s most personal life project was his own self-definition: “he needed to define himself by withdrawal”</w:t>
      </w:r>
      <w:r w:rsidR="00C46645">
        <w:rPr>
          <w:rFonts w:cs="Calibri"/>
        </w:rPr>
        <w:t xml:space="preserve"> </w:t>
      </w:r>
      <w:r>
        <w:rPr>
          <w:rFonts w:cs="Calibri"/>
        </w:rPr>
        <w:t xml:space="preserve">(Trilling, 1956, 164). That allowed him to achieve something entirely remarkable: he was able to separate his own emotional isolation from the social dysfunction that so often plagues isolated individuals, and he did so in a way that did not impede the richness of his own inner life. </w:t>
      </w:r>
      <w:r w:rsidR="00A8156C">
        <w:rPr>
          <w:rFonts w:cs="Calibri"/>
        </w:rPr>
        <w:t>Yet</w:t>
      </w:r>
      <w:r w:rsidR="004C6D1F">
        <w:rPr>
          <w:rFonts w:cs="Calibri"/>
        </w:rPr>
        <w:t xml:space="preserve"> that same inner strength</w:t>
      </w:r>
      <w:r w:rsidR="0005590C">
        <w:rPr>
          <w:rFonts w:cs="Calibri"/>
        </w:rPr>
        <w:t xml:space="preserve">, </w:t>
      </w:r>
      <w:r w:rsidR="00AB31AC">
        <w:rPr>
          <w:rFonts w:cs="Calibri"/>
        </w:rPr>
        <w:t>won through years of staunch self-discipline, lent</w:t>
      </w:r>
      <w:r>
        <w:rPr>
          <w:rFonts w:cs="Calibri"/>
        </w:rPr>
        <w:t xml:space="preserve"> little room for sympathetic understanding of others — a sympathy that invites others to share themselves, and a </w:t>
      </w:r>
      <w:proofErr w:type="gramStart"/>
      <w:r>
        <w:rPr>
          <w:rFonts w:cs="Calibri"/>
        </w:rPr>
        <w:t>listening that</w:t>
      </w:r>
      <w:proofErr w:type="gramEnd"/>
      <w:r>
        <w:rPr>
          <w:rFonts w:cs="Calibri"/>
        </w:rPr>
        <w:t xml:space="preserve"> </w:t>
      </w:r>
      <w:r w:rsidR="00C3308D">
        <w:rPr>
          <w:rFonts w:cs="Calibri"/>
        </w:rPr>
        <w:t>that seeks to empathize with</w:t>
      </w:r>
      <w:r>
        <w:rPr>
          <w:rFonts w:cs="Calibri"/>
        </w:rPr>
        <w:t xml:space="preserve"> what they have to say. One has to wonder whether Santayana was very capable of this. Even in an intellectual setting — at least according to Ernest Nagel — he seemed “not very effective in the sort of give-and-take discussion where the two people pretty much are equal and trying to understand an issue or to clarify a point.” Horace Kallen remarked that “he did not like sermons”</w:t>
      </w:r>
      <w:r w:rsidR="00CE5AE1">
        <w:rPr>
          <w:rFonts w:cs="Calibri"/>
        </w:rPr>
        <w:t xml:space="preserve">; </w:t>
      </w:r>
      <w:r w:rsidR="00831FDB">
        <w:rPr>
          <w:rFonts w:cs="Calibri"/>
        </w:rPr>
        <w:t>b</w:t>
      </w:r>
      <w:r>
        <w:rPr>
          <w:rFonts w:cs="Calibri"/>
        </w:rPr>
        <w:t xml:space="preserve">ut he </w:t>
      </w:r>
      <w:r w:rsidR="00831FDB">
        <w:rPr>
          <w:rFonts w:cs="Calibri"/>
        </w:rPr>
        <w:t xml:space="preserve">did </w:t>
      </w:r>
      <w:r>
        <w:rPr>
          <w:rFonts w:cs="Calibri"/>
        </w:rPr>
        <w:t>rather like</w:t>
      </w:r>
      <w:r w:rsidR="00831FDB">
        <w:rPr>
          <w:rFonts w:cs="Calibri"/>
        </w:rPr>
        <w:t xml:space="preserve"> </w:t>
      </w:r>
      <w:r>
        <w:rPr>
          <w:rFonts w:cs="Calibri"/>
        </w:rPr>
        <w:t>delivering them, expostulating on his own finely discerned insights. Kallen described this as “a kind of soliloquy out loud” (Lamont, 1959, 49, 65-66, 67).</w:t>
      </w:r>
    </w:p>
    <w:p w14:paraId="5D1201FD" w14:textId="77777777" w:rsidR="006E38FA" w:rsidRDefault="006E38FA" w:rsidP="00F34357">
      <w:pPr>
        <w:widowControl w:val="0"/>
        <w:tabs>
          <w:tab w:val="left" w:pos="1440"/>
          <w:tab w:val="left" w:pos="2160"/>
          <w:tab w:val="left" w:pos="2880"/>
        </w:tabs>
        <w:autoSpaceDE w:val="0"/>
        <w:autoSpaceDN w:val="0"/>
        <w:adjustRightInd w:val="0"/>
        <w:rPr>
          <w:rFonts w:cs="Calibri"/>
        </w:rPr>
      </w:pPr>
    </w:p>
    <w:p w14:paraId="6E0CE012" w14:textId="5869263C" w:rsidR="00987EE1" w:rsidRDefault="0001429F" w:rsidP="00F34357">
      <w:pPr>
        <w:widowControl w:val="0"/>
        <w:tabs>
          <w:tab w:val="left" w:pos="1440"/>
          <w:tab w:val="left" w:pos="2160"/>
          <w:tab w:val="left" w:pos="2880"/>
        </w:tabs>
        <w:autoSpaceDE w:val="0"/>
        <w:autoSpaceDN w:val="0"/>
        <w:adjustRightInd w:val="0"/>
        <w:rPr>
          <w:rFonts w:cs="Calibri"/>
        </w:rPr>
      </w:pPr>
      <w:r>
        <w:rPr>
          <w:rFonts w:cs="Calibri"/>
        </w:rPr>
        <w:t>Santayana early on felt that he was not at home in the world (PP 167). This never changed for him, though his spiritual development eventually mitigated the estrangement. As I’ve argued elsewhere,</w:t>
      </w:r>
      <w:r>
        <w:rPr>
          <w:rFonts w:cs="Calibri"/>
          <w:vertAlign w:val="superscript"/>
        </w:rPr>
        <w:footnoteReference w:id="19"/>
      </w:r>
      <w:r>
        <w:rPr>
          <w:rFonts w:cs="Calibri"/>
        </w:rPr>
        <w:t xml:space="preserve"> the overall trajectory of his spiritual development had to have been an exercise in self-discipline and, I think, an instrument of escape from the worldly anxiety he first faced in his </w:t>
      </w:r>
      <w:r>
        <w:rPr>
          <w:rFonts w:cs="Calibri"/>
        </w:rPr>
        <w:lastRenderedPageBreak/>
        <w:t xml:space="preserve">period of metanoia. Despite his retrospective telling of it, this must have </w:t>
      </w:r>
      <w:r w:rsidR="00A832F5">
        <w:rPr>
          <w:rFonts w:cs="Calibri"/>
        </w:rPr>
        <w:t xml:space="preserve">made </w:t>
      </w:r>
      <w:r>
        <w:rPr>
          <w:rFonts w:cs="Calibri"/>
        </w:rPr>
        <w:t xml:space="preserve">him feel at times more like a struggling pilgrim than a placid traveler. And most importantly for us here, Santayana must have </w:t>
      </w:r>
      <w:r w:rsidR="007248DA">
        <w:rPr>
          <w:rFonts w:cs="Calibri"/>
        </w:rPr>
        <w:t>been</w:t>
      </w:r>
      <w:r>
        <w:rPr>
          <w:rFonts w:cs="Calibri"/>
        </w:rPr>
        <w:t xml:space="preserve"> just too busy in his own thoughts to enter into the difficult work of building a neighborly community of his own. </w:t>
      </w:r>
    </w:p>
    <w:p w14:paraId="49B44396" w14:textId="77777777" w:rsidR="00987EE1" w:rsidRDefault="00987EE1" w:rsidP="00F34357">
      <w:pPr>
        <w:widowControl w:val="0"/>
        <w:tabs>
          <w:tab w:val="left" w:pos="1440"/>
          <w:tab w:val="left" w:pos="2160"/>
          <w:tab w:val="left" w:pos="2880"/>
        </w:tabs>
        <w:autoSpaceDE w:val="0"/>
        <w:autoSpaceDN w:val="0"/>
        <w:adjustRightInd w:val="0"/>
        <w:rPr>
          <w:rFonts w:cs="Calibri"/>
        </w:rPr>
      </w:pPr>
    </w:p>
    <w:p w14:paraId="2A8715B4" w14:textId="4553A60E" w:rsidR="00530225" w:rsidRDefault="007849E9" w:rsidP="00F34357">
      <w:pPr>
        <w:widowControl w:val="0"/>
        <w:tabs>
          <w:tab w:val="left" w:pos="1440"/>
          <w:tab w:val="left" w:pos="2160"/>
          <w:tab w:val="left" w:pos="2880"/>
        </w:tabs>
        <w:autoSpaceDE w:val="0"/>
        <w:autoSpaceDN w:val="0"/>
        <w:adjustRightInd w:val="0"/>
        <w:rPr>
          <w:rFonts w:cs="Calibri"/>
        </w:rPr>
      </w:pPr>
      <w:r>
        <w:rPr>
          <w:rFonts w:cs="Calibri"/>
        </w:rPr>
        <w:t xml:space="preserve">So here is the </w:t>
      </w:r>
      <w:r w:rsidR="001C58FB">
        <w:rPr>
          <w:rFonts w:cs="Calibri"/>
        </w:rPr>
        <w:t xml:space="preserve">bottom line. </w:t>
      </w:r>
      <w:r>
        <w:rPr>
          <w:rFonts w:cs="Calibri"/>
        </w:rPr>
        <w:t xml:space="preserve">I </w:t>
      </w:r>
      <w:r w:rsidR="001C58FB">
        <w:rPr>
          <w:rFonts w:cs="Calibri"/>
        </w:rPr>
        <w:t>suspect</w:t>
      </w:r>
      <w:r>
        <w:rPr>
          <w:rFonts w:cs="Calibri"/>
        </w:rPr>
        <w:t xml:space="preserve"> any </w:t>
      </w:r>
      <w:r w:rsidR="004B73A2">
        <w:rPr>
          <w:rFonts w:cs="Calibri"/>
        </w:rPr>
        <w:t>dev</w:t>
      </w:r>
      <w:r w:rsidR="000A1DD1">
        <w:rPr>
          <w:rFonts w:cs="Calibri"/>
        </w:rPr>
        <w:t>oted</w:t>
      </w:r>
      <w:r>
        <w:rPr>
          <w:rFonts w:cs="Calibri"/>
        </w:rPr>
        <w:t xml:space="preserve"> reader of Santayana, </w:t>
      </w:r>
      <w:r w:rsidR="001C58FB">
        <w:rPr>
          <w:rFonts w:cs="Calibri"/>
        </w:rPr>
        <w:t>if they are</w:t>
      </w:r>
      <w:r>
        <w:rPr>
          <w:rFonts w:cs="Calibri"/>
        </w:rPr>
        <w:t xml:space="preserve"> going to </w:t>
      </w:r>
      <w:r w:rsidR="007248DA">
        <w:rPr>
          <w:rFonts w:cs="Calibri"/>
        </w:rPr>
        <w:t>live</w:t>
      </w:r>
      <w:r>
        <w:rPr>
          <w:rFonts w:cs="Calibri"/>
        </w:rPr>
        <w:t xml:space="preserve"> the life </w:t>
      </w:r>
      <w:r w:rsidR="001C58FB">
        <w:rPr>
          <w:rFonts w:cs="Calibri"/>
        </w:rPr>
        <w:t>their</w:t>
      </w:r>
      <w:r>
        <w:rPr>
          <w:rFonts w:cs="Calibri"/>
        </w:rPr>
        <w:t xml:space="preserve"> own philosophy describes, will need to come to terms with whether or not </w:t>
      </w:r>
      <w:r w:rsidR="0052473E">
        <w:rPr>
          <w:rFonts w:cs="Calibri"/>
        </w:rPr>
        <w:t>their</w:t>
      </w:r>
      <w:r>
        <w:rPr>
          <w:rFonts w:cs="Calibri"/>
        </w:rPr>
        <w:t xml:space="preserve"> own allegiances include the </w:t>
      </w:r>
      <w:r w:rsidR="00B224A2">
        <w:rPr>
          <w:rFonts w:cs="Calibri"/>
        </w:rPr>
        <w:t xml:space="preserve">kind of </w:t>
      </w:r>
      <w:r>
        <w:rPr>
          <w:rFonts w:cs="Calibri"/>
        </w:rPr>
        <w:t>communitarian commitment</w:t>
      </w:r>
      <w:r w:rsidR="00B224A2">
        <w:rPr>
          <w:rFonts w:cs="Calibri"/>
        </w:rPr>
        <w:t xml:space="preserve"> </w:t>
      </w:r>
      <w:r>
        <w:rPr>
          <w:rFonts w:cs="Calibri"/>
        </w:rPr>
        <w:t>Santayana did not feel within himself</w:t>
      </w:r>
      <w:r w:rsidR="006E38FA">
        <w:rPr>
          <w:rFonts w:cs="Calibri"/>
        </w:rPr>
        <w:t>.</w:t>
      </w:r>
      <w:r w:rsidR="00987EE1">
        <w:rPr>
          <w:rFonts w:cs="Calibri"/>
        </w:rPr>
        <w:t xml:space="preserve"> </w:t>
      </w:r>
      <w:r>
        <w:rPr>
          <w:rFonts w:cs="Calibri"/>
        </w:rPr>
        <w:t xml:space="preserve">Some contemporary readers have faced this challenge straight on and </w:t>
      </w:r>
      <w:r w:rsidR="00F903CD">
        <w:rPr>
          <w:rFonts w:cs="Calibri"/>
        </w:rPr>
        <w:t xml:space="preserve">have </w:t>
      </w:r>
      <w:r>
        <w:rPr>
          <w:rFonts w:cs="Calibri"/>
        </w:rPr>
        <w:t>pursued, quite impressively, Santayana’s contemplative example (Brodrick, 2025</w:t>
      </w:r>
      <w:r w:rsidR="00880D20">
        <w:rPr>
          <w:rFonts w:cs="Calibri"/>
        </w:rPr>
        <w:t>)</w:t>
      </w:r>
      <w:r>
        <w:rPr>
          <w:rFonts w:cs="Calibri"/>
        </w:rPr>
        <w:t xml:space="preserve">. </w:t>
      </w:r>
      <w:r w:rsidR="00E40B17">
        <w:rPr>
          <w:rFonts w:cs="Calibri"/>
        </w:rPr>
        <w:t xml:space="preserve">I cannot speak </w:t>
      </w:r>
      <w:proofErr w:type="gramStart"/>
      <w:r w:rsidR="00E40B17">
        <w:rPr>
          <w:rFonts w:cs="Calibri"/>
        </w:rPr>
        <w:t>for</w:t>
      </w:r>
      <w:proofErr w:type="gramEnd"/>
      <w:r w:rsidR="00E40B17">
        <w:rPr>
          <w:rFonts w:cs="Calibri"/>
        </w:rPr>
        <w:t xml:space="preserve"> them. </w:t>
      </w:r>
      <w:r>
        <w:rPr>
          <w:rFonts w:cs="Calibri"/>
        </w:rPr>
        <w:t xml:space="preserve">But others of us may </w:t>
      </w:r>
      <w:r w:rsidR="000F17BB">
        <w:rPr>
          <w:rFonts w:cs="Calibri"/>
        </w:rPr>
        <w:t xml:space="preserve">still </w:t>
      </w:r>
      <w:r>
        <w:rPr>
          <w:rFonts w:cs="Calibri"/>
        </w:rPr>
        <w:t>be left with some pressing questions as to how much of Santayana’s work remains viable</w:t>
      </w:r>
      <w:r w:rsidR="0052473E">
        <w:rPr>
          <w:rFonts w:cs="Calibri"/>
        </w:rPr>
        <w:t xml:space="preserve"> for </w:t>
      </w:r>
      <w:r w:rsidR="00094B1F">
        <w:rPr>
          <w:rFonts w:cs="Calibri"/>
        </w:rPr>
        <w:t>us</w:t>
      </w:r>
      <w:r>
        <w:rPr>
          <w:rFonts w:cs="Calibri"/>
        </w:rPr>
        <w:t xml:space="preserve">. Do we attempt to reinstate the model of intellectual statesmanship (Etzioni, 1996)? Or do we direct our energies closer to home, so to speak? If </w:t>
      </w:r>
      <w:r w:rsidR="00971B08">
        <w:rPr>
          <w:rFonts w:cs="Calibri"/>
        </w:rPr>
        <w:t>the latter</w:t>
      </w:r>
      <w:r>
        <w:rPr>
          <w:rFonts w:cs="Calibri"/>
        </w:rPr>
        <w:t xml:space="preserve">, we might </w:t>
      </w:r>
      <w:r w:rsidR="00925D12">
        <w:rPr>
          <w:rFonts w:cs="Calibri"/>
        </w:rPr>
        <w:t xml:space="preserve">still </w:t>
      </w:r>
      <w:r w:rsidR="00FF367E">
        <w:rPr>
          <w:rFonts w:cs="Calibri"/>
        </w:rPr>
        <w:t>envision a life project</w:t>
      </w:r>
      <w:r>
        <w:rPr>
          <w:rFonts w:cs="Calibri"/>
        </w:rPr>
        <w:t xml:space="preserve"> entirely in keeping </w:t>
      </w:r>
      <w:r w:rsidR="002B7105">
        <w:rPr>
          <w:rFonts w:cs="Calibri"/>
        </w:rPr>
        <w:t xml:space="preserve">with </w:t>
      </w:r>
      <w:r w:rsidR="00185D36">
        <w:rPr>
          <w:rFonts w:cs="Calibri"/>
        </w:rPr>
        <w:t xml:space="preserve">important aspects of Santayana’s work -- </w:t>
      </w:r>
      <w:r>
        <w:rPr>
          <w:rFonts w:cs="Calibri"/>
        </w:rPr>
        <w:t xml:space="preserve">with </w:t>
      </w:r>
      <w:r w:rsidR="00185D36">
        <w:rPr>
          <w:rFonts w:cs="Calibri"/>
        </w:rPr>
        <w:t>his</w:t>
      </w:r>
      <w:r>
        <w:rPr>
          <w:rFonts w:cs="Calibri"/>
        </w:rPr>
        <w:t xml:space="preserve"> own distrust of dialectical overreach and </w:t>
      </w:r>
      <w:r w:rsidR="00093CD9">
        <w:rPr>
          <w:rFonts w:cs="Calibri"/>
        </w:rPr>
        <w:t>overweening</w:t>
      </w:r>
      <w:r>
        <w:rPr>
          <w:rFonts w:cs="Calibri"/>
        </w:rPr>
        <w:t xml:space="preserve"> social engineering</w:t>
      </w:r>
      <w:r w:rsidR="00D21091">
        <w:rPr>
          <w:rFonts w:cs="Calibri"/>
        </w:rPr>
        <w:t xml:space="preserve">, and with his overall poetic </w:t>
      </w:r>
      <w:r w:rsidR="004D32F3">
        <w:rPr>
          <w:rFonts w:cs="Calibri"/>
        </w:rPr>
        <w:t xml:space="preserve">yet naturalistic </w:t>
      </w:r>
      <w:r w:rsidR="00D21091">
        <w:rPr>
          <w:rFonts w:cs="Calibri"/>
        </w:rPr>
        <w:t>sensibilities</w:t>
      </w:r>
      <w:r>
        <w:rPr>
          <w:rFonts w:cs="Calibri"/>
        </w:rPr>
        <w:t xml:space="preserve">. And </w:t>
      </w:r>
      <w:r w:rsidR="009C4314">
        <w:rPr>
          <w:rFonts w:cs="Calibri"/>
        </w:rPr>
        <w:t>nurturing such a community</w:t>
      </w:r>
      <w:r>
        <w:rPr>
          <w:rFonts w:cs="Calibri"/>
        </w:rPr>
        <w:t xml:space="preserve"> might speak to our own worldly anxieties</w:t>
      </w:r>
      <w:r w:rsidR="00F151C7">
        <w:rPr>
          <w:rFonts w:cs="Calibri"/>
        </w:rPr>
        <w:t xml:space="preserve"> as well</w:t>
      </w:r>
      <w:r>
        <w:rPr>
          <w:rFonts w:cs="Calibri"/>
        </w:rPr>
        <w:t xml:space="preserve">, which might not be entirely different from some of what Santayana felt. </w:t>
      </w:r>
    </w:p>
    <w:p w14:paraId="5980B359" w14:textId="77777777" w:rsidR="006E38FA" w:rsidRDefault="006E38FA" w:rsidP="00F34357">
      <w:pPr>
        <w:widowControl w:val="0"/>
        <w:tabs>
          <w:tab w:val="left" w:pos="1440"/>
          <w:tab w:val="left" w:pos="2160"/>
          <w:tab w:val="left" w:pos="2880"/>
        </w:tabs>
        <w:autoSpaceDE w:val="0"/>
        <w:autoSpaceDN w:val="0"/>
        <w:adjustRightInd w:val="0"/>
        <w:rPr>
          <w:rFonts w:cs="Calibri"/>
        </w:rPr>
      </w:pPr>
    </w:p>
    <w:p w14:paraId="2A8715B5" w14:textId="48428197" w:rsidR="00530225" w:rsidRDefault="006D6642" w:rsidP="00F34357">
      <w:pPr>
        <w:widowControl w:val="0"/>
        <w:tabs>
          <w:tab w:val="left" w:pos="1440"/>
          <w:tab w:val="left" w:pos="2160"/>
          <w:tab w:val="left" w:pos="2880"/>
        </w:tabs>
        <w:autoSpaceDE w:val="0"/>
        <w:autoSpaceDN w:val="0"/>
        <w:adjustRightInd w:val="0"/>
        <w:rPr>
          <w:rFonts w:cs="Calibri"/>
        </w:rPr>
      </w:pPr>
      <w:r>
        <w:rPr>
          <w:rFonts w:cs="Calibri"/>
        </w:rPr>
        <w:t>In closing, I’ll simply return to an interesting little book by Milton Mayeroff, entitled “On Caring,” a book that helped inaugurate the ethics of care movement in philosophy, back in the 70’s. Mayeroff remark</w:t>
      </w:r>
      <w:r w:rsidR="00655495">
        <w:rPr>
          <w:rFonts w:cs="Calibri"/>
        </w:rPr>
        <w:t xml:space="preserve">ed </w:t>
      </w:r>
      <w:r>
        <w:rPr>
          <w:rFonts w:cs="Calibri"/>
        </w:rPr>
        <w:t xml:space="preserve">that in the sense in which individuals “can ever be said to be at home in the world,” they are “at home not through dominating, or explaining, or appreciating” — or merely contemplating — “but through caring and being cared for” (Mayeroff, 1971, 2) To find a home in the world is to enter a circle of care, and Santayana rather soon in his life gave up looking for this — though his host the world did eventually provide accommodations suitable enough to him. We </w:t>
      </w:r>
      <w:r w:rsidR="00F24B19">
        <w:rPr>
          <w:rFonts w:cs="Calibri"/>
        </w:rPr>
        <w:t>may</w:t>
      </w:r>
      <w:r>
        <w:rPr>
          <w:rFonts w:cs="Calibri"/>
        </w:rPr>
        <w:t xml:space="preserve"> want to consult our own allegiances to see whether </w:t>
      </w:r>
      <w:r w:rsidR="003556BB">
        <w:rPr>
          <w:rFonts w:cs="Calibri"/>
        </w:rPr>
        <w:t>that’s</w:t>
      </w:r>
      <w:r>
        <w:rPr>
          <w:rFonts w:cs="Calibri"/>
        </w:rPr>
        <w:t xml:space="preserve"> </w:t>
      </w:r>
      <w:r w:rsidR="00BF4141">
        <w:rPr>
          <w:rFonts w:cs="Calibri"/>
        </w:rPr>
        <w:t xml:space="preserve">suitable </w:t>
      </w:r>
      <w:r>
        <w:rPr>
          <w:rFonts w:cs="Calibri"/>
        </w:rPr>
        <w:t xml:space="preserve">enough for us. </w:t>
      </w:r>
    </w:p>
    <w:p w14:paraId="5886AD79" w14:textId="77777777" w:rsidR="00111807" w:rsidRDefault="00111807" w:rsidP="00F34357">
      <w:pPr>
        <w:widowControl w:val="0"/>
        <w:tabs>
          <w:tab w:val="left" w:pos="1440"/>
          <w:tab w:val="left" w:pos="2160"/>
          <w:tab w:val="left" w:pos="2880"/>
        </w:tabs>
        <w:autoSpaceDE w:val="0"/>
        <w:autoSpaceDN w:val="0"/>
        <w:adjustRightInd w:val="0"/>
        <w:rPr>
          <w:rFonts w:cs="Calibri"/>
        </w:rPr>
      </w:pPr>
    </w:p>
    <w:p w14:paraId="123F37FC" w14:textId="696701AB" w:rsidR="00175F8C" w:rsidRPr="00111807" w:rsidRDefault="00111807" w:rsidP="00F34357">
      <w:pPr>
        <w:widowControl w:val="0"/>
        <w:tabs>
          <w:tab w:val="left" w:pos="720"/>
          <w:tab w:val="left" w:pos="2160"/>
          <w:tab w:val="left" w:pos="2880"/>
        </w:tabs>
        <w:autoSpaceDE w:val="0"/>
        <w:autoSpaceDN w:val="0"/>
        <w:adjustRightInd w:val="0"/>
        <w:ind w:left="5520" w:right="360" w:firstLine="720"/>
        <w:rPr>
          <w:rFonts w:cs="Calibri"/>
        </w:rPr>
      </w:pPr>
      <w:r w:rsidRPr="00111807">
        <w:rPr>
          <w:rFonts w:cs="Calibri"/>
        </w:rPr>
        <w:t>D. Seiple</w:t>
      </w:r>
    </w:p>
    <w:p w14:paraId="3E872175" w14:textId="725F912A" w:rsidR="00111807" w:rsidRPr="00111807" w:rsidRDefault="00111807" w:rsidP="00F34357">
      <w:pPr>
        <w:widowControl w:val="0"/>
        <w:tabs>
          <w:tab w:val="left" w:pos="720"/>
          <w:tab w:val="left" w:pos="2160"/>
          <w:tab w:val="left" w:pos="2880"/>
        </w:tabs>
        <w:autoSpaceDE w:val="0"/>
        <w:autoSpaceDN w:val="0"/>
        <w:adjustRightInd w:val="0"/>
        <w:ind w:left="5520" w:right="360" w:firstLine="720"/>
        <w:rPr>
          <w:rFonts w:cs="Calibri"/>
        </w:rPr>
      </w:pPr>
      <w:r w:rsidRPr="00111807">
        <w:rPr>
          <w:rFonts w:cs="Calibri"/>
        </w:rPr>
        <w:t xml:space="preserve">City University of New York </w:t>
      </w:r>
    </w:p>
    <w:p w14:paraId="0347167A" w14:textId="77777777" w:rsidR="00175F8C" w:rsidRDefault="00175F8C" w:rsidP="00F34357">
      <w:pPr>
        <w:widowControl w:val="0"/>
        <w:tabs>
          <w:tab w:val="left" w:pos="720"/>
          <w:tab w:val="left" w:pos="2160"/>
          <w:tab w:val="left" w:pos="2880"/>
        </w:tabs>
        <w:autoSpaceDE w:val="0"/>
        <w:autoSpaceDN w:val="0"/>
        <w:adjustRightInd w:val="0"/>
        <w:ind w:firstLine="720"/>
        <w:jc w:val="right"/>
        <w:rPr>
          <w:rFonts w:cs="Calibri"/>
          <w:b/>
          <w:bCs/>
        </w:rPr>
      </w:pPr>
    </w:p>
    <w:p w14:paraId="1D109D1B" w14:textId="6271C811" w:rsidR="00257B96" w:rsidRDefault="00257B96" w:rsidP="00F34357">
      <w:pPr>
        <w:widowControl w:val="0"/>
        <w:tabs>
          <w:tab w:val="left" w:pos="720"/>
          <w:tab w:val="left" w:pos="2160"/>
          <w:tab w:val="left" w:pos="2880"/>
        </w:tabs>
        <w:autoSpaceDE w:val="0"/>
        <w:autoSpaceDN w:val="0"/>
        <w:adjustRightInd w:val="0"/>
        <w:ind w:firstLine="720"/>
        <w:rPr>
          <w:rFonts w:cs="Calibri"/>
          <w:b/>
          <w:bCs/>
        </w:rPr>
      </w:pPr>
      <w:r>
        <w:rPr>
          <w:rFonts w:cs="Calibri"/>
          <w:b/>
          <w:bCs/>
        </w:rPr>
        <w:t xml:space="preserve">References with Abbreviations  </w:t>
      </w:r>
      <w:r w:rsidR="00FF3848">
        <w:rPr>
          <w:rFonts w:cs="Calibri"/>
          <w:b/>
          <w:bCs/>
          <w:color w:val="FF0000"/>
        </w:rPr>
        <w:t xml:space="preserve"> </w:t>
      </w:r>
    </w:p>
    <w:p w14:paraId="2167C6DD" w14:textId="77777777" w:rsidR="00257B96" w:rsidRDefault="00257B96" w:rsidP="00F34357">
      <w:pPr>
        <w:widowControl w:val="0"/>
        <w:tabs>
          <w:tab w:val="left" w:pos="720"/>
          <w:tab w:val="left" w:pos="2160"/>
          <w:tab w:val="left" w:pos="2880"/>
        </w:tabs>
        <w:autoSpaceDE w:val="0"/>
        <w:autoSpaceDN w:val="0"/>
        <w:adjustRightInd w:val="0"/>
        <w:ind w:firstLine="720"/>
        <w:rPr>
          <w:rFonts w:cs="Calibri"/>
          <w:color w:val="851438"/>
          <w:sz w:val="20"/>
          <w:szCs w:val="20"/>
        </w:rPr>
      </w:pPr>
    </w:p>
    <w:p w14:paraId="335FAE0E" w14:textId="77777777" w:rsidR="00966AE9" w:rsidRDefault="00966AE9" w:rsidP="00F34357">
      <w:pPr>
        <w:ind w:left="720" w:hanging="630"/>
        <w:rPr>
          <w:rFonts w:asciiTheme="minorHAnsi" w:hAnsiTheme="minorHAnsi" w:cstheme="minorHAnsi"/>
          <w:color w:val="000000"/>
        </w:rPr>
      </w:pPr>
    </w:p>
    <w:p w14:paraId="6FBEA4B2" w14:textId="0D252EDD" w:rsidR="00966AE9" w:rsidRPr="00CD618E" w:rsidRDefault="00966AE9" w:rsidP="00F34357">
      <w:pPr>
        <w:ind w:left="720" w:hanging="630"/>
        <w:rPr>
          <w:rFonts w:asciiTheme="minorHAnsi" w:hAnsiTheme="minorHAnsi" w:cstheme="minorHAnsi"/>
          <w:color w:val="000000"/>
        </w:rPr>
      </w:pPr>
      <w:r>
        <w:rPr>
          <w:rFonts w:asciiTheme="minorHAnsi" w:hAnsiTheme="minorHAnsi" w:cstheme="minorHAnsi"/>
          <w:color w:val="000000"/>
        </w:rPr>
        <w:t>DP  [1950] 1951</w:t>
      </w:r>
      <w:r w:rsidR="00CD618E">
        <w:rPr>
          <w:rFonts w:asciiTheme="minorHAnsi" w:hAnsiTheme="minorHAnsi" w:cstheme="minorHAnsi"/>
          <w:color w:val="000000"/>
        </w:rPr>
        <w:t xml:space="preserve">. </w:t>
      </w:r>
      <w:r w:rsidR="00CD618E" w:rsidRPr="00CD618E">
        <w:rPr>
          <w:rFonts w:asciiTheme="minorHAnsi" w:hAnsiTheme="minorHAnsi" w:cstheme="minorHAnsi"/>
          <w:i/>
          <w:iCs/>
          <w:color w:val="000000"/>
        </w:rPr>
        <w:t>Dominations and Powers: Reflections on Liberty Society and Government</w:t>
      </w:r>
      <w:r w:rsidR="00CD618E">
        <w:rPr>
          <w:rFonts w:asciiTheme="minorHAnsi" w:hAnsiTheme="minorHAnsi" w:cstheme="minorHAnsi"/>
          <w:i/>
          <w:iCs/>
          <w:color w:val="000000"/>
        </w:rPr>
        <w:t>.</w:t>
      </w:r>
      <w:r w:rsidR="00CD618E">
        <w:rPr>
          <w:rFonts w:asciiTheme="minorHAnsi" w:hAnsiTheme="minorHAnsi" w:cstheme="minorHAnsi"/>
          <w:color w:val="000000"/>
        </w:rPr>
        <w:t xml:space="preserve"> </w:t>
      </w:r>
      <w:r w:rsidR="00DF12A1">
        <w:rPr>
          <w:rFonts w:asciiTheme="minorHAnsi" w:hAnsiTheme="minorHAnsi" w:cstheme="minorHAnsi"/>
          <w:color w:val="000000"/>
        </w:rPr>
        <w:t xml:space="preserve">New York: Charles </w:t>
      </w:r>
      <w:proofErr w:type="spellStart"/>
      <w:r w:rsidR="00DF12A1">
        <w:rPr>
          <w:rFonts w:asciiTheme="minorHAnsi" w:hAnsiTheme="minorHAnsi" w:cstheme="minorHAnsi"/>
          <w:color w:val="000000"/>
        </w:rPr>
        <w:t>Scribners</w:t>
      </w:r>
      <w:proofErr w:type="spellEnd"/>
      <w:r w:rsidR="00DF12A1">
        <w:rPr>
          <w:rFonts w:asciiTheme="minorHAnsi" w:hAnsiTheme="minorHAnsi" w:cstheme="minorHAnsi"/>
          <w:color w:val="000000"/>
        </w:rPr>
        <w:t>’ Sons.</w:t>
      </w:r>
    </w:p>
    <w:p w14:paraId="73243518" w14:textId="78A5125E" w:rsidR="00F527BD" w:rsidRPr="000D42A6" w:rsidRDefault="00F527BD" w:rsidP="00F34357">
      <w:pPr>
        <w:ind w:left="720" w:hanging="630"/>
        <w:rPr>
          <w:rFonts w:asciiTheme="minorHAnsi" w:hAnsiTheme="minorHAnsi" w:cstheme="minorHAnsi"/>
          <w:color w:val="000000"/>
        </w:rPr>
      </w:pPr>
      <w:r w:rsidRPr="000D42A6">
        <w:rPr>
          <w:rFonts w:asciiTheme="minorHAnsi" w:hAnsiTheme="minorHAnsi" w:cstheme="minorHAnsi"/>
          <w:color w:val="000000"/>
        </w:rPr>
        <w:t xml:space="preserve">LGS  </w:t>
      </w:r>
      <w:r w:rsidR="00F8526B" w:rsidRPr="00F8526B">
        <w:rPr>
          <w:rFonts w:cs="Calibri"/>
          <w:color w:val="000000"/>
        </w:rPr>
        <w:t>868-1952</w:t>
      </w:r>
      <w:r w:rsidRPr="000D42A6">
        <w:rPr>
          <w:rFonts w:asciiTheme="minorHAnsi" w:hAnsiTheme="minorHAnsi" w:cstheme="minorHAnsi"/>
          <w:color w:val="000000"/>
        </w:rPr>
        <w:t xml:space="preserve">. </w:t>
      </w:r>
      <w:r w:rsidRPr="000D42A6">
        <w:rPr>
          <w:rFonts w:asciiTheme="minorHAnsi" w:hAnsiTheme="minorHAnsi" w:cstheme="minorHAnsi"/>
          <w:i/>
          <w:iCs/>
          <w:color w:val="000000"/>
        </w:rPr>
        <w:t>The Letters of George Santayana in Eight Volumes</w:t>
      </w:r>
      <w:r w:rsidRPr="000D42A6">
        <w:rPr>
          <w:rFonts w:asciiTheme="minorHAnsi" w:hAnsiTheme="minorHAnsi" w:cstheme="minorHAnsi"/>
          <w:color w:val="000000"/>
        </w:rPr>
        <w:t>. Edited by William G. Holzberger. Critical Edition. Cambridge MA: The MIT Press.</w:t>
      </w:r>
    </w:p>
    <w:p w14:paraId="105A49FD" w14:textId="77777777" w:rsidR="00B57858" w:rsidRPr="00B57858" w:rsidRDefault="00D31A09" w:rsidP="00F34357">
      <w:pPr>
        <w:ind w:left="633" w:hanging="547"/>
        <w:rPr>
          <w:rFonts w:cs="Calibri"/>
          <w:color w:val="000000"/>
        </w:rPr>
      </w:pPr>
      <w:r w:rsidRPr="000D42A6">
        <w:rPr>
          <w:rFonts w:asciiTheme="minorHAnsi" w:hAnsiTheme="minorHAnsi" w:cstheme="minorHAnsi"/>
          <w:color w:val="000000"/>
        </w:rPr>
        <w:t xml:space="preserve">LP   </w:t>
      </w:r>
      <w:r w:rsidR="00955C36">
        <w:rPr>
          <w:rFonts w:asciiTheme="minorHAnsi" w:hAnsiTheme="minorHAnsi" w:cstheme="minorHAnsi"/>
          <w:color w:val="000000"/>
        </w:rPr>
        <w:t xml:space="preserve"> 1936.</w:t>
      </w:r>
      <w:r w:rsidR="00B57858">
        <w:rPr>
          <w:rFonts w:asciiTheme="minorHAnsi" w:hAnsiTheme="minorHAnsi" w:cstheme="minorHAnsi"/>
          <w:color w:val="000000"/>
        </w:rPr>
        <w:t xml:space="preserve"> </w:t>
      </w:r>
      <w:r w:rsidRPr="00955C36">
        <w:rPr>
          <w:rFonts w:asciiTheme="minorHAnsi" w:hAnsiTheme="minorHAnsi" w:cstheme="minorHAnsi"/>
          <w:i/>
          <w:iCs/>
          <w:color w:val="000000"/>
        </w:rPr>
        <w:t>The Last Puritan</w:t>
      </w:r>
      <w:r w:rsidR="00B57858">
        <w:rPr>
          <w:rFonts w:asciiTheme="minorHAnsi" w:hAnsiTheme="minorHAnsi" w:cstheme="minorHAnsi"/>
          <w:i/>
          <w:iCs/>
          <w:color w:val="000000"/>
        </w:rPr>
        <w:t>.</w:t>
      </w:r>
      <w:r w:rsidR="00B57858">
        <w:rPr>
          <w:rFonts w:asciiTheme="minorHAnsi" w:hAnsiTheme="minorHAnsi" w:cstheme="minorHAnsi"/>
          <w:color w:val="000000"/>
        </w:rPr>
        <w:t xml:space="preserve"> </w:t>
      </w:r>
      <w:r w:rsidR="00B57858">
        <w:rPr>
          <w:rFonts w:cs="Calibri"/>
          <w:color w:val="000000"/>
        </w:rPr>
        <w:t xml:space="preserve">New York: </w:t>
      </w:r>
      <w:r w:rsidR="00B57858" w:rsidRPr="003008D7">
        <w:rPr>
          <w:rFonts w:cs="Calibri"/>
          <w:color w:val="000000"/>
        </w:rPr>
        <w:t>Charles Scribner's Sons</w:t>
      </w:r>
      <w:r w:rsidR="00B57858">
        <w:rPr>
          <w:rFonts w:cs="Calibri"/>
          <w:color w:val="000000"/>
        </w:rPr>
        <w:t>.</w:t>
      </w:r>
    </w:p>
    <w:p w14:paraId="56546840" w14:textId="36AA714E" w:rsidR="00076F10" w:rsidRDefault="000A2887" w:rsidP="00F34357">
      <w:pPr>
        <w:ind w:left="810" w:hanging="720"/>
        <w:rPr>
          <w:rFonts w:asciiTheme="minorHAnsi" w:hAnsiTheme="minorHAnsi" w:cstheme="minorHAnsi"/>
          <w:color w:val="000000"/>
        </w:rPr>
      </w:pPr>
      <w:r w:rsidRPr="000D42A6">
        <w:rPr>
          <w:rFonts w:asciiTheme="minorHAnsi" w:hAnsiTheme="minorHAnsi" w:cstheme="minorHAnsi"/>
          <w:color w:val="000000"/>
        </w:rPr>
        <w:t>LR1</w:t>
      </w:r>
      <w:r w:rsidR="00076F10" w:rsidRPr="000D42A6">
        <w:rPr>
          <w:rFonts w:asciiTheme="minorHAnsi" w:hAnsiTheme="minorHAnsi" w:cstheme="minorHAnsi"/>
          <w:color w:val="000000"/>
        </w:rPr>
        <w:t xml:space="preserve"> </w:t>
      </w:r>
      <w:r w:rsidR="00241819">
        <w:rPr>
          <w:rFonts w:asciiTheme="minorHAnsi" w:hAnsiTheme="minorHAnsi" w:cstheme="minorHAnsi"/>
          <w:color w:val="000000"/>
        </w:rPr>
        <w:t xml:space="preserve"> </w:t>
      </w:r>
      <w:r w:rsidR="00AA417D">
        <w:rPr>
          <w:rFonts w:asciiTheme="minorHAnsi" w:hAnsiTheme="minorHAnsi" w:cstheme="minorHAnsi"/>
          <w:color w:val="000000"/>
        </w:rPr>
        <w:t>2</w:t>
      </w:r>
      <w:r w:rsidR="00DA3F14">
        <w:rPr>
          <w:rFonts w:asciiTheme="minorHAnsi" w:hAnsiTheme="minorHAnsi" w:cstheme="minorHAnsi"/>
          <w:color w:val="000000"/>
        </w:rPr>
        <w:t xml:space="preserve">011. </w:t>
      </w:r>
      <w:r w:rsidR="00076F10" w:rsidRPr="000D42A6">
        <w:rPr>
          <w:rFonts w:asciiTheme="minorHAnsi" w:hAnsiTheme="minorHAnsi" w:cstheme="minorHAnsi"/>
          <w:i/>
          <w:iCs/>
          <w:color w:val="000000"/>
        </w:rPr>
        <w:t xml:space="preserve">The </w:t>
      </w:r>
      <w:r w:rsidR="00076F10" w:rsidRPr="000D42A6">
        <w:rPr>
          <w:rFonts w:asciiTheme="minorHAnsi" w:hAnsiTheme="minorHAnsi" w:cstheme="minorHAnsi"/>
          <w:i/>
          <w:iCs/>
        </w:rPr>
        <w:t>Life of Reason or The Phases of Human Progress</w:t>
      </w:r>
      <w:r w:rsidR="00CA5F7C" w:rsidRPr="000D42A6">
        <w:rPr>
          <w:rFonts w:asciiTheme="minorHAnsi" w:hAnsiTheme="minorHAnsi" w:cstheme="minorHAnsi"/>
          <w:i/>
          <w:iCs/>
        </w:rPr>
        <w:t>:</w:t>
      </w:r>
      <w:r w:rsidR="002610F4" w:rsidRPr="000D42A6">
        <w:rPr>
          <w:rFonts w:asciiTheme="minorHAnsi" w:hAnsiTheme="minorHAnsi" w:cstheme="minorHAnsi"/>
          <w:i/>
          <w:iCs/>
        </w:rPr>
        <w:t xml:space="preserve"> Introduction and Reason in Common Sense</w:t>
      </w:r>
      <w:r w:rsidR="00076F10" w:rsidRPr="000D42A6">
        <w:rPr>
          <w:rFonts w:asciiTheme="minorHAnsi" w:hAnsiTheme="minorHAnsi" w:cstheme="minorHAnsi"/>
        </w:rPr>
        <w:t xml:space="preserve">. </w:t>
      </w:r>
      <w:r w:rsidR="00523A89" w:rsidRPr="000D42A6">
        <w:rPr>
          <w:rFonts w:asciiTheme="minorHAnsi" w:hAnsiTheme="minorHAnsi" w:cstheme="minorHAnsi"/>
        </w:rPr>
        <w:t xml:space="preserve">Book One. </w:t>
      </w:r>
      <w:r w:rsidR="00076F10" w:rsidRPr="000D42A6">
        <w:rPr>
          <w:rFonts w:asciiTheme="minorHAnsi" w:hAnsiTheme="minorHAnsi" w:cstheme="minorHAnsi"/>
        </w:rPr>
        <w:t>Edited by Marianne Sophia Wokeck and Martin A. Coleman. Critical Edition. Cambridge, Mass.: MIT Press.</w:t>
      </w:r>
      <w:r w:rsidR="00076F10" w:rsidRPr="000D42A6">
        <w:rPr>
          <w:rFonts w:asciiTheme="minorHAnsi" w:hAnsiTheme="minorHAnsi" w:cstheme="minorHAnsi"/>
          <w:color w:val="000000"/>
        </w:rPr>
        <w:t xml:space="preserve"> </w:t>
      </w:r>
    </w:p>
    <w:p w14:paraId="1549170A" w14:textId="5A0C94AA" w:rsidR="00A30A60" w:rsidRDefault="00FA1731" w:rsidP="00F34357">
      <w:pPr>
        <w:ind w:left="810" w:hanging="720"/>
        <w:rPr>
          <w:rFonts w:asciiTheme="minorHAnsi" w:hAnsiTheme="minorHAnsi" w:cstheme="minorHAnsi"/>
          <w:color w:val="000000"/>
        </w:rPr>
      </w:pPr>
      <w:r>
        <w:rPr>
          <w:rFonts w:asciiTheme="minorHAnsi" w:hAnsiTheme="minorHAnsi" w:cstheme="minorHAnsi"/>
          <w:color w:val="000000"/>
        </w:rPr>
        <w:t xml:space="preserve">LR5 </w:t>
      </w:r>
      <w:r w:rsidR="00A30A60">
        <w:rPr>
          <w:rFonts w:asciiTheme="minorHAnsi" w:hAnsiTheme="minorHAnsi" w:cstheme="minorHAnsi"/>
          <w:color w:val="000000"/>
        </w:rPr>
        <w:t xml:space="preserve"> 2024. </w:t>
      </w:r>
      <w:r w:rsidR="00A30A60" w:rsidRPr="000D42A6">
        <w:rPr>
          <w:rFonts w:asciiTheme="minorHAnsi" w:hAnsiTheme="minorHAnsi" w:cstheme="minorHAnsi"/>
          <w:i/>
          <w:iCs/>
          <w:color w:val="000000"/>
        </w:rPr>
        <w:t xml:space="preserve">The </w:t>
      </w:r>
      <w:r w:rsidR="00A30A60" w:rsidRPr="000D42A6">
        <w:rPr>
          <w:rFonts w:asciiTheme="minorHAnsi" w:hAnsiTheme="minorHAnsi" w:cstheme="minorHAnsi"/>
          <w:i/>
          <w:iCs/>
        </w:rPr>
        <w:t xml:space="preserve">Life of Reason or The Phases of Human Progress: </w:t>
      </w:r>
      <w:r w:rsidR="00621CC4">
        <w:rPr>
          <w:rFonts w:asciiTheme="minorHAnsi" w:hAnsiTheme="minorHAnsi" w:cstheme="minorHAnsi"/>
          <w:i/>
          <w:iCs/>
        </w:rPr>
        <w:t>Reason in Science</w:t>
      </w:r>
      <w:r w:rsidR="00A30A60" w:rsidRPr="000D42A6">
        <w:rPr>
          <w:rFonts w:asciiTheme="minorHAnsi" w:hAnsiTheme="minorHAnsi" w:cstheme="minorHAnsi"/>
        </w:rPr>
        <w:t xml:space="preserve">. Book </w:t>
      </w:r>
      <w:r w:rsidR="00621CC4">
        <w:rPr>
          <w:rFonts w:asciiTheme="minorHAnsi" w:hAnsiTheme="minorHAnsi" w:cstheme="minorHAnsi"/>
        </w:rPr>
        <w:t>Five</w:t>
      </w:r>
      <w:r w:rsidR="00A30A60" w:rsidRPr="000D42A6">
        <w:rPr>
          <w:rFonts w:asciiTheme="minorHAnsi" w:hAnsiTheme="minorHAnsi" w:cstheme="minorHAnsi"/>
        </w:rPr>
        <w:t>. Edited by Marianne Sophia Wokeck and Martin A. Coleman. Critical Edition. Cambridge, Mass.: MIT Press.</w:t>
      </w:r>
      <w:r w:rsidR="00A30A60" w:rsidRPr="000D42A6">
        <w:rPr>
          <w:rFonts w:asciiTheme="minorHAnsi" w:hAnsiTheme="minorHAnsi" w:cstheme="minorHAnsi"/>
          <w:color w:val="000000"/>
        </w:rPr>
        <w:t xml:space="preserve"> </w:t>
      </w:r>
    </w:p>
    <w:p w14:paraId="2544CCA7" w14:textId="6FECF1C9" w:rsidR="00257B96" w:rsidRPr="000D42A6" w:rsidRDefault="00257B96" w:rsidP="00F34357">
      <w:pPr>
        <w:ind w:left="633" w:hanging="547"/>
        <w:rPr>
          <w:rFonts w:asciiTheme="minorHAnsi" w:hAnsiTheme="minorHAnsi" w:cstheme="minorHAnsi"/>
          <w:color w:val="000000"/>
        </w:rPr>
      </w:pPr>
      <w:r w:rsidRPr="000D42A6">
        <w:rPr>
          <w:rFonts w:asciiTheme="minorHAnsi" w:hAnsiTheme="minorHAnsi" w:cstheme="minorHAnsi"/>
          <w:color w:val="000000"/>
        </w:rPr>
        <w:lastRenderedPageBreak/>
        <w:t xml:space="preserve">SAF </w:t>
      </w:r>
      <w:r w:rsidR="00241819">
        <w:rPr>
          <w:rFonts w:asciiTheme="minorHAnsi" w:hAnsiTheme="minorHAnsi" w:cstheme="minorHAnsi"/>
          <w:color w:val="000000"/>
        </w:rPr>
        <w:t xml:space="preserve"> </w:t>
      </w:r>
      <w:r w:rsidRPr="000D42A6">
        <w:rPr>
          <w:rFonts w:asciiTheme="minorHAnsi" w:hAnsiTheme="minorHAnsi" w:cstheme="minorHAnsi"/>
          <w:color w:val="000000"/>
        </w:rPr>
        <w:t xml:space="preserve">1955. </w:t>
      </w:r>
      <w:r w:rsidRPr="000D42A6">
        <w:rPr>
          <w:rFonts w:asciiTheme="minorHAnsi" w:hAnsiTheme="minorHAnsi" w:cstheme="minorHAnsi"/>
          <w:i/>
          <w:iCs/>
          <w:color w:val="000000"/>
        </w:rPr>
        <w:t>Scepticism and Animal Faith: Introduction to a System of Philosophy</w:t>
      </w:r>
      <w:r w:rsidRPr="000D42A6">
        <w:rPr>
          <w:rFonts w:asciiTheme="minorHAnsi" w:hAnsiTheme="minorHAnsi" w:cstheme="minorHAnsi"/>
          <w:color w:val="000000"/>
        </w:rPr>
        <w:t xml:space="preserve">. New York: Dover Publications. </w:t>
      </w:r>
    </w:p>
    <w:p w14:paraId="67AE3211" w14:textId="7E69B736" w:rsidR="00B17AAF" w:rsidRPr="00FB3B2D" w:rsidRDefault="00B17AAF" w:rsidP="00F34357">
      <w:pPr>
        <w:ind w:left="633" w:hanging="547"/>
        <w:rPr>
          <w:rFonts w:asciiTheme="minorHAnsi" w:hAnsiTheme="minorHAnsi" w:cstheme="minorHAnsi"/>
          <w:color w:val="000000"/>
        </w:rPr>
      </w:pPr>
      <w:r w:rsidRPr="000D42A6">
        <w:rPr>
          <w:rFonts w:asciiTheme="minorHAnsi" w:hAnsiTheme="minorHAnsi" w:cstheme="minorHAnsi"/>
          <w:color w:val="000000"/>
        </w:rPr>
        <w:t>SELS</w:t>
      </w:r>
      <w:r w:rsidR="00241819">
        <w:rPr>
          <w:rFonts w:asciiTheme="minorHAnsi" w:hAnsiTheme="minorHAnsi" w:cstheme="minorHAnsi"/>
          <w:color w:val="000000"/>
        </w:rPr>
        <w:t xml:space="preserve"> </w:t>
      </w:r>
      <w:r w:rsidR="00FB3B2D">
        <w:rPr>
          <w:rFonts w:asciiTheme="minorHAnsi" w:hAnsiTheme="minorHAnsi" w:cstheme="minorHAnsi"/>
          <w:color w:val="000000"/>
        </w:rPr>
        <w:t xml:space="preserve">1923. </w:t>
      </w:r>
      <w:r w:rsidR="00FB3B2D" w:rsidRPr="00FB3B2D">
        <w:rPr>
          <w:rFonts w:cs="Calibri"/>
          <w:i/>
          <w:iCs/>
          <w:color w:val="000000"/>
        </w:rPr>
        <w:t>Soliloquies in England and Other Soliloquies</w:t>
      </w:r>
      <w:r w:rsidR="00FB3B2D">
        <w:rPr>
          <w:rFonts w:cs="Calibri"/>
          <w:i/>
          <w:iCs/>
          <w:color w:val="000000"/>
        </w:rPr>
        <w:t>.</w:t>
      </w:r>
      <w:r w:rsidR="003008D7">
        <w:rPr>
          <w:rFonts w:cs="Calibri"/>
          <w:color w:val="000000"/>
        </w:rPr>
        <w:t xml:space="preserve"> New York: </w:t>
      </w:r>
      <w:r w:rsidR="003008D7" w:rsidRPr="003008D7">
        <w:rPr>
          <w:rFonts w:cs="Calibri"/>
          <w:color w:val="000000"/>
        </w:rPr>
        <w:t>Charles Scribner's Sons</w:t>
      </w:r>
      <w:r w:rsidR="003008D7">
        <w:rPr>
          <w:rFonts w:cs="Calibri"/>
          <w:color w:val="000000"/>
        </w:rPr>
        <w:t>.</w:t>
      </w:r>
    </w:p>
    <w:p w14:paraId="2207ECB5" w14:textId="38A693B8" w:rsidR="007E2051" w:rsidRPr="000D42A6" w:rsidRDefault="00883E31" w:rsidP="00F34357">
      <w:pPr>
        <w:ind w:left="633" w:hanging="547"/>
        <w:rPr>
          <w:rFonts w:asciiTheme="minorHAnsi" w:hAnsiTheme="minorHAnsi" w:cstheme="minorHAnsi"/>
          <w:color w:val="000000"/>
        </w:rPr>
      </w:pPr>
      <w:r w:rsidRPr="000D42A6">
        <w:rPr>
          <w:rFonts w:asciiTheme="minorHAnsi" w:hAnsiTheme="minorHAnsi" w:cstheme="minorHAnsi"/>
          <w:color w:val="000000"/>
        </w:rPr>
        <w:t>PH</w:t>
      </w:r>
      <w:r w:rsidR="001C24C9">
        <w:rPr>
          <w:rFonts w:asciiTheme="minorHAnsi" w:hAnsiTheme="minorHAnsi" w:cstheme="minorHAnsi"/>
          <w:color w:val="000000"/>
        </w:rPr>
        <w:t xml:space="preserve">    </w:t>
      </w:r>
      <w:r w:rsidR="00241819">
        <w:rPr>
          <w:rFonts w:asciiTheme="minorHAnsi" w:hAnsiTheme="minorHAnsi" w:cstheme="minorHAnsi"/>
          <w:color w:val="000000"/>
        </w:rPr>
        <w:t xml:space="preserve"> </w:t>
      </w:r>
      <w:r w:rsidR="001C24C9" w:rsidRPr="001C24C9">
        <w:rPr>
          <w:rFonts w:cs="Calibri"/>
          <w:color w:val="000000"/>
        </w:rPr>
        <w:t>Philosophical Heresy</w:t>
      </w:r>
      <w:r w:rsidR="001C24C9">
        <w:rPr>
          <w:rFonts w:cs="Calibri"/>
          <w:color w:val="000000"/>
        </w:rPr>
        <w:t>.</w:t>
      </w:r>
    </w:p>
    <w:p w14:paraId="5B6BD744" w14:textId="697DD27B" w:rsidR="00257B96" w:rsidRPr="000D42A6" w:rsidRDefault="00257B96" w:rsidP="00F34357">
      <w:pPr>
        <w:ind w:left="633" w:hanging="547"/>
        <w:rPr>
          <w:rFonts w:asciiTheme="minorHAnsi" w:hAnsiTheme="minorHAnsi" w:cstheme="minorHAnsi"/>
          <w:color w:val="000000"/>
        </w:rPr>
      </w:pPr>
      <w:r w:rsidRPr="000D42A6">
        <w:rPr>
          <w:rFonts w:asciiTheme="minorHAnsi" w:hAnsiTheme="minorHAnsi" w:cstheme="minorHAnsi"/>
          <w:color w:val="000000"/>
        </w:rPr>
        <w:t xml:space="preserve">PP    </w:t>
      </w:r>
      <w:r w:rsidR="00241819">
        <w:rPr>
          <w:rFonts w:asciiTheme="minorHAnsi" w:hAnsiTheme="minorHAnsi" w:cstheme="minorHAnsi"/>
          <w:color w:val="000000"/>
        </w:rPr>
        <w:t xml:space="preserve"> </w:t>
      </w:r>
      <w:r w:rsidRPr="000D42A6">
        <w:rPr>
          <w:rFonts w:asciiTheme="minorHAnsi" w:hAnsiTheme="minorHAnsi" w:cstheme="minorHAnsi"/>
          <w:color w:val="000000"/>
        </w:rPr>
        <w:t xml:space="preserve">1987. </w:t>
      </w:r>
      <w:r w:rsidRPr="000D42A6">
        <w:rPr>
          <w:rFonts w:asciiTheme="minorHAnsi" w:hAnsiTheme="minorHAnsi" w:cstheme="minorHAnsi"/>
          <w:i/>
          <w:iCs/>
          <w:color w:val="000000"/>
        </w:rPr>
        <w:t>Persons and Places</w:t>
      </w:r>
      <w:r w:rsidRPr="000D42A6">
        <w:rPr>
          <w:rFonts w:asciiTheme="minorHAnsi" w:hAnsiTheme="minorHAnsi" w:cstheme="minorHAnsi"/>
          <w:color w:val="000000"/>
        </w:rPr>
        <w:t>. Edited by William G. Holzberger and Herman J. Saatkamp Jr. Critical Edition. Cambridge, MA: MIT Press.</w:t>
      </w:r>
    </w:p>
    <w:p w14:paraId="1EA9A09C" w14:textId="1B00B451" w:rsidR="005D0563" w:rsidRDefault="005D0563" w:rsidP="00F34357">
      <w:pPr>
        <w:ind w:left="633" w:hanging="547"/>
        <w:rPr>
          <w:rFonts w:asciiTheme="minorHAnsi" w:hAnsiTheme="minorHAnsi" w:cstheme="minorHAnsi"/>
          <w:color w:val="000000"/>
        </w:rPr>
      </w:pPr>
      <w:r w:rsidRPr="000D42A6">
        <w:rPr>
          <w:rFonts w:asciiTheme="minorHAnsi" w:hAnsiTheme="minorHAnsi" w:cstheme="minorHAnsi"/>
          <w:color w:val="000000"/>
        </w:rPr>
        <w:t xml:space="preserve">RB </w:t>
      </w:r>
      <w:r w:rsidR="00D124EA" w:rsidRPr="000D42A6">
        <w:rPr>
          <w:rFonts w:asciiTheme="minorHAnsi" w:hAnsiTheme="minorHAnsi" w:cstheme="minorHAnsi"/>
          <w:color w:val="000000"/>
        </w:rPr>
        <w:t xml:space="preserve">   </w:t>
      </w:r>
      <w:r w:rsidR="00241819">
        <w:rPr>
          <w:rFonts w:asciiTheme="minorHAnsi" w:hAnsiTheme="minorHAnsi" w:cstheme="minorHAnsi"/>
          <w:color w:val="000000"/>
        </w:rPr>
        <w:t xml:space="preserve"> </w:t>
      </w:r>
      <w:r w:rsidR="00D124EA" w:rsidRPr="000D42A6">
        <w:rPr>
          <w:rFonts w:asciiTheme="minorHAnsi" w:hAnsiTheme="minorHAnsi" w:cstheme="minorHAnsi"/>
          <w:color w:val="000000"/>
        </w:rPr>
        <w:t xml:space="preserve">[1940] </w:t>
      </w:r>
      <w:r w:rsidRPr="000D42A6">
        <w:rPr>
          <w:rFonts w:asciiTheme="minorHAnsi" w:hAnsiTheme="minorHAnsi" w:cstheme="minorHAnsi"/>
          <w:color w:val="000000"/>
        </w:rPr>
        <w:t>1942</w:t>
      </w:r>
      <w:r w:rsidR="00D124EA" w:rsidRPr="000D42A6">
        <w:rPr>
          <w:rFonts w:asciiTheme="minorHAnsi" w:hAnsiTheme="minorHAnsi" w:cstheme="minorHAnsi"/>
          <w:color w:val="000000"/>
        </w:rPr>
        <w:t>.</w:t>
      </w:r>
      <w:r w:rsidR="00EC7DC2" w:rsidRPr="000D42A6">
        <w:rPr>
          <w:rFonts w:asciiTheme="minorHAnsi" w:hAnsiTheme="minorHAnsi" w:cstheme="minorHAnsi"/>
          <w:color w:val="000000"/>
        </w:rPr>
        <w:t xml:space="preserve"> </w:t>
      </w:r>
      <w:r w:rsidR="00EC7DC2" w:rsidRPr="000D42A6">
        <w:rPr>
          <w:rFonts w:asciiTheme="minorHAnsi" w:hAnsiTheme="minorHAnsi" w:cstheme="minorHAnsi"/>
          <w:i/>
          <w:iCs/>
          <w:color w:val="000000"/>
        </w:rPr>
        <w:t xml:space="preserve">Realms of Being. </w:t>
      </w:r>
      <w:r w:rsidR="00EC7DC2" w:rsidRPr="000D42A6">
        <w:rPr>
          <w:rFonts w:asciiTheme="minorHAnsi" w:hAnsiTheme="minorHAnsi" w:cstheme="minorHAnsi"/>
          <w:color w:val="000000"/>
        </w:rPr>
        <w:t xml:space="preserve">New </w:t>
      </w:r>
      <w:r w:rsidR="004715E0" w:rsidRPr="000D42A6">
        <w:rPr>
          <w:rFonts w:asciiTheme="minorHAnsi" w:hAnsiTheme="minorHAnsi" w:cstheme="minorHAnsi"/>
          <w:color w:val="000000"/>
        </w:rPr>
        <w:t>York: Charles Scribner's Sons</w:t>
      </w:r>
      <w:r w:rsidR="00451CA4">
        <w:rPr>
          <w:rFonts w:asciiTheme="minorHAnsi" w:hAnsiTheme="minorHAnsi" w:cstheme="minorHAnsi"/>
          <w:color w:val="000000"/>
        </w:rPr>
        <w:t>.</w:t>
      </w:r>
      <w:r w:rsidR="00EC7DC2" w:rsidRPr="000D42A6">
        <w:rPr>
          <w:rFonts w:asciiTheme="minorHAnsi" w:hAnsiTheme="minorHAnsi" w:cstheme="minorHAnsi"/>
          <w:color w:val="000000"/>
        </w:rPr>
        <w:t xml:space="preserve"> </w:t>
      </w:r>
    </w:p>
    <w:p w14:paraId="0A9D5464" w14:textId="40B3237C" w:rsidR="007F2EBD" w:rsidRPr="007F2EBD" w:rsidRDefault="00E36CD6" w:rsidP="00F34357">
      <w:pPr>
        <w:ind w:left="633" w:hanging="547"/>
        <w:rPr>
          <w:rFonts w:asciiTheme="minorHAnsi" w:hAnsiTheme="minorHAnsi" w:cstheme="minorHAnsi"/>
          <w:color w:val="000000"/>
        </w:rPr>
      </w:pPr>
      <w:r>
        <w:rPr>
          <w:rFonts w:asciiTheme="minorHAnsi" w:hAnsiTheme="minorHAnsi" w:cstheme="minorHAnsi"/>
          <w:color w:val="000000"/>
        </w:rPr>
        <w:t>WIP</w:t>
      </w:r>
      <w:r w:rsidR="007F2EBD">
        <w:rPr>
          <w:rFonts w:asciiTheme="minorHAnsi" w:hAnsiTheme="minorHAnsi" w:cstheme="minorHAnsi"/>
          <w:color w:val="000000"/>
        </w:rPr>
        <w:t xml:space="preserve"> </w:t>
      </w:r>
      <w:r w:rsidR="00241819">
        <w:rPr>
          <w:rFonts w:asciiTheme="minorHAnsi" w:hAnsiTheme="minorHAnsi" w:cstheme="minorHAnsi"/>
          <w:color w:val="000000"/>
        </w:rPr>
        <w:t xml:space="preserve">  </w:t>
      </w:r>
      <w:r w:rsidR="00C9469A">
        <w:rPr>
          <w:rFonts w:asciiTheme="minorHAnsi" w:hAnsiTheme="minorHAnsi" w:cstheme="minorHAnsi"/>
          <w:color w:val="000000"/>
        </w:rPr>
        <w:t xml:space="preserve"> </w:t>
      </w:r>
      <w:r w:rsidR="007F2EBD">
        <w:rPr>
          <w:rFonts w:asciiTheme="minorHAnsi" w:hAnsiTheme="minorHAnsi" w:cstheme="minorHAnsi"/>
          <w:color w:val="000000"/>
        </w:rPr>
        <w:t xml:space="preserve">1892. “What Is a Philistine?” </w:t>
      </w:r>
      <w:hyperlink r:id="rId7" w:history="1">
        <w:r w:rsidR="00E72E3F" w:rsidRPr="001D1EA0">
          <w:rPr>
            <w:rStyle w:val="Hyperlink"/>
            <w:rFonts w:asciiTheme="minorHAnsi" w:hAnsiTheme="minorHAnsi" w:cstheme="minorHAnsi"/>
          </w:rPr>
          <w:t>https://www.pseudopodium.org/repress/shorts/Satanaya-Philistine.html</w:t>
        </w:r>
      </w:hyperlink>
      <w:r w:rsidR="00E72E3F">
        <w:rPr>
          <w:rFonts w:asciiTheme="minorHAnsi" w:hAnsiTheme="minorHAnsi" w:cstheme="minorHAnsi"/>
          <w:color w:val="000000"/>
        </w:rPr>
        <w:t xml:space="preserve">. </w:t>
      </w:r>
    </w:p>
    <w:p w14:paraId="7DFD8054" w14:textId="50BB26C4" w:rsidR="00E36CD6" w:rsidRPr="000D42A6" w:rsidRDefault="00E36CD6" w:rsidP="00F34357">
      <w:pPr>
        <w:rPr>
          <w:rFonts w:asciiTheme="minorHAnsi" w:hAnsiTheme="minorHAnsi" w:cstheme="minorHAnsi"/>
          <w:color w:val="000000"/>
        </w:rPr>
      </w:pPr>
    </w:p>
    <w:p w14:paraId="532E392C" w14:textId="77777777" w:rsidR="00257B96" w:rsidRPr="000D42A6" w:rsidRDefault="00257B96" w:rsidP="00F34357">
      <w:pPr>
        <w:widowControl w:val="0"/>
        <w:tabs>
          <w:tab w:val="left" w:pos="720"/>
          <w:tab w:val="left" w:pos="2160"/>
          <w:tab w:val="left" w:pos="2880"/>
        </w:tabs>
        <w:autoSpaceDE w:val="0"/>
        <w:autoSpaceDN w:val="0"/>
        <w:adjustRightInd w:val="0"/>
        <w:rPr>
          <w:rFonts w:asciiTheme="minorHAnsi" w:hAnsiTheme="minorHAnsi" w:cstheme="minorHAnsi"/>
          <w:color w:val="851438"/>
          <w:sz w:val="20"/>
          <w:szCs w:val="20"/>
        </w:rPr>
      </w:pPr>
    </w:p>
    <w:p w14:paraId="2F543549" w14:textId="77777777" w:rsidR="00257B96" w:rsidRPr="000D42A6" w:rsidRDefault="00257B96" w:rsidP="00F34357">
      <w:pPr>
        <w:widowControl w:val="0"/>
        <w:tabs>
          <w:tab w:val="left" w:pos="720"/>
          <w:tab w:val="left" w:pos="2160"/>
          <w:tab w:val="left" w:pos="2880"/>
        </w:tabs>
        <w:autoSpaceDE w:val="0"/>
        <w:autoSpaceDN w:val="0"/>
        <w:adjustRightInd w:val="0"/>
        <w:ind w:firstLine="720"/>
        <w:rPr>
          <w:rFonts w:asciiTheme="minorHAnsi" w:hAnsiTheme="minorHAnsi" w:cstheme="minorHAnsi"/>
          <w:color w:val="851438"/>
          <w:sz w:val="20"/>
          <w:szCs w:val="20"/>
        </w:rPr>
      </w:pPr>
    </w:p>
    <w:p w14:paraId="4C8D055D" w14:textId="77777777" w:rsidR="00257B96" w:rsidRPr="000D42A6" w:rsidRDefault="00257B96" w:rsidP="00F34357">
      <w:pPr>
        <w:widowControl w:val="0"/>
        <w:tabs>
          <w:tab w:val="left" w:pos="720"/>
          <w:tab w:val="left" w:pos="2160"/>
          <w:tab w:val="left" w:pos="2880"/>
        </w:tabs>
        <w:autoSpaceDE w:val="0"/>
        <w:autoSpaceDN w:val="0"/>
        <w:adjustRightInd w:val="0"/>
        <w:ind w:firstLine="720"/>
        <w:rPr>
          <w:rFonts w:asciiTheme="minorHAnsi" w:hAnsiTheme="minorHAnsi" w:cstheme="minorHAnsi"/>
          <w:b/>
          <w:bCs/>
        </w:rPr>
      </w:pPr>
      <w:r w:rsidRPr="000D42A6">
        <w:rPr>
          <w:rFonts w:asciiTheme="minorHAnsi" w:hAnsiTheme="minorHAnsi" w:cstheme="minorHAnsi"/>
          <w:b/>
          <w:bCs/>
        </w:rPr>
        <w:t>Other References</w:t>
      </w:r>
    </w:p>
    <w:p w14:paraId="5913A470" w14:textId="77777777" w:rsidR="00257B96" w:rsidRPr="000D42A6" w:rsidRDefault="00257B96" w:rsidP="00F34357">
      <w:pPr>
        <w:widowControl w:val="0"/>
        <w:tabs>
          <w:tab w:val="left" w:pos="720"/>
          <w:tab w:val="left" w:pos="2160"/>
          <w:tab w:val="left" w:pos="2880"/>
        </w:tabs>
        <w:autoSpaceDE w:val="0"/>
        <w:autoSpaceDN w:val="0"/>
        <w:adjustRightInd w:val="0"/>
        <w:ind w:firstLine="720"/>
        <w:rPr>
          <w:rFonts w:asciiTheme="minorHAnsi" w:hAnsiTheme="minorHAnsi" w:cstheme="minorHAnsi"/>
          <w:color w:val="851438"/>
          <w:sz w:val="20"/>
          <w:szCs w:val="20"/>
        </w:rPr>
      </w:pPr>
    </w:p>
    <w:p w14:paraId="61984CDA" w14:textId="25E78F04"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Albee, Ernest. 1905. “Review ONE of George Santayana, Life of Reason.” </w:t>
      </w:r>
      <w:r w:rsidRPr="000D42A6">
        <w:rPr>
          <w:rFonts w:asciiTheme="minorHAnsi" w:hAnsiTheme="minorHAnsi" w:cstheme="minorHAnsi"/>
          <w:i/>
          <w:iCs/>
        </w:rPr>
        <w:t>The Philosophical Review</w:t>
      </w:r>
      <w:r w:rsidRPr="000D42A6">
        <w:rPr>
          <w:rFonts w:asciiTheme="minorHAnsi" w:hAnsiTheme="minorHAnsi" w:cstheme="minorHAnsi"/>
        </w:rPr>
        <w:t> 14 (5)</w:t>
      </w:r>
      <w:r w:rsidR="00AA4B80">
        <w:rPr>
          <w:rFonts w:asciiTheme="minorHAnsi" w:hAnsiTheme="minorHAnsi" w:cstheme="minorHAnsi"/>
        </w:rPr>
        <w:t>,</w:t>
      </w:r>
      <w:r w:rsidRPr="000D42A6">
        <w:rPr>
          <w:rFonts w:asciiTheme="minorHAnsi" w:hAnsiTheme="minorHAnsi" w:cstheme="minorHAnsi"/>
        </w:rPr>
        <w:t xml:space="preserve"> 602–7. </w:t>
      </w:r>
    </w:p>
    <w:p w14:paraId="2AC9442D"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 xml:space="preserve">Anonymous. 1923. “Review of George Santayana, Scepticism and Animal Faith.” </w:t>
      </w:r>
      <w:r w:rsidRPr="000D42A6">
        <w:rPr>
          <w:rFonts w:asciiTheme="minorHAnsi" w:hAnsiTheme="minorHAnsi" w:cstheme="minorHAnsi"/>
          <w:i/>
          <w:iCs/>
        </w:rPr>
        <w:t>The North American Review</w:t>
      </w:r>
      <w:r w:rsidRPr="000D42A6">
        <w:rPr>
          <w:rFonts w:asciiTheme="minorHAnsi" w:hAnsiTheme="minorHAnsi" w:cstheme="minorHAnsi"/>
        </w:rPr>
        <w:t>, 218 (812), 135-137.</w:t>
      </w:r>
    </w:p>
    <w:p w14:paraId="06494B4B"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Brodrick, Michael. 2015. </w:t>
      </w:r>
      <w:r w:rsidRPr="000D42A6">
        <w:rPr>
          <w:rFonts w:asciiTheme="minorHAnsi" w:hAnsiTheme="minorHAnsi" w:cstheme="minorHAnsi"/>
          <w:i/>
          <w:iCs/>
        </w:rPr>
        <w:t>The Ethics of Detachment in Santayana’s Philosophy</w:t>
      </w:r>
      <w:r w:rsidRPr="000D42A6">
        <w:rPr>
          <w:rFonts w:asciiTheme="minorHAnsi" w:hAnsiTheme="minorHAnsi" w:cstheme="minorHAnsi"/>
        </w:rPr>
        <w:t>. London: Palgrave Macmillan.</w:t>
      </w:r>
    </w:p>
    <w:p w14:paraId="44DA20A9"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Buchler, Justus. 1954. “One Santayana or Two?” </w:t>
      </w:r>
      <w:r w:rsidRPr="000D42A6">
        <w:rPr>
          <w:rFonts w:asciiTheme="minorHAnsi" w:hAnsiTheme="minorHAnsi" w:cstheme="minorHAnsi"/>
          <w:i/>
          <w:iCs/>
        </w:rPr>
        <w:t>The Journal of Philosophy</w:t>
      </w:r>
      <w:r w:rsidRPr="000D42A6">
        <w:rPr>
          <w:rFonts w:asciiTheme="minorHAnsi" w:hAnsiTheme="minorHAnsi" w:cstheme="minorHAnsi"/>
        </w:rPr>
        <w:t> 51 (2): 52–57. </w:t>
      </w:r>
    </w:p>
    <w:p w14:paraId="1044C7A7" w14:textId="5126343F" w:rsidR="00B36D64" w:rsidRPr="00960E2B" w:rsidRDefault="00B36D64"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960E2B">
        <w:rPr>
          <w:rFonts w:asciiTheme="minorHAnsi" w:hAnsiTheme="minorHAnsi" w:cstheme="minorHAnsi"/>
        </w:rPr>
        <w:t>Danto</w:t>
      </w:r>
      <w:r w:rsidR="002C1EC7" w:rsidRPr="00960E2B">
        <w:rPr>
          <w:rFonts w:asciiTheme="minorHAnsi" w:hAnsiTheme="minorHAnsi" w:cstheme="minorHAnsi"/>
        </w:rPr>
        <w:t>, Arthur. 1</w:t>
      </w:r>
      <w:r w:rsidR="00A831D0" w:rsidRPr="00960E2B">
        <w:rPr>
          <w:rFonts w:asciiTheme="minorHAnsi" w:hAnsiTheme="minorHAnsi" w:cstheme="minorHAnsi"/>
        </w:rPr>
        <w:t>963. “</w:t>
      </w:r>
      <w:r w:rsidR="00A831D0" w:rsidRPr="00960E2B">
        <w:rPr>
          <w:rFonts w:cs="Calibri"/>
        </w:rPr>
        <w:t>Santayana and the task ahead.</w:t>
      </w:r>
      <w:r w:rsidR="00A831D0" w:rsidRPr="00960E2B">
        <w:rPr>
          <w:rFonts w:asciiTheme="minorHAnsi" w:hAnsiTheme="minorHAnsi" w:cstheme="minorHAnsi"/>
        </w:rPr>
        <w:t xml:space="preserve">” </w:t>
      </w:r>
      <w:r w:rsidR="00A831D0" w:rsidRPr="00960E2B">
        <w:rPr>
          <w:rFonts w:asciiTheme="minorHAnsi" w:hAnsiTheme="minorHAnsi" w:cstheme="minorHAnsi"/>
          <w:i/>
          <w:iCs/>
        </w:rPr>
        <w:t>The Nation</w:t>
      </w:r>
      <w:r w:rsidR="004E7651" w:rsidRPr="00960E2B">
        <w:rPr>
          <w:rFonts w:asciiTheme="minorHAnsi" w:hAnsiTheme="minorHAnsi" w:cstheme="minorHAnsi"/>
          <w:i/>
          <w:iCs/>
        </w:rPr>
        <w:t xml:space="preserve"> </w:t>
      </w:r>
      <w:r w:rsidR="004E7651" w:rsidRPr="00960E2B">
        <w:rPr>
          <w:rFonts w:asciiTheme="minorHAnsi" w:hAnsiTheme="minorHAnsi" w:cstheme="minorHAnsi"/>
        </w:rPr>
        <w:t>(</w:t>
      </w:r>
      <w:r w:rsidR="00245B3A" w:rsidRPr="00960E2B">
        <w:rPr>
          <w:rFonts w:cs="Calibri"/>
        </w:rPr>
        <w:t>December 21, 1963</w:t>
      </w:r>
      <w:r w:rsidR="00AB4FE9" w:rsidRPr="00960E2B">
        <w:rPr>
          <w:rFonts w:cs="Calibri"/>
        </w:rPr>
        <w:t>)</w:t>
      </w:r>
      <w:r w:rsidR="00431D91" w:rsidRPr="00960E2B">
        <w:rPr>
          <w:rFonts w:cs="Calibri"/>
        </w:rPr>
        <w:t>, 437-440.</w:t>
      </w:r>
      <w:r w:rsidR="00AB4FE9" w:rsidRPr="00960E2B">
        <w:rPr>
          <w:rFonts w:cs="Calibri"/>
        </w:rPr>
        <w:t xml:space="preserve"> </w:t>
      </w:r>
    </w:p>
    <w:p w14:paraId="7F23D7DF" w14:textId="06E36346"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Edman, Irwin. 1939. “Review of George W. Howgate, George Santayana.” </w:t>
      </w:r>
      <w:r w:rsidRPr="000D42A6">
        <w:rPr>
          <w:rFonts w:asciiTheme="minorHAnsi" w:hAnsiTheme="minorHAnsi" w:cstheme="minorHAnsi"/>
          <w:i/>
          <w:iCs/>
        </w:rPr>
        <w:t>The Nation</w:t>
      </w:r>
      <w:r w:rsidR="00431D91">
        <w:rPr>
          <w:rFonts w:asciiTheme="minorHAnsi" w:hAnsiTheme="minorHAnsi" w:cstheme="minorHAnsi"/>
        </w:rPr>
        <w:t xml:space="preserve"> (</w:t>
      </w:r>
      <w:r w:rsidRPr="000D42A6">
        <w:rPr>
          <w:rFonts w:asciiTheme="minorHAnsi" w:hAnsiTheme="minorHAnsi" w:cstheme="minorHAnsi"/>
        </w:rPr>
        <w:t>May 20, 1939</w:t>
      </w:r>
      <w:r w:rsidR="009F2BA2">
        <w:rPr>
          <w:rFonts w:asciiTheme="minorHAnsi" w:hAnsiTheme="minorHAnsi" w:cstheme="minorHAnsi"/>
        </w:rPr>
        <w:t xml:space="preserve">). </w:t>
      </w:r>
      <w:r w:rsidR="009F2BA2" w:rsidRPr="009F2BA2">
        <w:rPr>
          <w:rFonts w:cs="Calibri"/>
        </w:rPr>
        <w:t>591-92</w:t>
      </w:r>
      <w:r w:rsidR="009F2BA2">
        <w:rPr>
          <w:rFonts w:cs="Calibri"/>
        </w:rPr>
        <w:t>.</w:t>
      </w:r>
    </w:p>
    <w:p w14:paraId="1D1D761B" w14:textId="1D571FD5"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Epstein, Joseph. 1989. “George Santayana and the Consolations of Philosophy.” In </w:t>
      </w:r>
      <w:r w:rsidRPr="000D42A6">
        <w:rPr>
          <w:rFonts w:asciiTheme="minorHAnsi" w:hAnsiTheme="minorHAnsi" w:cstheme="minorHAnsi"/>
          <w:i/>
          <w:iCs/>
        </w:rPr>
        <w:t>Par</w:t>
      </w:r>
      <w:r w:rsidR="00943E40" w:rsidRPr="000D42A6">
        <w:rPr>
          <w:rFonts w:asciiTheme="minorHAnsi" w:hAnsiTheme="minorHAnsi" w:cstheme="minorHAnsi"/>
          <w:i/>
          <w:iCs/>
        </w:rPr>
        <w:t>t</w:t>
      </w:r>
      <w:r w:rsidRPr="000D42A6">
        <w:rPr>
          <w:rFonts w:asciiTheme="minorHAnsi" w:hAnsiTheme="minorHAnsi" w:cstheme="minorHAnsi"/>
          <w:i/>
          <w:iCs/>
        </w:rPr>
        <w:t>ial Payments</w:t>
      </w:r>
      <w:r w:rsidRPr="000D42A6">
        <w:rPr>
          <w:rFonts w:asciiTheme="minorHAnsi" w:hAnsiTheme="minorHAnsi" w:cstheme="minorHAnsi"/>
        </w:rPr>
        <w:t>. New York and London: W. W. Norton &amp; Company</w:t>
      </w:r>
      <w:r w:rsidR="001C7C23" w:rsidRPr="001C7C23">
        <w:rPr>
          <w:rFonts w:cs="Calibri"/>
        </w:rPr>
        <w:t>, 320–45</w:t>
      </w:r>
      <w:r w:rsidR="001C7C23">
        <w:rPr>
          <w:rFonts w:cs="Calibri"/>
        </w:rPr>
        <w:t>.</w:t>
      </w:r>
    </w:p>
    <w:p w14:paraId="0E48B976" w14:textId="77777777" w:rsidR="00257B9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Etzioni, Amitai. 1996. “The Responsive Community: A Communitarian Perspective.” </w:t>
      </w:r>
      <w:r w:rsidRPr="000D42A6">
        <w:rPr>
          <w:rFonts w:asciiTheme="minorHAnsi" w:hAnsiTheme="minorHAnsi" w:cstheme="minorHAnsi"/>
          <w:i/>
          <w:iCs/>
        </w:rPr>
        <w:t>American Sociological Review</w:t>
      </w:r>
      <w:r w:rsidRPr="000D42A6">
        <w:rPr>
          <w:rFonts w:asciiTheme="minorHAnsi" w:hAnsiTheme="minorHAnsi" w:cstheme="minorHAnsi"/>
        </w:rPr>
        <w:t> 61 (1): 1–11.</w:t>
      </w:r>
    </w:p>
    <w:p w14:paraId="44027CD5" w14:textId="6D54E675" w:rsidR="00445DBF" w:rsidRPr="000D42A6" w:rsidRDefault="00F52277"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F52277">
        <w:rPr>
          <w:rFonts w:asciiTheme="minorHAnsi" w:hAnsiTheme="minorHAnsi" w:cstheme="minorHAnsi"/>
        </w:rPr>
        <w:t>Horváth</w:t>
      </w:r>
      <w:r w:rsidR="000A5A59">
        <w:rPr>
          <w:rFonts w:asciiTheme="minorHAnsi" w:hAnsiTheme="minorHAnsi" w:cstheme="minorHAnsi"/>
        </w:rPr>
        <w:t>,</w:t>
      </w:r>
      <w:r w:rsidRPr="00F52277">
        <w:rPr>
          <w:rFonts w:asciiTheme="minorHAnsi" w:hAnsiTheme="minorHAnsi" w:cstheme="minorHAnsi"/>
        </w:rPr>
        <w:t xml:space="preserve"> Nóra</w:t>
      </w:r>
      <w:r w:rsidR="00445DBF">
        <w:rPr>
          <w:rFonts w:asciiTheme="minorHAnsi" w:hAnsiTheme="minorHAnsi" w:cstheme="minorHAnsi"/>
        </w:rPr>
        <w:t xml:space="preserve">. </w:t>
      </w:r>
      <w:r w:rsidR="00325C73">
        <w:rPr>
          <w:rFonts w:asciiTheme="minorHAnsi" w:hAnsiTheme="minorHAnsi" w:cstheme="minorHAnsi"/>
        </w:rPr>
        <w:t>2019. “</w:t>
      </w:r>
      <w:r w:rsidR="00325C73" w:rsidRPr="00325C73">
        <w:rPr>
          <w:rFonts w:asciiTheme="minorHAnsi" w:hAnsiTheme="minorHAnsi" w:cstheme="minorHAnsi"/>
        </w:rPr>
        <w:t>The Legacy of Humanism in the Works of George Santayana: Modest Philosophical Investigations On a Rational Animal’s Humanism</w:t>
      </w:r>
      <w:r w:rsidR="00325C73">
        <w:rPr>
          <w:rFonts w:asciiTheme="minorHAnsi" w:hAnsiTheme="minorHAnsi" w:cstheme="minorHAnsi"/>
        </w:rPr>
        <w:t xml:space="preserve">.”  </w:t>
      </w:r>
      <w:r w:rsidR="00325C73" w:rsidRPr="000D42A6">
        <w:rPr>
          <w:rFonts w:asciiTheme="minorHAnsi" w:hAnsiTheme="minorHAnsi" w:cstheme="minorHAnsi"/>
          <w:i/>
          <w:iCs/>
        </w:rPr>
        <w:t>Overheard in Seville: Bulletin of the Santayana Society</w:t>
      </w:r>
      <w:r w:rsidR="0002770A">
        <w:rPr>
          <w:rFonts w:asciiTheme="minorHAnsi" w:hAnsiTheme="minorHAnsi" w:cstheme="minorHAnsi"/>
          <w:i/>
          <w:iCs/>
        </w:rPr>
        <w:t xml:space="preserve"> </w:t>
      </w:r>
      <w:r w:rsidR="00A93539" w:rsidRPr="00A93539">
        <w:rPr>
          <w:rFonts w:asciiTheme="minorHAnsi" w:hAnsiTheme="minorHAnsi" w:cstheme="minorHAnsi"/>
        </w:rPr>
        <w:t>37 (Fall),</w:t>
      </w:r>
      <w:r w:rsidR="00A93539">
        <w:rPr>
          <w:rFonts w:asciiTheme="minorHAnsi" w:hAnsiTheme="minorHAnsi" w:cstheme="minorHAnsi"/>
        </w:rPr>
        <w:t xml:space="preserve"> </w:t>
      </w:r>
      <w:r>
        <w:rPr>
          <w:rFonts w:asciiTheme="minorHAnsi" w:hAnsiTheme="minorHAnsi" w:cstheme="minorHAnsi"/>
        </w:rPr>
        <w:t>85-92.</w:t>
      </w:r>
    </w:p>
    <w:p w14:paraId="16FF9A91" w14:textId="4F3049D4" w:rsidR="00257B96" w:rsidRPr="00886B6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color w:val="C00000"/>
        </w:rPr>
      </w:pPr>
      <w:r w:rsidRPr="000D42A6">
        <w:rPr>
          <w:rFonts w:asciiTheme="minorHAnsi" w:hAnsiTheme="minorHAnsi" w:cstheme="minorHAnsi"/>
        </w:rPr>
        <w:t xml:space="preserve">Hook, Sidney. 1940. “Despair </w:t>
      </w:r>
      <w:r w:rsidRPr="00523315">
        <w:rPr>
          <w:rFonts w:asciiTheme="minorHAnsi" w:hAnsiTheme="minorHAnsi" w:cstheme="minorHAnsi"/>
        </w:rPr>
        <w:t>on Mt. Olympus.” </w:t>
      </w:r>
      <w:r w:rsidRPr="00523315">
        <w:rPr>
          <w:rFonts w:asciiTheme="minorHAnsi" w:hAnsiTheme="minorHAnsi" w:cstheme="minorHAnsi"/>
          <w:i/>
          <w:iCs/>
        </w:rPr>
        <w:t>The Nation</w:t>
      </w:r>
      <w:r w:rsidR="00886B66" w:rsidRPr="00523315">
        <w:rPr>
          <w:rFonts w:asciiTheme="minorHAnsi" w:hAnsiTheme="minorHAnsi" w:cstheme="minorHAnsi"/>
        </w:rPr>
        <w:t xml:space="preserve"> (</w:t>
      </w:r>
      <w:r w:rsidRPr="00523315">
        <w:rPr>
          <w:rFonts w:asciiTheme="minorHAnsi" w:hAnsiTheme="minorHAnsi" w:cstheme="minorHAnsi"/>
        </w:rPr>
        <w:t>November 2, 1940</w:t>
      </w:r>
      <w:r w:rsidR="00886B66" w:rsidRPr="00523315">
        <w:rPr>
          <w:rFonts w:asciiTheme="minorHAnsi" w:hAnsiTheme="minorHAnsi" w:cstheme="minorHAnsi"/>
        </w:rPr>
        <w:t>)</w:t>
      </w:r>
      <w:r w:rsidR="00523315" w:rsidRPr="00523315">
        <w:rPr>
          <w:rFonts w:asciiTheme="minorHAnsi" w:hAnsiTheme="minorHAnsi" w:cstheme="minorHAnsi"/>
        </w:rPr>
        <w:t xml:space="preserve">, </w:t>
      </w:r>
      <w:r w:rsidR="00523315" w:rsidRPr="00523315">
        <w:rPr>
          <w:rFonts w:cs="Calibri"/>
        </w:rPr>
        <w:t>423-424</w:t>
      </w:r>
      <w:r w:rsidR="00886B66" w:rsidRPr="00523315">
        <w:rPr>
          <w:rFonts w:asciiTheme="minorHAnsi" w:hAnsiTheme="minorHAnsi" w:cstheme="minorHAnsi"/>
        </w:rPr>
        <w:t xml:space="preserve"> </w:t>
      </w:r>
      <w:r w:rsidRPr="00523315">
        <w:rPr>
          <w:rFonts w:asciiTheme="minorHAnsi" w:hAnsiTheme="minorHAnsi" w:cstheme="minorHAnsi"/>
        </w:rPr>
        <w:t>.</w:t>
      </w:r>
    </w:p>
    <w:p w14:paraId="66D97714" w14:textId="59191446"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Jessup, John K. 1974. “Dewey’s Bulldog on His Own.” </w:t>
      </w:r>
      <w:r w:rsidRPr="000D42A6">
        <w:rPr>
          <w:rFonts w:asciiTheme="minorHAnsi" w:hAnsiTheme="minorHAnsi" w:cstheme="minorHAnsi"/>
          <w:i/>
          <w:iCs/>
        </w:rPr>
        <w:t>Change</w:t>
      </w:r>
      <w:r w:rsidRPr="000D42A6">
        <w:rPr>
          <w:rFonts w:asciiTheme="minorHAnsi" w:hAnsiTheme="minorHAnsi" w:cstheme="minorHAnsi"/>
        </w:rPr>
        <w:t> 6 (3)</w:t>
      </w:r>
      <w:r w:rsidR="00B137C9">
        <w:rPr>
          <w:rFonts w:asciiTheme="minorHAnsi" w:hAnsiTheme="minorHAnsi" w:cstheme="minorHAnsi"/>
        </w:rPr>
        <w:t>,</w:t>
      </w:r>
      <w:r w:rsidRPr="000D42A6">
        <w:rPr>
          <w:rFonts w:asciiTheme="minorHAnsi" w:hAnsiTheme="minorHAnsi" w:cstheme="minorHAnsi"/>
        </w:rPr>
        <w:t xml:space="preserve"> 58–60.</w:t>
      </w:r>
    </w:p>
    <w:p w14:paraId="3FBA2244" w14:textId="7D7CC3CC"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 xml:space="preserve">Knox, Israel. 1958. “Review of George Santayana, The Winds of Doctrine and Platonism and the Spiritual Life.” </w:t>
      </w:r>
      <w:r w:rsidRPr="000D42A6">
        <w:rPr>
          <w:rFonts w:asciiTheme="minorHAnsi" w:hAnsiTheme="minorHAnsi" w:cstheme="minorHAnsi"/>
          <w:i/>
          <w:iCs/>
        </w:rPr>
        <w:t>Journal of Bible and Religion</w:t>
      </w:r>
      <w:r w:rsidRPr="000D42A6">
        <w:rPr>
          <w:rFonts w:asciiTheme="minorHAnsi" w:hAnsiTheme="minorHAnsi" w:cstheme="minorHAnsi"/>
        </w:rPr>
        <w:t> 26 (1)</w:t>
      </w:r>
      <w:r w:rsidR="00DE37C4">
        <w:rPr>
          <w:rFonts w:asciiTheme="minorHAnsi" w:hAnsiTheme="minorHAnsi" w:cstheme="minorHAnsi"/>
        </w:rPr>
        <w:t>,</w:t>
      </w:r>
      <w:r w:rsidRPr="000D42A6">
        <w:rPr>
          <w:rFonts w:asciiTheme="minorHAnsi" w:hAnsiTheme="minorHAnsi" w:cstheme="minorHAnsi"/>
        </w:rPr>
        <w:t xml:space="preserve"> 83–84.</w:t>
      </w:r>
    </w:p>
    <w:p w14:paraId="62C16909"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Lamont, Corliss. 1959. </w:t>
      </w:r>
      <w:r w:rsidRPr="000D42A6">
        <w:rPr>
          <w:rFonts w:asciiTheme="minorHAnsi" w:hAnsiTheme="minorHAnsi" w:cstheme="minorHAnsi"/>
          <w:i/>
          <w:iCs/>
        </w:rPr>
        <w:t>Dialogue on George Santayana</w:t>
      </w:r>
      <w:r w:rsidRPr="000D42A6">
        <w:rPr>
          <w:rFonts w:asciiTheme="minorHAnsi" w:hAnsiTheme="minorHAnsi" w:cstheme="minorHAnsi"/>
        </w:rPr>
        <w:t>. New York: Horizon Press.</w:t>
      </w:r>
    </w:p>
    <w:p w14:paraId="4D377CC9" w14:textId="60E26A49" w:rsidR="00B36D64" w:rsidRPr="000E029B" w:rsidRDefault="00B36D64"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E029B">
        <w:rPr>
          <w:rFonts w:asciiTheme="minorHAnsi" w:hAnsiTheme="minorHAnsi" w:cstheme="minorHAnsi"/>
        </w:rPr>
        <w:t>Levinson</w:t>
      </w:r>
      <w:r w:rsidR="000E48AC" w:rsidRPr="000E029B">
        <w:rPr>
          <w:rFonts w:asciiTheme="minorHAnsi" w:hAnsiTheme="minorHAnsi" w:cstheme="minorHAnsi"/>
        </w:rPr>
        <w:t xml:space="preserve">, Henry Samuel. </w:t>
      </w:r>
      <w:r w:rsidR="00650BBF" w:rsidRPr="000E029B">
        <w:rPr>
          <w:rFonts w:asciiTheme="minorHAnsi" w:hAnsiTheme="minorHAnsi" w:cstheme="minorHAnsi"/>
        </w:rPr>
        <w:t xml:space="preserve">1992. </w:t>
      </w:r>
      <w:r w:rsidR="00650BBF" w:rsidRPr="000E029B">
        <w:rPr>
          <w:rFonts w:cs="Calibri"/>
          <w:i/>
          <w:iCs/>
        </w:rPr>
        <w:t>Santayana, Pragmatism, and the Spiritual Life</w:t>
      </w:r>
      <w:r w:rsidR="000E029B" w:rsidRPr="000E029B">
        <w:rPr>
          <w:rFonts w:cs="Calibri"/>
          <w:i/>
          <w:iCs/>
        </w:rPr>
        <w:t>.</w:t>
      </w:r>
      <w:r w:rsidR="000E029B" w:rsidRPr="000E029B">
        <w:rPr>
          <w:rFonts w:cs="Calibri"/>
        </w:rPr>
        <w:t xml:space="preserve"> Chapel Hill and London: The University of North Carolina Press.</w:t>
      </w:r>
    </w:p>
    <w:p w14:paraId="30E77269"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Mayeroff, Milton. 1971. </w:t>
      </w:r>
      <w:r w:rsidRPr="000D42A6">
        <w:rPr>
          <w:rFonts w:asciiTheme="minorHAnsi" w:hAnsiTheme="minorHAnsi" w:cstheme="minorHAnsi"/>
          <w:i/>
          <w:iCs/>
        </w:rPr>
        <w:t>On Caring</w:t>
      </w:r>
      <w:r w:rsidRPr="000D42A6">
        <w:rPr>
          <w:rFonts w:asciiTheme="minorHAnsi" w:hAnsiTheme="minorHAnsi" w:cstheme="minorHAnsi"/>
        </w:rPr>
        <w:t>. New York: Harper &amp; Row, Publishers.</w:t>
      </w:r>
    </w:p>
    <w:p w14:paraId="3A1CEE73"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McCormick, John. 1987. </w:t>
      </w:r>
      <w:r w:rsidRPr="000D42A6">
        <w:rPr>
          <w:rFonts w:asciiTheme="minorHAnsi" w:hAnsiTheme="minorHAnsi" w:cstheme="minorHAnsi"/>
          <w:i/>
          <w:iCs/>
        </w:rPr>
        <w:t>George Santayana: A Biography</w:t>
      </w:r>
      <w:r w:rsidRPr="000D42A6">
        <w:rPr>
          <w:rFonts w:asciiTheme="minorHAnsi" w:hAnsiTheme="minorHAnsi" w:cstheme="minorHAnsi"/>
        </w:rPr>
        <w:t>. New York: Paragon House.</w:t>
      </w:r>
    </w:p>
    <w:p w14:paraId="50528240" w14:textId="0C647EFD" w:rsidR="003045AF" w:rsidRPr="00B07031" w:rsidRDefault="003045AF"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B07031">
        <w:rPr>
          <w:rFonts w:asciiTheme="minorHAnsi" w:hAnsiTheme="minorHAnsi" w:cstheme="minorHAnsi"/>
        </w:rPr>
        <w:t>Porte</w:t>
      </w:r>
      <w:r w:rsidR="000F5A4D" w:rsidRPr="00B07031">
        <w:rPr>
          <w:rFonts w:asciiTheme="minorHAnsi" w:hAnsiTheme="minorHAnsi" w:cstheme="minorHAnsi"/>
        </w:rPr>
        <w:t>, Joel. 1962</w:t>
      </w:r>
      <w:r w:rsidR="008B2283" w:rsidRPr="00B07031">
        <w:rPr>
          <w:rFonts w:asciiTheme="minorHAnsi" w:hAnsiTheme="minorHAnsi" w:cstheme="minorHAnsi"/>
        </w:rPr>
        <w:t>. “</w:t>
      </w:r>
      <w:r w:rsidR="008B2283" w:rsidRPr="00B07031">
        <w:rPr>
          <w:rFonts w:cs="Calibri"/>
        </w:rPr>
        <w:t>Santayana at the ‘Gas House.’"</w:t>
      </w:r>
      <w:r w:rsidR="00BA7274" w:rsidRPr="00B07031">
        <w:rPr>
          <w:rFonts w:asciiTheme="minorHAnsi" w:hAnsiTheme="minorHAnsi" w:cstheme="minorHAnsi"/>
        </w:rPr>
        <w:t xml:space="preserve"> </w:t>
      </w:r>
      <w:r w:rsidR="00BA7274" w:rsidRPr="00B07031">
        <w:rPr>
          <w:rFonts w:cs="Calibri"/>
          <w:i/>
          <w:iCs/>
        </w:rPr>
        <w:t>The New England Quarterly</w:t>
      </w:r>
      <w:r w:rsidR="00BA7274" w:rsidRPr="00B07031">
        <w:rPr>
          <w:rFonts w:cs="Calibri"/>
        </w:rPr>
        <w:t xml:space="preserve"> </w:t>
      </w:r>
      <w:r w:rsidR="008B2283" w:rsidRPr="00B07031">
        <w:rPr>
          <w:rFonts w:cs="Calibri"/>
        </w:rPr>
        <w:t>(September</w:t>
      </w:r>
      <w:r w:rsidR="00A31167" w:rsidRPr="00B07031">
        <w:rPr>
          <w:rFonts w:cs="Calibri"/>
        </w:rPr>
        <w:t xml:space="preserve"> </w:t>
      </w:r>
      <w:r w:rsidR="008B2283" w:rsidRPr="00B07031">
        <w:rPr>
          <w:rFonts w:cs="Calibri"/>
        </w:rPr>
        <w:t>19</w:t>
      </w:r>
      <w:r w:rsidR="00256AE5" w:rsidRPr="00B07031">
        <w:rPr>
          <w:rFonts w:cs="Calibri"/>
        </w:rPr>
        <w:t>62), 337-346.</w:t>
      </w:r>
    </w:p>
    <w:p w14:paraId="02F4967C" w14:textId="6BF4D2F3"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Rubin, Richard M. 2014. “Santayana’s Way of Life and Ours.” </w:t>
      </w:r>
      <w:r w:rsidRPr="000D42A6">
        <w:rPr>
          <w:rFonts w:asciiTheme="minorHAnsi" w:hAnsiTheme="minorHAnsi" w:cstheme="minorHAnsi"/>
          <w:i/>
          <w:iCs/>
        </w:rPr>
        <w:t>Overheard in Seville: Bulletin of the Santayana Society</w:t>
      </w:r>
      <w:r w:rsidRPr="000D42A6">
        <w:rPr>
          <w:rFonts w:asciiTheme="minorHAnsi" w:hAnsiTheme="minorHAnsi" w:cstheme="minorHAnsi"/>
        </w:rPr>
        <w:t>, 32</w:t>
      </w:r>
      <w:r w:rsidR="00A93539">
        <w:rPr>
          <w:rFonts w:asciiTheme="minorHAnsi" w:hAnsiTheme="minorHAnsi" w:cstheme="minorHAnsi"/>
        </w:rPr>
        <w:t xml:space="preserve"> (Fall)</w:t>
      </w:r>
      <w:r w:rsidRPr="000D42A6">
        <w:rPr>
          <w:rFonts w:asciiTheme="minorHAnsi" w:hAnsiTheme="minorHAnsi" w:cstheme="minorHAnsi"/>
        </w:rPr>
        <w:t>, 52–56.</w:t>
      </w:r>
    </w:p>
    <w:p w14:paraId="7C3DCB51" w14:textId="6F60A5A5"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Saatkamp Jr, Herman J. 2018. “Santayana in 1893: The Metanoia.” </w:t>
      </w:r>
      <w:r w:rsidRPr="000D42A6">
        <w:rPr>
          <w:rFonts w:asciiTheme="minorHAnsi" w:hAnsiTheme="minorHAnsi" w:cstheme="minorHAnsi"/>
          <w:i/>
          <w:iCs/>
        </w:rPr>
        <w:t xml:space="preserve">Overheard in Seville: Bulletin of </w:t>
      </w:r>
      <w:r w:rsidRPr="000D42A6">
        <w:rPr>
          <w:rFonts w:asciiTheme="minorHAnsi" w:hAnsiTheme="minorHAnsi" w:cstheme="minorHAnsi"/>
          <w:i/>
          <w:iCs/>
        </w:rPr>
        <w:lastRenderedPageBreak/>
        <w:t>the Santayana Society</w:t>
      </w:r>
      <w:r w:rsidRPr="000D42A6">
        <w:rPr>
          <w:rFonts w:asciiTheme="minorHAnsi" w:hAnsiTheme="minorHAnsi" w:cstheme="minorHAnsi"/>
        </w:rPr>
        <w:t xml:space="preserve"> 36 (Fall), 4–5.</w:t>
      </w:r>
    </w:p>
    <w:p w14:paraId="69ADCC13"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 2021. </w:t>
      </w:r>
      <w:r w:rsidRPr="000D42A6">
        <w:rPr>
          <w:rFonts w:asciiTheme="minorHAnsi" w:hAnsiTheme="minorHAnsi" w:cstheme="minorHAnsi"/>
          <w:i/>
          <w:iCs/>
        </w:rPr>
        <w:t>A Life of Scholarship with Santayana: Essays and Reflections</w:t>
      </w:r>
      <w:r w:rsidRPr="000D42A6">
        <w:rPr>
          <w:rFonts w:asciiTheme="minorHAnsi" w:hAnsiTheme="minorHAnsi" w:cstheme="minorHAnsi"/>
        </w:rPr>
        <w:t>. Edited by Charles Padron and Krzysztof Piotr Skowronski. Leiden; Boston: Brill Rodopi.</w:t>
      </w:r>
    </w:p>
    <w:p w14:paraId="4B7AEA2A" w14:textId="32B758EA"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b/>
          <w:bCs/>
          <w:color w:val="C00000"/>
        </w:rPr>
      </w:pPr>
      <w:r w:rsidRPr="000D42A6">
        <w:rPr>
          <w:rFonts w:asciiTheme="minorHAnsi" w:hAnsiTheme="minorHAnsi" w:cstheme="minorHAnsi"/>
        </w:rPr>
        <w:t>Seiple, D. 202</w:t>
      </w:r>
      <w:r w:rsidR="00A33D26" w:rsidRPr="000D42A6">
        <w:rPr>
          <w:rFonts w:asciiTheme="minorHAnsi" w:hAnsiTheme="minorHAnsi" w:cstheme="minorHAnsi"/>
        </w:rPr>
        <w:t>5.</w:t>
      </w:r>
      <w:r w:rsidRPr="000D42A6">
        <w:rPr>
          <w:rFonts w:asciiTheme="minorHAnsi" w:hAnsiTheme="minorHAnsi" w:cstheme="minorHAnsi"/>
        </w:rPr>
        <w:t xml:space="preserve"> “Some Thoughts on Santayana at Harvard.” </w:t>
      </w:r>
      <w:r w:rsidR="00FC13F7" w:rsidRPr="000D42A6">
        <w:rPr>
          <w:rFonts w:asciiTheme="minorHAnsi" w:hAnsiTheme="minorHAnsi" w:cstheme="minorHAnsi"/>
          <w:i/>
          <w:iCs/>
        </w:rPr>
        <w:t>Overheard in Seville: Bulletin of the Santayana Society</w:t>
      </w:r>
      <w:r w:rsidR="00FC13F7" w:rsidRPr="00FC13F7">
        <w:rPr>
          <w:rFonts w:asciiTheme="minorHAnsi" w:hAnsiTheme="minorHAnsi" w:cstheme="minorHAnsi"/>
        </w:rPr>
        <w:t xml:space="preserve"> (forthcoming).</w:t>
      </w:r>
    </w:p>
    <w:p w14:paraId="4576315D" w14:textId="77777777"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Schilpp, Paul Arthur, ed. 1940. </w:t>
      </w:r>
      <w:r w:rsidRPr="000D42A6">
        <w:rPr>
          <w:rFonts w:asciiTheme="minorHAnsi" w:hAnsiTheme="minorHAnsi" w:cstheme="minorHAnsi"/>
          <w:i/>
          <w:iCs/>
        </w:rPr>
        <w:t>The Philosophy of George Santayana</w:t>
      </w:r>
      <w:r w:rsidRPr="000D42A6">
        <w:rPr>
          <w:rFonts w:asciiTheme="minorHAnsi" w:hAnsiTheme="minorHAnsi" w:cstheme="minorHAnsi"/>
        </w:rPr>
        <w:t>. First Edition. La Salle, IL: Open Court.</w:t>
      </w:r>
    </w:p>
    <w:p w14:paraId="62508A09" w14:textId="3F666518"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rPr>
      </w:pPr>
      <w:r w:rsidRPr="000D42A6">
        <w:rPr>
          <w:rFonts w:asciiTheme="minorHAnsi" w:hAnsiTheme="minorHAnsi" w:cstheme="minorHAnsi"/>
        </w:rPr>
        <w:t>Trilling, Lionel. 1956. “‘That Smile of Parmenides Made Me Think.’” In </w:t>
      </w:r>
      <w:r w:rsidRPr="000D42A6">
        <w:rPr>
          <w:rFonts w:asciiTheme="minorHAnsi" w:hAnsiTheme="minorHAnsi" w:cstheme="minorHAnsi"/>
          <w:i/>
          <w:iCs/>
        </w:rPr>
        <w:t>A Gathering of Fugitives</w:t>
      </w:r>
      <w:r w:rsidR="001C7C23">
        <w:rPr>
          <w:rFonts w:asciiTheme="minorHAnsi" w:hAnsiTheme="minorHAnsi" w:cstheme="minorHAnsi"/>
        </w:rPr>
        <w:t xml:space="preserve">. </w:t>
      </w:r>
      <w:r w:rsidRPr="000D42A6">
        <w:rPr>
          <w:rFonts w:asciiTheme="minorHAnsi" w:hAnsiTheme="minorHAnsi" w:cstheme="minorHAnsi"/>
        </w:rPr>
        <w:t>Boston: Beacon Press</w:t>
      </w:r>
      <w:r w:rsidR="001C7C23">
        <w:rPr>
          <w:rFonts w:asciiTheme="minorHAnsi" w:hAnsiTheme="minorHAnsi" w:cstheme="minorHAnsi"/>
        </w:rPr>
        <w:t xml:space="preserve">, </w:t>
      </w:r>
      <w:r w:rsidR="001C7C23" w:rsidRPr="001C7C23">
        <w:rPr>
          <w:rFonts w:cs="Calibri"/>
        </w:rPr>
        <w:t>153–</w:t>
      </w:r>
      <w:r w:rsidR="00AA4B80">
        <w:rPr>
          <w:rFonts w:cs="Calibri"/>
        </w:rPr>
        <w:t>1</w:t>
      </w:r>
      <w:r w:rsidR="001C7C23" w:rsidRPr="001C7C23">
        <w:rPr>
          <w:rFonts w:cs="Calibri"/>
        </w:rPr>
        <w:t>67.</w:t>
      </w:r>
    </w:p>
    <w:p w14:paraId="46CC5F86" w14:textId="25C5C8BE" w:rsidR="00257B96" w:rsidRPr="000D42A6" w:rsidRDefault="00257B96" w:rsidP="00F34357">
      <w:pPr>
        <w:widowControl w:val="0"/>
        <w:tabs>
          <w:tab w:val="left" w:pos="720"/>
          <w:tab w:val="left" w:pos="2160"/>
          <w:tab w:val="left" w:pos="2880"/>
        </w:tabs>
        <w:autoSpaceDE w:val="0"/>
        <w:autoSpaceDN w:val="0"/>
        <w:adjustRightInd w:val="0"/>
        <w:ind w:left="634" w:hanging="634"/>
        <w:rPr>
          <w:rFonts w:asciiTheme="minorHAnsi" w:hAnsiTheme="minorHAnsi" w:cstheme="minorHAnsi"/>
          <w:color w:val="851438"/>
          <w:sz w:val="20"/>
          <w:szCs w:val="20"/>
        </w:rPr>
      </w:pPr>
      <w:r w:rsidRPr="000D42A6">
        <w:rPr>
          <w:rFonts w:asciiTheme="minorHAnsi" w:hAnsiTheme="minorHAnsi" w:cstheme="minorHAnsi"/>
        </w:rPr>
        <w:t>Vivas, Eliseo. 1940. “Critique of Santayana.” </w:t>
      </w:r>
      <w:r w:rsidRPr="000D42A6">
        <w:rPr>
          <w:rFonts w:asciiTheme="minorHAnsi" w:hAnsiTheme="minorHAnsi" w:cstheme="minorHAnsi"/>
          <w:i/>
          <w:iCs/>
        </w:rPr>
        <w:t>The Nation</w:t>
      </w:r>
      <w:r w:rsidR="00DB7F9B">
        <w:rPr>
          <w:rFonts w:asciiTheme="minorHAnsi" w:hAnsiTheme="minorHAnsi" w:cstheme="minorHAnsi"/>
        </w:rPr>
        <w:t xml:space="preserve"> 151 (</w:t>
      </w:r>
      <w:r w:rsidR="00AF616E">
        <w:rPr>
          <w:rFonts w:asciiTheme="minorHAnsi" w:hAnsiTheme="minorHAnsi" w:cstheme="minorHAnsi"/>
        </w:rPr>
        <w:t>2) (</w:t>
      </w:r>
      <w:r w:rsidRPr="000D42A6">
        <w:rPr>
          <w:rFonts w:asciiTheme="minorHAnsi" w:hAnsiTheme="minorHAnsi" w:cstheme="minorHAnsi"/>
        </w:rPr>
        <w:t>July 13, 1940</w:t>
      </w:r>
      <w:r w:rsidR="00AF616E">
        <w:rPr>
          <w:rFonts w:asciiTheme="minorHAnsi" w:hAnsiTheme="minorHAnsi" w:cstheme="minorHAnsi"/>
        </w:rPr>
        <w:t xml:space="preserve">,) </w:t>
      </w:r>
      <w:r w:rsidR="005E435E" w:rsidRPr="005E435E">
        <w:rPr>
          <w:rFonts w:cs="Calibri"/>
        </w:rPr>
        <w:t>37</w:t>
      </w:r>
      <w:r w:rsidRPr="000D42A6">
        <w:rPr>
          <w:rFonts w:asciiTheme="minorHAnsi" w:hAnsiTheme="minorHAnsi" w:cstheme="minorHAnsi"/>
        </w:rPr>
        <w:t>.</w:t>
      </w:r>
    </w:p>
    <w:p w14:paraId="2A8715B7" w14:textId="77777777" w:rsidR="00530225" w:rsidRPr="000D42A6" w:rsidRDefault="00530225" w:rsidP="00F34357">
      <w:pPr>
        <w:widowControl w:val="0"/>
        <w:tabs>
          <w:tab w:val="left" w:pos="1440"/>
          <w:tab w:val="left" w:pos="2160"/>
          <w:tab w:val="left" w:pos="2880"/>
        </w:tabs>
        <w:autoSpaceDE w:val="0"/>
        <w:autoSpaceDN w:val="0"/>
        <w:adjustRightInd w:val="0"/>
        <w:ind w:firstLine="720"/>
        <w:rPr>
          <w:rFonts w:asciiTheme="minorHAnsi" w:hAnsiTheme="minorHAnsi" w:cstheme="minorHAnsi"/>
        </w:rPr>
      </w:pPr>
    </w:p>
    <w:sectPr w:rsidR="00530225" w:rsidRPr="000D42A6" w:rsidSect="00C455CA">
      <w:headerReference w:type="default" r:id="rId8"/>
      <w:footerReference w:type="default" r:id="rId9"/>
      <w:endnotePr>
        <w:numFmt w:val="decimal"/>
      </w:endnotePr>
      <w:pgSz w:w="12240" w:h="15840"/>
      <w:pgMar w:top="1440" w:right="1260" w:bottom="117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411E0A4" w14:textId="77777777" w:rsidR="004B6D26" w:rsidRDefault="004B6D26">
      <w:r>
        <w:separator/>
      </w:r>
    </w:p>
  </w:endnote>
  <w:endnote w:type="continuationSeparator" w:id="0">
    <w:p w14:paraId="25D44704" w14:textId="77777777" w:rsidR="004B6D26" w:rsidRDefault="004B6D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715B9" w14:textId="77777777" w:rsidR="00530225" w:rsidRDefault="00530225">
    <w:pPr>
      <w:widowControl w:val="0"/>
      <w:autoSpaceDE w:val="0"/>
      <w:autoSpaceDN w:val="0"/>
      <w:adjustRightInd w:val="0"/>
      <w:rPr>
        <w:rFonts w:ascii="Courier New" w:hAnsi="Courier New" w:cs="Courier New"/>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25D4EDB" w14:textId="77777777" w:rsidR="004B6D26" w:rsidRDefault="004B6D26">
      <w:r>
        <w:separator/>
      </w:r>
    </w:p>
  </w:footnote>
  <w:footnote w:type="continuationSeparator" w:id="0">
    <w:p w14:paraId="3B9E0069" w14:textId="77777777" w:rsidR="004B6D26" w:rsidRDefault="004B6D26">
      <w:r>
        <w:continuationSeparator/>
      </w:r>
    </w:p>
  </w:footnote>
  <w:footnote w:id="1">
    <w:p w14:paraId="17D2A71D" w14:textId="73235FD7" w:rsidR="0001429F" w:rsidRDefault="0001429F" w:rsidP="006E7C3A">
      <w:pPr>
        <w:pStyle w:val="FootnoteText"/>
        <w:rPr>
          <w:rFonts w:cs="Calibri"/>
          <w:sz w:val="18"/>
          <w:szCs w:val="18"/>
        </w:rPr>
      </w:pPr>
      <w:r>
        <w:rPr>
          <w:rStyle w:val="FootnoteReference"/>
          <w:rFonts w:cs="Calibri"/>
          <w:sz w:val="18"/>
          <w:szCs w:val="18"/>
        </w:rPr>
        <w:footnoteRef/>
      </w:r>
      <w:r>
        <w:rPr>
          <w:rFonts w:cs="Calibri"/>
          <w:sz w:val="18"/>
          <w:szCs w:val="18"/>
        </w:rPr>
        <w:t xml:space="preserve"> </w:t>
      </w:r>
      <w:r w:rsidR="001908D7">
        <w:rPr>
          <w:rFonts w:cs="Calibri"/>
          <w:sz w:val="18"/>
          <w:szCs w:val="18"/>
        </w:rPr>
        <w:t>An earlier version of this paper was p</w:t>
      </w:r>
      <w:r>
        <w:rPr>
          <w:rFonts w:cs="Calibri"/>
          <w:sz w:val="18"/>
          <w:szCs w:val="18"/>
        </w:rPr>
        <w:t>resented at the World Philosophy Congress (Rome), August 2, 2024. Thanks go to Phillip Beard and Matthew Caleb Flamm for their helpful advance comments.</w:t>
      </w:r>
      <w:r w:rsidR="007C2EB0">
        <w:rPr>
          <w:rFonts w:cs="Calibri"/>
          <w:sz w:val="18"/>
          <w:szCs w:val="18"/>
        </w:rPr>
        <w:t xml:space="preserve"> </w:t>
      </w:r>
      <w:r w:rsidR="003F4AA6">
        <w:rPr>
          <w:rFonts w:cs="Calibri"/>
          <w:sz w:val="18"/>
          <w:szCs w:val="18"/>
        </w:rPr>
        <w:t>Thanks also to an anonymous reviewer for some extremely helpful comment</w:t>
      </w:r>
      <w:r w:rsidR="00213FFA">
        <w:rPr>
          <w:rFonts w:cs="Calibri"/>
          <w:sz w:val="18"/>
          <w:szCs w:val="18"/>
        </w:rPr>
        <w:t>s</w:t>
      </w:r>
      <w:r w:rsidR="003F4AA6">
        <w:rPr>
          <w:rFonts w:cs="Calibri"/>
          <w:sz w:val="18"/>
          <w:szCs w:val="18"/>
        </w:rPr>
        <w:t xml:space="preserve"> </w:t>
      </w:r>
      <w:r w:rsidR="00543FF8">
        <w:rPr>
          <w:rFonts w:cs="Calibri"/>
          <w:sz w:val="18"/>
          <w:szCs w:val="18"/>
        </w:rPr>
        <w:t>on</w:t>
      </w:r>
      <w:r w:rsidR="003F4AA6">
        <w:rPr>
          <w:rFonts w:cs="Calibri"/>
          <w:sz w:val="18"/>
          <w:szCs w:val="18"/>
        </w:rPr>
        <w:t xml:space="preserve"> this revised version. </w:t>
      </w:r>
    </w:p>
  </w:footnote>
  <w:footnote w:id="2">
    <w:p w14:paraId="773DDB05" w14:textId="1D9C03CF" w:rsidR="003B7946" w:rsidRDefault="003B7946" w:rsidP="003B7946">
      <w:pPr>
        <w:widowControl w:val="0"/>
        <w:tabs>
          <w:tab w:val="left" w:pos="1440"/>
          <w:tab w:val="left" w:pos="2160"/>
          <w:tab w:val="left" w:pos="2880"/>
        </w:tabs>
        <w:autoSpaceDE w:val="0"/>
        <w:autoSpaceDN w:val="0"/>
        <w:adjustRightInd w:val="0"/>
        <w:rPr>
          <w:rFonts w:cs="Calibri"/>
          <w:sz w:val="18"/>
          <w:szCs w:val="18"/>
        </w:rPr>
      </w:pPr>
      <w:r w:rsidRPr="00B67606">
        <w:rPr>
          <w:rFonts w:cs="Calibri"/>
          <w:sz w:val="18"/>
          <w:szCs w:val="18"/>
          <w:vertAlign w:val="superscript"/>
        </w:rPr>
        <w:footnoteRef/>
      </w:r>
      <w:r w:rsidR="00F00335" w:rsidRPr="00B67606">
        <w:rPr>
          <w:rFonts w:cs="Calibri"/>
          <w:sz w:val="18"/>
          <w:szCs w:val="18"/>
        </w:rPr>
        <w:t xml:space="preserve"> </w:t>
      </w:r>
      <w:r w:rsidR="00B67606" w:rsidRPr="00B67606">
        <w:rPr>
          <w:rFonts w:cs="Calibri"/>
          <w:sz w:val="18"/>
          <w:szCs w:val="18"/>
        </w:rPr>
        <w:t>(</w:t>
      </w:r>
      <w:r w:rsidR="00F00335" w:rsidRPr="00B67606">
        <w:rPr>
          <w:rFonts w:cs="Calibri"/>
          <w:sz w:val="18"/>
          <w:szCs w:val="18"/>
        </w:rPr>
        <w:t>2 August 1912, LGS 2: 94</w:t>
      </w:r>
      <w:r w:rsidR="00B67606" w:rsidRPr="00B67606">
        <w:rPr>
          <w:rFonts w:cs="Calibri"/>
          <w:sz w:val="18"/>
          <w:szCs w:val="18"/>
        </w:rPr>
        <w:t>)</w:t>
      </w:r>
      <w:r w:rsidR="00F00335" w:rsidRPr="00B67606">
        <w:rPr>
          <w:rFonts w:cs="Calibri"/>
          <w:sz w:val="18"/>
          <w:szCs w:val="18"/>
        </w:rPr>
        <w:t>.</w:t>
      </w:r>
      <w:r w:rsidRPr="00B67606">
        <w:rPr>
          <w:rFonts w:cs="Calibri"/>
          <w:sz w:val="18"/>
          <w:szCs w:val="18"/>
        </w:rPr>
        <w:t xml:space="preserve"> </w:t>
      </w:r>
      <w:r w:rsidRPr="00B67606">
        <w:rPr>
          <w:rFonts w:cs="Calibri"/>
          <w:color w:val="000000"/>
          <w:sz w:val="18"/>
          <w:szCs w:val="18"/>
        </w:rPr>
        <w:t>For</w:t>
      </w:r>
      <w:r>
        <w:rPr>
          <w:rFonts w:cs="Calibri"/>
          <w:color w:val="000000"/>
          <w:sz w:val="18"/>
          <w:szCs w:val="18"/>
        </w:rPr>
        <w:t xml:space="preserve"> the unfolding details</w:t>
      </w:r>
      <w:r w:rsidR="00D02AFC">
        <w:rPr>
          <w:rFonts w:cs="Calibri"/>
          <w:color w:val="000000"/>
          <w:sz w:val="18"/>
          <w:szCs w:val="18"/>
        </w:rPr>
        <w:t xml:space="preserve"> of </w:t>
      </w:r>
      <w:r w:rsidR="006E0FE5">
        <w:rPr>
          <w:rFonts w:cs="Calibri"/>
          <w:color w:val="000000"/>
          <w:sz w:val="18"/>
          <w:szCs w:val="18"/>
        </w:rPr>
        <w:t>Santayana’s expanded thinking in this period</w:t>
      </w:r>
      <w:r>
        <w:rPr>
          <w:rFonts w:cs="Calibri"/>
          <w:color w:val="000000"/>
          <w:sz w:val="18"/>
          <w:szCs w:val="18"/>
        </w:rPr>
        <w:t>, see for example PH 561-568, the preface to the second edition of Reason in Common Sense (LR1), and various essays in SELS.</w:t>
      </w:r>
    </w:p>
  </w:footnote>
  <w:footnote w:id="3">
    <w:p w14:paraId="2A8715BC" w14:textId="73272F52"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sidR="009D34CD">
        <w:rPr>
          <w:rFonts w:cs="Calibri"/>
          <w:sz w:val="18"/>
          <w:szCs w:val="18"/>
        </w:rPr>
        <w:t xml:space="preserve"> </w:t>
      </w:r>
      <w:r>
        <w:rPr>
          <w:rFonts w:cs="Calibri"/>
          <w:sz w:val="18"/>
          <w:szCs w:val="18"/>
        </w:rPr>
        <w:t xml:space="preserve">There can be little doubt of </w:t>
      </w:r>
      <w:r w:rsidR="003A648A">
        <w:rPr>
          <w:rFonts w:cs="Calibri"/>
          <w:sz w:val="18"/>
          <w:szCs w:val="18"/>
        </w:rPr>
        <w:t xml:space="preserve">the </w:t>
      </w:r>
      <w:r w:rsidR="005833F8">
        <w:rPr>
          <w:rFonts w:cs="Calibri"/>
          <w:sz w:val="18"/>
          <w:szCs w:val="18"/>
        </w:rPr>
        <w:t>ambivalence</w:t>
      </w:r>
      <w:r w:rsidR="003A648A">
        <w:rPr>
          <w:rFonts w:cs="Calibri"/>
          <w:sz w:val="18"/>
          <w:szCs w:val="18"/>
        </w:rPr>
        <w:t xml:space="preserve"> other</w:t>
      </w:r>
      <w:r w:rsidR="005833F8">
        <w:rPr>
          <w:rFonts w:cs="Calibri"/>
          <w:sz w:val="18"/>
          <w:szCs w:val="18"/>
        </w:rPr>
        <w:t>s</w:t>
      </w:r>
      <w:r w:rsidR="003A648A">
        <w:rPr>
          <w:rFonts w:cs="Calibri"/>
          <w:sz w:val="18"/>
          <w:szCs w:val="18"/>
        </w:rPr>
        <w:t xml:space="preserve"> felt. Take</w:t>
      </w:r>
      <w:r>
        <w:rPr>
          <w:rFonts w:cs="Calibri"/>
          <w:sz w:val="18"/>
          <w:szCs w:val="18"/>
        </w:rPr>
        <w:t xml:space="preserve"> the case of Eliseo Vivas, who wrote in </w:t>
      </w:r>
      <w:r>
        <w:rPr>
          <w:rFonts w:cs="Calibri"/>
          <w:i/>
          <w:sz w:val="18"/>
          <w:szCs w:val="18"/>
        </w:rPr>
        <w:t>The Nation</w:t>
      </w:r>
      <w:r>
        <w:rPr>
          <w:rFonts w:cs="Calibri"/>
          <w:sz w:val="18"/>
          <w:szCs w:val="18"/>
        </w:rPr>
        <w:t xml:space="preserve"> that “the task of analyzing ‘The Realms of Being’ would be as unrewarding as it would be unpleasant. And yet it would be important to know in precisely what way the rhetorical effusions and the hyperborean posturings of the later period are prefigured in the earlier” (Vivas 1940, 37). However, notice the much kindlier tone toward the beginning of his essay in the Schilpp volume (Schlipp 1940, 316).</w:t>
      </w:r>
    </w:p>
  </w:footnote>
  <w:footnote w:id="4">
    <w:p w14:paraId="2A8715BE" w14:textId="1866E5D4"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For Buchler, this suggested not so much a break in the continuity of Santayana’s life’s work, but rather an ingrained division within the man himself. In that case Santayana’s presence would remain throughout, but (rather like his </w:t>
      </w:r>
      <w:r w:rsidR="00FC6A77">
        <w:rPr>
          <w:rFonts w:cs="Calibri"/>
          <w:sz w:val="18"/>
          <w:szCs w:val="18"/>
        </w:rPr>
        <w:t>quasi</w:t>
      </w:r>
      <w:r w:rsidR="00C52438">
        <w:rPr>
          <w:rFonts w:cs="Calibri"/>
          <w:sz w:val="18"/>
          <w:szCs w:val="18"/>
        </w:rPr>
        <w:t xml:space="preserve">-materialist </w:t>
      </w:r>
      <w:r>
        <w:rPr>
          <w:rFonts w:cs="Calibri"/>
          <w:sz w:val="18"/>
          <w:szCs w:val="18"/>
        </w:rPr>
        <w:t>ontology) one aspect of him would be irreducible to the other.</w:t>
      </w:r>
    </w:p>
  </w:footnote>
  <w:footnote w:id="5">
    <w:p w14:paraId="2A8715BF" w14:textId="3F877B1C"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Biographer John McCormick promotes such an assessment, that “</w:t>
      </w:r>
      <w:r>
        <w:rPr>
          <w:rFonts w:cs="Calibri"/>
          <w:i/>
          <w:sz w:val="18"/>
          <w:szCs w:val="18"/>
        </w:rPr>
        <w:t>Scepticism and Animal Faith</w:t>
      </w:r>
      <w:r>
        <w:rPr>
          <w:rFonts w:cs="Calibri"/>
          <w:sz w:val="18"/>
          <w:szCs w:val="18"/>
        </w:rPr>
        <w:t xml:space="preserve"> is packed with good things. It completes and fulfills </w:t>
      </w:r>
      <w:r>
        <w:rPr>
          <w:rFonts w:cs="Calibri"/>
          <w:i/>
          <w:sz w:val="18"/>
          <w:szCs w:val="18"/>
        </w:rPr>
        <w:t>The Life of Reason</w:t>
      </w:r>
      <w:r>
        <w:rPr>
          <w:rFonts w:cs="Calibri"/>
          <w:sz w:val="18"/>
          <w:szCs w:val="18"/>
        </w:rPr>
        <w:t xml:space="preserve"> and advances from it”</w:t>
      </w:r>
      <w:r>
        <w:rPr>
          <w:rFonts w:cs="Calibri"/>
          <w:color w:val="AA1FEA"/>
          <w:sz w:val="18"/>
          <w:szCs w:val="18"/>
        </w:rPr>
        <w:t xml:space="preserve"> </w:t>
      </w:r>
      <w:r>
        <w:rPr>
          <w:rFonts w:cs="Calibri"/>
          <w:color w:val="000000"/>
          <w:sz w:val="18"/>
          <w:szCs w:val="18"/>
        </w:rPr>
        <w:t>and also “summarize</w:t>
      </w:r>
      <w:r>
        <w:rPr>
          <w:rFonts w:cs="Calibri"/>
          <w:sz w:val="18"/>
          <w:szCs w:val="18"/>
        </w:rPr>
        <w:t xml:space="preserve">s the philosophical work to come” (1987, 262). To this same end Herman Saatkamp cites Santayana’s own words from </w:t>
      </w:r>
      <w:r>
        <w:rPr>
          <w:rFonts w:cs="Calibri"/>
          <w:i/>
          <w:sz w:val="18"/>
          <w:szCs w:val="18"/>
        </w:rPr>
        <w:t xml:space="preserve">Persons and Places </w:t>
      </w:r>
      <w:r>
        <w:rPr>
          <w:rFonts w:cs="Calibri"/>
          <w:sz w:val="18"/>
          <w:szCs w:val="18"/>
        </w:rPr>
        <w:t>(Saatkamp, 2021, 66).</w:t>
      </w:r>
      <w:r w:rsidR="00296CE3">
        <w:rPr>
          <w:rFonts w:cs="Calibri"/>
          <w:sz w:val="18"/>
          <w:szCs w:val="18"/>
        </w:rPr>
        <w:t xml:space="preserve"> </w:t>
      </w:r>
      <w:r w:rsidR="00A9739A">
        <w:rPr>
          <w:rFonts w:cs="Calibri"/>
          <w:sz w:val="18"/>
          <w:szCs w:val="18"/>
        </w:rPr>
        <w:t xml:space="preserve">Though there is only one passing acknowledgment in </w:t>
      </w:r>
      <w:r w:rsidR="00296CE3">
        <w:rPr>
          <w:rFonts w:cs="Calibri"/>
          <w:sz w:val="18"/>
          <w:szCs w:val="18"/>
        </w:rPr>
        <w:t xml:space="preserve">McCormick </w:t>
      </w:r>
      <w:r w:rsidR="00450A50">
        <w:rPr>
          <w:rFonts w:cs="Calibri"/>
          <w:sz w:val="18"/>
          <w:szCs w:val="18"/>
        </w:rPr>
        <w:t xml:space="preserve">preference, the biography </w:t>
      </w:r>
      <w:r w:rsidR="00E36E56">
        <w:rPr>
          <w:rFonts w:cs="Calibri"/>
          <w:sz w:val="18"/>
          <w:szCs w:val="18"/>
        </w:rPr>
        <w:t xml:space="preserve">must have been far more </w:t>
      </w:r>
      <w:r w:rsidR="00296CE3">
        <w:rPr>
          <w:rFonts w:cs="Calibri"/>
          <w:sz w:val="18"/>
          <w:szCs w:val="18"/>
        </w:rPr>
        <w:t>indebt</w:t>
      </w:r>
      <w:r w:rsidR="00450A50">
        <w:rPr>
          <w:rFonts w:cs="Calibri"/>
          <w:sz w:val="18"/>
          <w:szCs w:val="18"/>
        </w:rPr>
        <w:t>ed</w:t>
      </w:r>
      <w:r w:rsidR="00296CE3">
        <w:rPr>
          <w:rFonts w:cs="Calibri"/>
          <w:sz w:val="18"/>
          <w:szCs w:val="18"/>
        </w:rPr>
        <w:t xml:space="preserve"> to Saatkamp’s </w:t>
      </w:r>
      <w:r w:rsidR="00F40BDF">
        <w:rPr>
          <w:rFonts w:cs="Calibri"/>
          <w:sz w:val="18"/>
          <w:szCs w:val="18"/>
        </w:rPr>
        <w:t>own scholarly interpretation</w:t>
      </w:r>
      <w:r w:rsidR="00E36E56">
        <w:rPr>
          <w:rFonts w:cs="Calibri"/>
          <w:sz w:val="18"/>
          <w:szCs w:val="18"/>
        </w:rPr>
        <w:t xml:space="preserve"> than seems obvious</w:t>
      </w:r>
      <w:r w:rsidR="005075EF">
        <w:rPr>
          <w:rFonts w:cs="Calibri"/>
          <w:sz w:val="18"/>
          <w:szCs w:val="18"/>
        </w:rPr>
        <w:t xml:space="preserve"> </w:t>
      </w:r>
      <w:r w:rsidR="00E246A5">
        <w:rPr>
          <w:rFonts w:cs="Calibri"/>
          <w:sz w:val="18"/>
          <w:szCs w:val="18"/>
        </w:rPr>
        <w:t>from the text itself</w:t>
      </w:r>
      <w:r w:rsidR="00E36E56">
        <w:rPr>
          <w:rFonts w:cs="Calibri"/>
          <w:sz w:val="18"/>
          <w:szCs w:val="18"/>
        </w:rPr>
        <w:t xml:space="preserve">. </w:t>
      </w:r>
    </w:p>
  </w:footnote>
  <w:footnote w:id="6">
    <w:p w14:paraId="262A1826" w14:textId="77777777" w:rsidR="00C41A0C" w:rsidRDefault="00C41A0C" w:rsidP="00C41A0C">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In a letter to Buchler, Santayana characterizes the spiritual life as “not a substitute for the life of reason, but the cream or concomitant ultimate actuality of what the organized life of reason produces in consciousness” (LGS 5:354).</w:t>
      </w:r>
    </w:p>
  </w:footnote>
  <w:footnote w:id="7">
    <w:p w14:paraId="2A8715C2" w14:textId="6C15D417"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sidR="00720F19">
        <w:rPr>
          <w:rFonts w:cs="Calibri"/>
          <w:sz w:val="18"/>
          <w:szCs w:val="18"/>
        </w:rPr>
        <w:t xml:space="preserve"> </w:t>
      </w:r>
      <w:r>
        <w:rPr>
          <w:rFonts w:cs="Calibri"/>
          <w:sz w:val="18"/>
          <w:szCs w:val="18"/>
        </w:rPr>
        <w:t xml:space="preserve">Santayana </w:t>
      </w:r>
      <w:r w:rsidR="00FF380F">
        <w:rPr>
          <w:rFonts w:cs="Calibri"/>
          <w:sz w:val="18"/>
          <w:szCs w:val="18"/>
        </w:rPr>
        <w:t>is referencing</w:t>
      </w:r>
      <w:r>
        <w:rPr>
          <w:rFonts w:cs="Calibri"/>
          <w:sz w:val="18"/>
          <w:szCs w:val="18"/>
        </w:rPr>
        <w:t xml:space="preserve"> specifically Irwin Edman and Milton Munitz, whose critical essays appear earlier in the same volume.</w:t>
      </w:r>
      <w:r w:rsidR="007E0987">
        <w:rPr>
          <w:rFonts w:cs="Calibri"/>
          <w:sz w:val="18"/>
          <w:szCs w:val="18"/>
        </w:rPr>
        <w:t xml:space="preserve"> It’s worth noting the tongue-in-cheek intention in this passage: Santayana was never</w:t>
      </w:r>
      <w:r w:rsidR="002039DB">
        <w:rPr>
          <w:rFonts w:cs="Calibri"/>
          <w:sz w:val="18"/>
          <w:szCs w:val="18"/>
        </w:rPr>
        <w:t xml:space="preserve"> really</w:t>
      </w:r>
      <w:r w:rsidR="007E0987">
        <w:rPr>
          <w:rFonts w:cs="Calibri"/>
          <w:sz w:val="18"/>
          <w:szCs w:val="18"/>
        </w:rPr>
        <w:t xml:space="preserve"> </w:t>
      </w:r>
      <w:r w:rsidR="00BC5789">
        <w:rPr>
          <w:rFonts w:cs="Calibri"/>
          <w:sz w:val="18"/>
          <w:szCs w:val="18"/>
        </w:rPr>
        <w:t xml:space="preserve">a very good </w:t>
      </w:r>
      <w:r w:rsidR="00460BAA">
        <w:rPr>
          <w:rFonts w:cs="Calibri"/>
          <w:sz w:val="18"/>
          <w:szCs w:val="18"/>
        </w:rPr>
        <w:t>“</w:t>
      </w:r>
      <w:r w:rsidR="00BC5789">
        <w:rPr>
          <w:rFonts w:cs="Calibri"/>
          <w:sz w:val="18"/>
          <w:szCs w:val="18"/>
        </w:rPr>
        <w:t>humanist</w:t>
      </w:r>
      <w:r w:rsidR="00460BAA">
        <w:rPr>
          <w:rFonts w:cs="Calibri"/>
          <w:sz w:val="18"/>
          <w:szCs w:val="18"/>
        </w:rPr>
        <w:t xml:space="preserve">” </w:t>
      </w:r>
      <w:r w:rsidR="00C25A21">
        <w:rPr>
          <w:rFonts w:cs="Calibri"/>
          <w:sz w:val="18"/>
          <w:szCs w:val="18"/>
        </w:rPr>
        <w:t xml:space="preserve">– at least </w:t>
      </w:r>
      <w:r w:rsidR="00FF380F">
        <w:rPr>
          <w:rFonts w:cs="Calibri"/>
          <w:sz w:val="18"/>
          <w:szCs w:val="18"/>
        </w:rPr>
        <w:t xml:space="preserve">not </w:t>
      </w:r>
      <w:r w:rsidR="00C25A21">
        <w:rPr>
          <w:rFonts w:cs="Calibri"/>
          <w:sz w:val="18"/>
          <w:szCs w:val="18"/>
        </w:rPr>
        <w:t xml:space="preserve">in the sense his contemporaries would have recognized.  On this, see </w:t>
      </w:r>
      <w:r w:rsidR="000A5A59" w:rsidRPr="000A5A59">
        <w:rPr>
          <w:rFonts w:asciiTheme="minorHAnsi" w:hAnsiTheme="minorHAnsi" w:cstheme="minorHAnsi"/>
          <w:sz w:val="18"/>
          <w:szCs w:val="18"/>
        </w:rPr>
        <w:t>Horváth</w:t>
      </w:r>
      <w:r w:rsidR="00AC4262">
        <w:rPr>
          <w:rFonts w:cs="Calibri"/>
          <w:sz w:val="18"/>
          <w:szCs w:val="18"/>
        </w:rPr>
        <w:t>, 2019.</w:t>
      </w:r>
      <w:r w:rsidR="009E30D3">
        <w:rPr>
          <w:rFonts w:cs="Calibri"/>
          <w:sz w:val="18"/>
          <w:szCs w:val="18"/>
        </w:rPr>
        <w:t xml:space="preserve"> </w:t>
      </w:r>
    </w:p>
  </w:footnote>
  <w:footnote w:id="8">
    <w:p w14:paraId="503C0010" w14:textId="74B28B76" w:rsidR="00777D95" w:rsidRDefault="00777D95" w:rsidP="00777D95">
      <w:pPr>
        <w:pStyle w:val="FootnoteText"/>
        <w:rPr>
          <w:rFonts w:cs="Calibri"/>
          <w:sz w:val="18"/>
          <w:szCs w:val="18"/>
        </w:rPr>
      </w:pPr>
      <w:r>
        <w:rPr>
          <w:rStyle w:val="FootnoteReference"/>
          <w:rFonts w:cs="Calibri"/>
          <w:sz w:val="18"/>
          <w:szCs w:val="18"/>
        </w:rPr>
        <w:footnoteRef/>
      </w:r>
      <w:r>
        <w:rPr>
          <w:rFonts w:cs="Calibri"/>
          <w:sz w:val="18"/>
          <w:szCs w:val="18"/>
        </w:rPr>
        <w:t xml:space="preserve"> “After all, there has been no change in my deliberate doctrine; only some changes of mental habit”</w:t>
      </w:r>
      <w:r w:rsidR="00584980">
        <w:rPr>
          <w:rFonts w:cs="Calibri"/>
          <w:sz w:val="18"/>
          <w:szCs w:val="18"/>
        </w:rPr>
        <w:t xml:space="preserve"> </w:t>
      </w:r>
      <w:r>
        <w:rPr>
          <w:rFonts w:cs="Calibri"/>
          <w:sz w:val="18"/>
          <w:szCs w:val="18"/>
        </w:rPr>
        <w:t xml:space="preserve">(Preface to the 1922 edition of </w:t>
      </w:r>
      <w:r>
        <w:rPr>
          <w:rFonts w:cs="Calibri"/>
          <w:i/>
          <w:iCs/>
          <w:sz w:val="18"/>
          <w:szCs w:val="18"/>
        </w:rPr>
        <w:t>Life of Reason</w:t>
      </w:r>
      <w:r>
        <w:rPr>
          <w:rFonts w:cs="Calibri"/>
          <w:sz w:val="18"/>
          <w:szCs w:val="18"/>
        </w:rPr>
        <w:t>, LR1 183).</w:t>
      </w:r>
    </w:p>
  </w:footnote>
  <w:footnote w:id="9">
    <w:p w14:paraId="44119556" w14:textId="77777777" w:rsidR="00015D8A" w:rsidRDefault="00015D8A" w:rsidP="00015D8A">
      <w:pPr>
        <w:pStyle w:val="FootnoteText"/>
        <w:rPr>
          <w:rFonts w:cs="Calibri"/>
        </w:rPr>
      </w:pPr>
      <w:r>
        <w:rPr>
          <w:rStyle w:val="FootnoteReference"/>
          <w:rFonts w:cs="Calibri"/>
          <w:sz w:val="18"/>
          <w:szCs w:val="18"/>
        </w:rPr>
        <w:footnoteRef/>
      </w:r>
      <w:r>
        <w:rPr>
          <w:rFonts w:cs="Calibri"/>
          <w:sz w:val="18"/>
          <w:szCs w:val="18"/>
        </w:rPr>
        <w:t xml:space="preserve"> Arthur Danto, who had done his own graduate work at Columbia under the atmosphere of that same Columbia crowd, had remarked that </w:t>
      </w:r>
      <w:r>
        <w:rPr>
          <w:rFonts w:cs="Calibri"/>
          <w:i/>
          <w:iCs/>
          <w:sz w:val="18"/>
          <w:szCs w:val="18"/>
        </w:rPr>
        <w:t>Life of Reason</w:t>
      </w:r>
      <w:r>
        <w:rPr>
          <w:rFonts w:cs="Calibri"/>
          <w:sz w:val="18"/>
          <w:szCs w:val="18"/>
        </w:rPr>
        <w:t xml:space="preserve"> was “Santayana’s masterpiece in many ways…which earned from him the admiration of many philosophers who found his central teaching a liberation” (Danto, 1963, 438).  </w:t>
      </w:r>
    </w:p>
  </w:footnote>
  <w:footnote w:id="10">
    <w:p w14:paraId="2A8715C3" w14:textId="7087DA4B"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Hook had studied under Dewey at Columbia in the 1920s, and his dogged devotion to his teacher’s social program earned him the title of “Dewey’s Bulldog” (Jessup (1974).</w:t>
      </w:r>
    </w:p>
  </w:footnote>
  <w:footnote w:id="11">
    <w:p w14:paraId="2A8715C4" w14:textId="77777777"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Letter to Charles P. Davis, 17 August 1933 (LGS 5: 45).</w:t>
      </w:r>
    </w:p>
  </w:footnote>
  <w:footnote w:id="12">
    <w:p w14:paraId="2A8715C5" w14:textId="77777777"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Letter to Justus Buchler, 1 July 1936  (LGS 5:354).</w:t>
      </w:r>
    </w:p>
  </w:footnote>
  <w:footnote w:id="13">
    <w:p w14:paraId="2A8715C6" w14:textId="6D7D566E"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At least one early reviewer of the </w:t>
      </w:r>
      <w:r>
        <w:rPr>
          <w:rFonts w:cs="Calibri"/>
          <w:i/>
          <w:sz w:val="18"/>
          <w:szCs w:val="18"/>
        </w:rPr>
        <w:t>Life of Reason</w:t>
      </w:r>
      <w:r>
        <w:rPr>
          <w:rFonts w:cs="Calibri"/>
          <w:sz w:val="18"/>
          <w:szCs w:val="18"/>
        </w:rPr>
        <w:t xml:space="preserve"> had remarked on this: “Most fortunately philosophy, like natural science, has become largely a matter of methods, inviting cooperation, instead of a collection of more or less mutually exclusive system</w:t>
      </w:r>
      <w:r w:rsidR="00DC53AF">
        <w:rPr>
          <w:rFonts w:cs="Calibri"/>
          <w:sz w:val="18"/>
          <w:szCs w:val="18"/>
        </w:rPr>
        <w:t>s</w:t>
      </w:r>
      <w:r>
        <w:rPr>
          <w:rFonts w:cs="Calibri"/>
          <w:sz w:val="18"/>
          <w:szCs w:val="18"/>
        </w:rPr>
        <w:t>” (Albee, 1905, 603). See also the anonymous reviewer of Scepticism and Animal Faith (1923, 572).</w:t>
      </w:r>
    </w:p>
  </w:footnote>
  <w:footnote w:id="14">
    <w:p w14:paraId="75A0153F" w14:textId="234845C3" w:rsidR="006D4C64" w:rsidRDefault="006D4C64">
      <w:pPr>
        <w:pStyle w:val="FootnoteText"/>
      </w:pPr>
      <w:r>
        <w:rPr>
          <w:rStyle w:val="FootnoteReference"/>
        </w:rPr>
        <w:footnoteRef/>
      </w:r>
      <w:r>
        <w:t xml:space="preserve"> </w:t>
      </w:r>
      <w:r>
        <w:rPr>
          <w:rFonts w:cs="Calibri"/>
          <w:sz w:val="18"/>
          <w:szCs w:val="18"/>
        </w:rPr>
        <w:t xml:space="preserve">In his review of </w:t>
      </w:r>
      <w:r>
        <w:rPr>
          <w:rFonts w:cs="Calibri"/>
          <w:i/>
          <w:sz w:val="18"/>
          <w:szCs w:val="18"/>
        </w:rPr>
        <w:t xml:space="preserve">The Realm of Spirit, </w:t>
      </w:r>
      <w:r>
        <w:rPr>
          <w:rFonts w:cs="Calibri"/>
          <w:sz w:val="18"/>
          <w:szCs w:val="18"/>
        </w:rPr>
        <w:t>Hook wrote that “the most effective answer to the Santayana of the ‘Realms of Being’ is the Santayana of the ‘Life of Reason,’ with its sane moral economy in which security is not a blessing which descends upon us as we rise to eternity but something to be achieved by intelligent social action and rational personal discipline” (Hook,1940, 423).</w:t>
      </w:r>
    </w:p>
  </w:footnote>
  <w:footnote w:id="15">
    <w:p w14:paraId="01A5B619" w14:textId="405F9B4A" w:rsidR="00886B9A" w:rsidRDefault="00886B9A">
      <w:pPr>
        <w:pStyle w:val="FootnoteText"/>
        <w:rPr>
          <w:rFonts w:cs="Calibri"/>
        </w:rPr>
      </w:pPr>
      <w:r>
        <w:rPr>
          <w:rStyle w:val="FootnoteReference"/>
          <w:rFonts w:cs="Calibri"/>
        </w:rPr>
        <w:footnoteRef/>
      </w:r>
      <w:r>
        <w:rPr>
          <w:rFonts w:cs="Calibri"/>
        </w:rPr>
        <w:t xml:space="preserve"> </w:t>
      </w:r>
      <w:hyperlink r:id="rId1" w:history="1">
        <w:r w:rsidR="0004519C" w:rsidRPr="00B86FDD">
          <w:rPr>
            <w:rStyle w:val="Hyperlink"/>
            <w:rFonts w:cs="Calibri"/>
            <w:sz w:val="18"/>
            <w:szCs w:val="18"/>
          </w:rPr>
          <w:t>https://brill.com/display/serial/PWL</w:t>
        </w:r>
      </w:hyperlink>
      <w:r w:rsidR="0004519C">
        <w:rPr>
          <w:rFonts w:cs="Calibri"/>
        </w:rPr>
        <w:t xml:space="preserve"> </w:t>
      </w:r>
    </w:p>
  </w:footnote>
  <w:footnote w:id="16">
    <w:p w14:paraId="2A8715C7" w14:textId="0657A3AA" w:rsidR="0001429F" w:rsidRDefault="0001429F" w:rsidP="006E7C3A">
      <w:pPr>
        <w:widowControl w:val="0"/>
        <w:tabs>
          <w:tab w:val="left" w:pos="1440"/>
          <w:tab w:val="left" w:pos="2160"/>
          <w:tab w:val="left" w:pos="2880"/>
        </w:tabs>
        <w:autoSpaceDE w:val="0"/>
        <w:autoSpaceDN w:val="0"/>
        <w:adjustRightInd w:val="0"/>
        <w:rPr>
          <w:rFonts w:cs="Calibri"/>
          <w:sz w:val="18"/>
          <w:szCs w:val="18"/>
        </w:rPr>
      </w:pPr>
      <w:r>
        <w:rPr>
          <w:rFonts w:cs="Calibri"/>
          <w:sz w:val="18"/>
          <w:szCs w:val="18"/>
          <w:vertAlign w:val="superscript"/>
        </w:rPr>
        <w:footnoteRef/>
      </w:r>
      <w:r>
        <w:rPr>
          <w:rFonts w:cs="Calibri"/>
          <w:sz w:val="18"/>
          <w:szCs w:val="18"/>
        </w:rPr>
        <w:t xml:space="preserve"> Letter to Justus Buchler, 1 July 1936 (LGS 5:354).</w:t>
      </w:r>
      <w:r w:rsidR="0044248E">
        <w:rPr>
          <w:rFonts w:cs="Calibri"/>
          <w:sz w:val="18"/>
          <w:szCs w:val="18"/>
        </w:rPr>
        <w:t xml:space="preserve"> However, </w:t>
      </w:r>
      <w:r w:rsidR="0044248E" w:rsidRPr="003978CB">
        <w:rPr>
          <w:rFonts w:cs="Calibri"/>
          <w:i/>
          <w:iCs/>
          <w:sz w:val="18"/>
          <w:szCs w:val="18"/>
        </w:rPr>
        <w:t>Dominations and Powers</w:t>
      </w:r>
      <w:r w:rsidR="00540247">
        <w:rPr>
          <w:rFonts w:cs="Calibri"/>
          <w:sz w:val="18"/>
          <w:szCs w:val="18"/>
        </w:rPr>
        <w:t xml:space="preserve">, his last book, returned to these topics, and made it clear that he was, after all, taking notes </w:t>
      </w:r>
      <w:r w:rsidR="003978CB">
        <w:rPr>
          <w:rFonts w:cs="Calibri"/>
          <w:sz w:val="18"/>
          <w:szCs w:val="18"/>
        </w:rPr>
        <w:t xml:space="preserve">on these </w:t>
      </w:r>
      <w:r w:rsidR="00FE05CB">
        <w:rPr>
          <w:rFonts w:cs="Calibri"/>
          <w:sz w:val="18"/>
          <w:szCs w:val="18"/>
        </w:rPr>
        <w:t>matters</w:t>
      </w:r>
      <w:r w:rsidR="00BC50DB">
        <w:rPr>
          <w:rFonts w:cs="Calibri"/>
          <w:sz w:val="18"/>
          <w:szCs w:val="18"/>
        </w:rPr>
        <w:t xml:space="preserve"> all along</w:t>
      </w:r>
      <w:r w:rsidR="00540247">
        <w:rPr>
          <w:rFonts w:cs="Calibri"/>
          <w:sz w:val="18"/>
          <w:szCs w:val="18"/>
        </w:rPr>
        <w:t>.</w:t>
      </w:r>
    </w:p>
  </w:footnote>
  <w:footnote w:id="17">
    <w:p w14:paraId="2A8715C8" w14:textId="4D775BCF" w:rsidR="0001429F" w:rsidRDefault="0001429F" w:rsidP="006E7C3A">
      <w:pPr>
        <w:widowControl w:val="0"/>
        <w:tabs>
          <w:tab w:val="left" w:pos="1440"/>
          <w:tab w:val="left" w:pos="2160"/>
          <w:tab w:val="left" w:pos="2880"/>
        </w:tabs>
        <w:autoSpaceDE w:val="0"/>
        <w:autoSpaceDN w:val="0"/>
        <w:adjustRightInd w:val="0"/>
        <w:rPr>
          <w:rFonts w:cs="Calibri"/>
          <w:color w:val="C00000"/>
          <w:sz w:val="18"/>
          <w:szCs w:val="18"/>
        </w:rPr>
      </w:pPr>
      <w:r w:rsidRPr="00087C8F">
        <w:rPr>
          <w:rFonts w:cs="Calibri"/>
          <w:sz w:val="20"/>
          <w:szCs w:val="20"/>
          <w:vertAlign w:val="superscript"/>
        </w:rPr>
        <w:footnoteRef/>
      </w:r>
      <w:r w:rsidRPr="00087C8F">
        <w:rPr>
          <w:rFonts w:cs="Calibri"/>
          <w:sz w:val="20"/>
          <w:szCs w:val="20"/>
        </w:rPr>
        <w:t xml:space="preserve"> Seiple,</w:t>
      </w:r>
      <w:r w:rsidR="00F92147" w:rsidRPr="00087C8F">
        <w:rPr>
          <w:rFonts w:cs="Calibri"/>
          <w:sz w:val="20"/>
          <w:szCs w:val="20"/>
        </w:rPr>
        <w:t xml:space="preserve"> </w:t>
      </w:r>
      <w:r w:rsidR="00454514" w:rsidRPr="00087C8F">
        <w:rPr>
          <w:rFonts w:cs="Calibri"/>
          <w:sz w:val="20"/>
          <w:szCs w:val="20"/>
        </w:rPr>
        <w:t>2025</w:t>
      </w:r>
      <w:r w:rsidR="00454514" w:rsidRPr="00087C8F">
        <w:rPr>
          <w:rFonts w:cs="Calibri"/>
          <w:color w:val="C00000"/>
          <w:sz w:val="20"/>
          <w:szCs w:val="20"/>
        </w:rPr>
        <w:t xml:space="preserve">. </w:t>
      </w:r>
      <w:r w:rsidR="003C074C" w:rsidRPr="00087C8F">
        <w:rPr>
          <w:rFonts w:cs="Calibri"/>
          <w:color w:val="C00000"/>
          <w:sz w:val="20"/>
          <w:szCs w:val="20"/>
        </w:rPr>
        <w:t xml:space="preserve"> </w:t>
      </w:r>
    </w:p>
  </w:footnote>
  <w:footnote w:id="18">
    <w:p w14:paraId="0BE6C561" w14:textId="11FFF07A" w:rsidR="00B051AA" w:rsidRDefault="00B051AA" w:rsidP="00E10281">
      <w:pPr>
        <w:pStyle w:val="FootnoteText"/>
      </w:pPr>
      <w:r>
        <w:rPr>
          <w:rStyle w:val="FootnoteReference"/>
        </w:rPr>
        <w:footnoteRef/>
      </w:r>
      <w:r>
        <w:t xml:space="preserve"> </w:t>
      </w:r>
      <w:r w:rsidR="00015D8B">
        <w:t>“</w:t>
      </w:r>
      <w:r w:rsidR="00E10281">
        <w:t xml:space="preserve">Memory itself is an internal </w:t>
      </w:r>
      <w:proofErr w:type="spellStart"/>
      <w:r w:rsidR="00E10281">
        <w:t>rumour</w:t>
      </w:r>
      <w:proofErr w:type="spellEnd"/>
      <w:r w:rsidR="00E10281">
        <w:t>; and when to this hear-say within the mind we add the falsified echoes that reach us from others, we have but a shifting and unseizable basis to build upon.</w:t>
      </w:r>
      <w:r w:rsidR="00015D8B">
        <w:t>”</w:t>
      </w:r>
      <w:r w:rsidR="00E10281">
        <w:t xml:space="preserve"> (</w:t>
      </w:r>
      <w:r w:rsidR="0075702E">
        <w:t>LR5 23</w:t>
      </w:r>
      <w:r w:rsidR="00E10281">
        <w:t xml:space="preserve">). </w:t>
      </w:r>
      <w:r w:rsidR="00A042C9">
        <w:t xml:space="preserve"> </w:t>
      </w:r>
      <w:r w:rsidR="00015D8B">
        <w:t xml:space="preserve">And </w:t>
      </w:r>
      <w:r w:rsidR="00932927">
        <w:t>this</w:t>
      </w:r>
      <w:r w:rsidR="007B1B02">
        <w:t xml:space="preserve"> tuns out to be</w:t>
      </w:r>
      <w:r w:rsidR="00932927">
        <w:t>,</w:t>
      </w:r>
      <w:r w:rsidR="00EA0474">
        <w:t xml:space="preserve"> </w:t>
      </w:r>
      <w:r>
        <w:t xml:space="preserve">“in its texture, the most literal and adequate sort of knowledge of which a mind is capable” </w:t>
      </w:r>
      <w:r w:rsidR="00591B43">
        <w:t>(</w:t>
      </w:r>
      <w:r w:rsidR="00F74D69">
        <w:t xml:space="preserve">SAF </w:t>
      </w:r>
      <w:r w:rsidR="003643B4">
        <w:t>173-174</w:t>
      </w:r>
      <w:r w:rsidR="00591B43">
        <w:t>)</w:t>
      </w:r>
      <w:r>
        <w:t>.</w:t>
      </w:r>
    </w:p>
  </w:footnote>
  <w:footnote w:id="19">
    <w:p w14:paraId="2A8715CB" w14:textId="1E4D8CAD" w:rsidR="0001429F" w:rsidRDefault="0001429F" w:rsidP="006E7C3A">
      <w:pPr>
        <w:widowControl w:val="0"/>
        <w:tabs>
          <w:tab w:val="left" w:pos="1440"/>
          <w:tab w:val="left" w:pos="2160"/>
          <w:tab w:val="left" w:pos="2880"/>
        </w:tabs>
        <w:autoSpaceDE w:val="0"/>
        <w:autoSpaceDN w:val="0"/>
        <w:adjustRightInd w:val="0"/>
        <w:rPr>
          <w:rFonts w:ascii="Courier New" w:hAnsi="Courier New" w:cs="Courier New"/>
        </w:rPr>
      </w:pPr>
      <w:r>
        <w:rPr>
          <w:rFonts w:cs="Calibri"/>
          <w:sz w:val="18"/>
          <w:szCs w:val="18"/>
          <w:vertAlign w:val="superscript"/>
        </w:rPr>
        <w:footnoteRef/>
      </w:r>
      <w:r>
        <w:rPr>
          <w:rFonts w:cs="Calibri"/>
          <w:sz w:val="18"/>
          <w:szCs w:val="18"/>
        </w:rPr>
        <w:t xml:space="preserve"> Seiple, </w:t>
      </w:r>
      <w:r w:rsidR="00A874B7">
        <w:rPr>
          <w:rFonts w:cs="Calibri"/>
          <w:sz w:val="18"/>
          <w:szCs w:val="18"/>
        </w:rPr>
        <w:t>2025.</w:t>
      </w:r>
      <w:r>
        <w:rPr>
          <w:rFonts w:cs="Calibri"/>
          <w:sz w:val="18"/>
          <w:szCs w:val="18"/>
        </w:rPr>
        <w:t xml:space="preserve"> Though for a contrasting view, see Saatka</w:t>
      </w:r>
      <w:r w:rsidRPr="006E7C3A">
        <w:rPr>
          <w:rFonts w:ascii="Times New Roman" w:hAnsi="Times New Roman"/>
          <w:sz w:val="18"/>
          <w:szCs w:val="18"/>
        </w:rPr>
        <w:t>mp, 2021, 48-55.</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A8715B8" w14:textId="77777777" w:rsidR="00530225" w:rsidRDefault="006D6642">
    <w:pPr>
      <w:widowControl w:val="0"/>
      <w:autoSpaceDE w:val="0"/>
      <w:autoSpaceDN w:val="0"/>
      <w:adjustRightInd w:val="0"/>
      <w:jc w:val="right"/>
      <w:rPr>
        <w:rFonts w:ascii="Times New Roman" w:hAnsi="Times New Roman"/>
      </w:rPr>
    </w:pPr>
    <w:r>
      <w:rPr>
        <w:rFonts w:ascii="Times New Roman" w:hAnsi="Times New Roman"/>
      </w:rPr>
      <w:fldChar w:fldCharType="begin"/>
    </w:r>
    <w:r>
      <w:rPr>
        <w:rFonts w:ascii="Times New Roman" w:hAnsi="Times New Roman"/>
      </w:rPr>
      <w:instrText>PAGE</w:instrText>
    </w:r>
    <w:r>
      <w:rPr>
        <w:rFonts w:ascii="Times New Roman" w:hAnsi="Times New Roman"/>
      </w:rPr>
      <w:fldChar w:fldCharType="separate"/>
    </w:r>
    <w:r>
      <w:rPr>
        <w:rFonts w:ascii="Times New Roman" w:hAnsi="Times New Roman"/>
      </w:rPr>
      <w:t>XXX</w:t>
    </w:r>
    <w:r>
      <w:rPr>
        <w:rFonts w:ascii="Times New Roman" w:hAnsi="Times New Roman"/>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clean"/>
  <w:defaultTabStop w:val="1200"/>
  <w:doNotShadeFormData/>
  <w:characterSpacingControl w:val="compressPunctuation"/>
  <w:footnotePr>
    <w:footnote w:id="-1"/>
    <w:footnote w:id="0"/>
  </w:footnotePr>
  <w:endnotePr>
    <w:numFmt w:val="decimal"/>
    <w:endnote w:id="-1"/>
    <w:endnote w:id="0"/>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30225"/>
    <w:rsid w:val="000010A0"/>
    <w:rsid w:val="0000546F"/>
    <w:rsid w:val="00010D33"/>
    <w:rsid w:val="0001429F"/>
    <w:rsid w:val="00015D8A"/>
    <w:rsid w:val="00015D8B"/>
    <w:rsid w:val="0001750E"/>
    <w:rsid w:val="00023A63"/>
    <w:rsid w:val="00024C66"/>
    <w:rsid w:val="00025FE1"/>
    <w:rsid w:val="00026BEB"/>
    <w:rsid w:val="0002770A"/>
    <w:rsid w:val="000278B9"/>
    <w:rsid w:val="0003105F"/>
    <w:rsid w:val="00032C5E"/>
    <w:rsid w:val="00036070"/>
    <w:rsid w:val="00043ED8"/>
    <w:rsid w:val="0004519C"/>
    <w:rsid w:val="000457FE"/>
    <w:rsid w:val="000467C3"/>
    <w:rsid w:val="0004794D"/>
    <w:rsid w:val="00051F21"/>
    <w:rsid w:val="00052732"/>
    <w:rsid w:val="000551B0"/>
    <w:rsid w:val="0005590C"/>
    <w:rsid w:val="0005656C"/>
    <w:rsid w:val="00057E05"/>
    <w:rsid w:val="00061FA5"/>
    <w:rsid w:val="00062E91"/>
    <w:rsid w:val="000631A7"/>
    <w:rsid w:val="00073FF9"/>
    <w:rsid w:val="00076F10"/>
    <w:rsid w:val="00077190"/>
    <w:rsid w:val="0008010C"/>
    <w:rsid w:val="00084093"/>
    <w:rsid w:val="0008563A"/>
    <w:rsid w:val="00085AA1"/>
    <w:rsid w:val="00087C8F"/>
    <w:rsid w:val="00093205"/>
    <w:rsid w:val="00093CD9"/>
    <w:rsid w:val="00094B1F"/>
    <w:rsid w:val="00096AA6"/>
    <w:rsid w:val="000A1DD1"/>
    <w:rsid w:val="000A2887"/>
    <w:rsid w:val="000A53B7"/>
    <w:rsid w:val="000A5A59"/>
    <w:rsid w:val="000B0DAF"/>
    <w:rsid w:val="000B1582"/>
    <w:rsid w:val="000B5956"/>
    <w:rsid w:val="000B632B"/>
    <w:rsid w:val="000B7555"/>
    <w:rsid w:val="000C0274"/>
    <w:rsid w:val="000C5597"/>
    <w:rsid w:val="000C6C93"/>
    <w:rsid w:val="000D0C27"/>
    <w:rsid w:val="000D32E3"/>
    <w:rsid w:val="000D42A6"/>
    <w:rsid w:val="000E029B"/>
    <w:rsid w:val="000E48AC"/>
    <w:rsid w:val="000F17BB"/>
    <w:rsid w:val="000F26D8"/>
    <w:rsid w:val="000F5A4D"/>
    <w:rsid w:val="00104DCB"/>
    <w:rsid w:val="0011023E"/>
    <w:rsid w:val="00111687"/>
    <w:rsid w:val="00111807"/>
    <w:rsid w:val="001131A4"/>
    <w:rsid w:val="001139AE"/>
    <w:rsid w:val="00116862"/>
    <w:rsid w:val="00117071"/>
    <w:rsid w:val="001258D0"/>
    <w:rsid w:val="00130BC8"/>
    <w:rsid w:val="0013207C"/>
    <w:rsid w:val="00140EEF"/>
    <w:rsid w:val="00142037"/>
    <w:rsid w:val="00142715"/>
    <w:rsid w:val="001445AB"/>
    <w:rsid w:val="0014648F"/>
    <w:rsid w:val="00147966"/>
    <w:rsid w:val="00152D98"/>
    <w:rsid w:val="00160960"/>
    <w:rsid w:val="001648B7"/>
    <w:rsid w:val="00164FFD"/>
    <w:rsid w:val="00165009"/>
    <w:rsid w:val="00165628"/>
    <w:rsid w:val="001731EF"/>
    <w:rsid w:val="00175F8C"/>
    <w:rsid w:val="00176887"/>
    <w:rsid w:val="001806F7"/>
    <w:rsid w:val="001823DA"/>
    <w:rsid w:val="00185D36"/>
    <w:rsid w:val="00186F2C"/>
    <w:rsid w:val="00187142"/>
    <w:rsid w:val="001908D7"/>
    <w:rsid w:val="00195FBC"/>
    <w:rsid w:val="001A3DA6"/>
    <w:rsid w:val="001C24C9"/>
    <w:rsid w:val="001C58FB"/>
    <w:rsid w:val="001C7C23"/>
    <w:rsid w:val="001D17AE"/>
    <w:rsid w:val="001E3674"/>
    <w:rsid w:val="001E4162"/>
    <w:rsid w:val="001E63F4"/>
    <w:rsid w:val="001E6926"/>
    <w:rsid w:val="001F6358"/>
    <w:rsid w:val="001F7244"/>
    <w:rsid w:val="002034B2"/>
    <w:rsid w:val="002039DB"/>
    <w:rsid w:val="002043FC"/>
    <w:rsid w:val="0020597D"/>
    <w:rsid w:val="002073CF"/>
    <w:rsid w:val="00207B9A"/>
    <w:rsid w:val="002110C2"/>
    <w:rsid w:val="00212F77"/>
    <w:rsid w:val="00213FFA"/>
    <w:rsid w:val="002256F3"/>
    <w:rsid w:val="00232E2F"/>
    <w:rsid w:val="00234655"/>
    <w:rsid w:val="00234AC9"/>
    <w:rsid w:val="00236250"/>
    <w:rsid w:val="0024075B"/>
    <w:rsid w:val="00241819"/>
    <w:rsid w:val="00245B3A"/>
    <w:rsid w:val="0025378F"/>
    <w:rsid w:val="00253CB9"/>
    <w:rsid w:val="00256AE5"/>
    <w:rsid w:val="00257B96"/>
    <w:rsid w:val="00260FFD"/>
    <w:rsid w:val="002610F4"/>
    <w:rsid w:val="0026187B"/>
    <w:rsid w:val="002626D1"/>
    <w:rsid w:val="002655FA"/>
    <w:rsid w:val="00265A09"/>
    <w:rsid w:val="00265F95"/>
    <w:rsid w:val="00272495"/>
    <w:rsid w:val="0027478F"/>
    <w:rsid w:val="002922CC"/>
    <w:rsid w:val="00292C32"/>
    <w:rsid w:val="00296261"/>
    <w:rsid w:val="00296C6D"/>
    <w:rsid w:val="00296CE3"/>
    <w:rsid w:val="00297FEC"/>
    <w:rsid w:val="002A70FC"/>
    <w:rsid w:val="002A7D9C"/>
    <w:rsid w:val="002B0B25"/>
    <w:rsid w:val="002B1ADC"/>
    <w:rsid w:val="002B7105"/>
    <w:rsid w:val="002B7E9E"/>
    <w:rsid w:val="002C1059"/>
    <w:rsid w:val="002C1EC7"/>
    <w:rsid w:val="002C424B"/>
    <w:rsid w:val="002D1A9B"/>
    <w:rsid w:val="002D2CC0"/>
    <w:rsid w:val="002D2D6C"/>
    <w:rsid w:val="002D3AE2"/>
    <w:rsid w:val="002D4A1E"/>
    <w:rsid w:val="002E261D"/>
    <w:rsid w:val="002E2AFE"/>
    <w:rsid w:val="002F216E"/>
    <w:rsid w:val="002F26B4"/>
    <w:rsid w:val="002F4C40"/>
    <w:rsid w:val="003008D7"/>
    <w:rsid w:val="003045AF"/>
    <w:rsid w:val="00315E48"/>
    <w:rsid w:val="003176C5"/>
    <w:rsid w:val="00321201"/>
    <w:rsid w:val="00325376"/>
    <w:rsid w:val="00325C73"/>
    <w:rsid w:val="00326197"/>
    <w:rsid w:val="00327B44"/>
    <w:rsid w:val="00330883"/>
    <w:rsid w:val="0033215B"/>
    <w:rsid w:val="00335FE7"/>
    <w:rsid w:val="003453F3"/>
    <w:rsid w:val="00355018"/>
    <w:rsid w:val="003556BB"/>
    <w:rsid w:val="00357208"/>
    <w:rsid w:val="00360B82"/>
    <w:rsid w:val="00362141"/>
    <w:rsid w:val="00363048"/>
    <w:rsid w:val="003643B4"/>
    <w:rsid w:val="00376C15"/>
    <w:rsid w:val="003858F7"/>
    <w:rsid w:val="00386BDB"/>
    <w:rsid w:val="00397690"/>
    <w:rsid w:val="003978CB"/>
    <w:rsid w:val="003A0E4C"/>
    <w:rsid w:val="003A4FB0"/>
    <w:rsid w:val="003A515F"/>
    <w:rsid w:val="003A648A"/>
    <w:rsid w:val="003A6B8F"/>
    <w:rsid w:val="003B249B"/>
    <w:rsid w:val="003B42C8"/>
    <w:rsid w:val="003B4AF5"/>
    <w:rsid w:val="003B7946"/>
    <w:rsid w:val="003C074C"/>
    <w:rsid w:val="003C0A8B"/>
    <w:rsid w:val="003C2184"/>
    <w:rsid w:val="003C3F73"/>
    <w:rsid w:val="003C4D1C"/>
    <w:rsid w:val="003C79F8"/>
    <w:rsid w:val="003D4FD3"/>
    <w:rsid w:val="003E1F05"/>
    <w:rsid w:val="003E3023"/>
    <w:rsid w:val="003E4B0D"/>
    <w:rsid w:val="003F1DBE"/>
    <w:rsid w:val="003F4AA6"/>
    <w:rsid w:val="00410D3B"/>
    <w:rsid w:val="0041386F"/>
    <w:rsid w:val="0041437D"/>
    <w:rsid w:val="0042033E"/>
    <w:rsid w:val="00423668"/>
    <w:rsid w:val="004266F7"/>
    <w:rsid w:val="00426E0E"/>
    <w:rsid w:val="00431777"/>
    <w:rsid w:val="00431D91"/>
    <w:rsid w:val="00434022"/>
    <w:rsid w:val="0043561A"/>
    <w:rsid w:val="0043733C"/>
    <w:rsid w:val="0044019B"/>
    <w:rsid w:val="0044135B"/>
    <w:rsid w:val="0044248E"/>
    <w:rsid w:val="00445DBF"/>
    <w:rsid w:val="00446F54"/>
    <w:rsid w:val="00450A50"/>
    <w:rsid w:val="00451CA4"/>
    <w:rsid w:val="00454514"/>
    <w:rsid w:val="00455370"/>
    <w:rsid w:val="00455771"/>
    <w:rsid w:val="00456C19"/>
    <w:rsid w:val="00460BAA"/>
    <w:rsid w:val="00461636"/>
    <w:rsid w:val="00465D44"/>
    <w:rsid w:val="00470DC9"/>
    <w:rsid w:val="004715E0"/>
    <w:rsid w:val="004733DF"/>
    <w:rsid w:val="004733FE"/>
    <w:rsid w:val="00475A3B"/>
    <w:rsid w:val="00477519"/>
    <w:rsid w:val="00481992"/>
    <w:rsid w:val="004822FD"/>
    <w:rsid w:val="00483F37"/>
    <w:rsid w:val="00486F9B"/>
    <w:rsid w:val="00493FB0"/>
    <w:rsid w:val="00494ABE"/>
    <w:rsid w:val="004A27C0"/>
    <w:rsid w:val="004A43C9"/>
    <w:rsid w:val="004A54BE"/>
    <w:rsid w:val="004B2121"/>
    <w:rsid w:val="004B4CA7"/>
    <w:rsid w:val="004B6D26"/>
    <w:rsid w:val="004B73A2"/>
    <w:rsid w:val="004C0719"/>
    <w:rsid w:val="004C2DAE"/>
    <w:rsid w:val="004C5823"/>
    <w:rsid w:val="004C6D1F"/>
    <w:rsid w:val="004D3203"/>
    <w:rsid w:val="004D32F3"/>
    <w:rsid w:val="004D7BE7"/>
    <w:rsid w:val="004E042D"/>
    <w:rsid w:val="004E3211"/>
    <w:rsid w:val="004E5665"/>
    <w:rsid w:val="004E7651"/>
    <w:rsid w:val="004E790E"/>
    <w:rsid w:val="004F289A"/>
    <w:rsid w:val="004F3109"/>
    <w:rsid w:val="00501965"/>
    <w:rsid w:val="00502D7C"/>
    <w:rsid w:val="005075EF"/>
    <w:rsid w:val="00511E3E"/>
    <w:rsid w:val="00522880"/>
    <w:rsid w:val="00523315"/>
    <w:rsid w:val="00523A89"/>
    <w:rsid w:val="00523C83"/>
    <w:rsid w:val="0052473E"/>
    <w:rsid w:val="005270B4"/>
    <w:rsid w:val="005272A2"/>
    <w:rsid w:val="00530225"/>
    <w:rsid w:val="00532903"/>
    <w:rsid w:val="005333B4"/>
    <w:rsid w:val="005357C1"/>
    <w:rsid w:val="00535997"/>
    <w:rsid w:val="00540247"/>
    <w:rsid w:val="00540E09"/>
    <w:rsid w:val="00543FF8"/>
    <w:rsid w:val="005446A9"/>
    <w:rsid w:val="0054642C"/>
    <w:rsid w:val="00550570"/>
    <w:rsid w:val="00553505"/>
    <w:rsid w:val="00553AF8"/>
    <w:rsid w:val="005551E8"/>
    <w:rsid w:val="005613C5"/>
    <w:rsid w:val="005670FD"/>
    <w:rsid w:val="005676BC"/>
    <w:rsid w:val="0057078E"/>
    <w:rsid w:val="00572967"/>
    <w:rsid w:val="00574BD0"/>
    <w:rsid w:val="00575929"/>
    <w:rsid w:val="00581816"/>
    <w:rsid w:val="005833F8"/>
    <w:rsid w:val="00584980"/>
    <w:rsid w:val="00584A91"/>
    <w:rsid w:val="00584ACD"/>
    <w:rsid w:val="00591B43"/>
    <w:rsid w:val="00595266"/>
    <w:rsid w:val="00595955"/>
    <w:rsid w:val="005A1CD9"/>
    <w:rsid w:val="005A4759"/>
    <w:rsid w:val="005A4A99"/>
    <w:rsid w:val="005B1516"/>
    <w:rsid w:val="005B1597"/>
    <w:rsid w:val="005B2082"/>
    <w:rsid w:val="005B5D57"/>
    <w:rsid w:val="005C4812"/>
    <w:rsid w:val="005C7018"/>
    <w:rsid w:val="005D0563"/>
    <w:rsid w:val="005D11B8"/>
    <w:rsid w:val="005E435E"/>
    <w:rsid w:val="005F1319"/>
    <w:rsid w:val="005F20BD"/>
    <w:rsid w:val="005F5A90"/>
    <w:rsid w:val="005F7D5F"/>
    <w:rsid w:val="006068DE"/>
    <w:rsid w:val="00607061"/>
    <w:rsid w:val="0060734D"/>
    <w:rsid w:val="006163C4"/>
    <w:rsid w:val="00621CC4"/>
    <w:rsid w:val="00622C18"/>
    <w:rsid w:val="00622D0D"/>
    <w:rsid w:val="00624897"/>
    <w:rsid w:val="006249DC"/>
    <w:rsid w:val="00625B1E"/>
    <w:rsid w:val="00626B20"/>
    <w:rsid w:val="00633FC3"/>
    <w:rsid w:val="00650BBF"/>
    <w:rsid w:val="006515F2"/>
    <w:rsid w:val="00655495"/>
    <w:rsid w:val="00655805"/>
    <w:rsid w:val="006563E0"/>
    <w:rsid w:val="00657062"/>
    <w:rsid w:val="006603B1"/>
    <w:rsid w:val="0066415F"/>
    <w:rsid w:val="006703C3"/>
    <w:rsid w:val="00671AFF"/>
    <w:rsid w:val="00672D32"/>
    <w:rsid w:val="00676A11"/>
    <w:rsid w:val="006829B0"/>
    <w:rsid w:val="00686ACD"/>
    <w:rsid w:val="0069562E"/>
    <w:rsid w:val="006A0DB3"/>
    <w:rsid w:val="006C3D44"/>
    <w:rsid w:val="006C5B26"/>
    <w:rsid w:val="006D0A18"/>
    <w:rsid w:val="006D4C64"/>
    <w:rsid w:val="006D6642"/>
    <w:rsid w:val="006D7523"/>
    <w:rsid w:val="006E0FE5"/>
    <w:rsid w:val="006E38FA"/>
    <w:rsid w:val="006E6C21"/>
    <w:rsid w:val="006E7C3A"/>
    <w:rsid w:val="006F3B1D"/>
    <w:rsid w:val="0070124C"/>
    <w:rsid w:val="0070176F"/>
    <w:rsid w:val="007021CD"/>
    <w:rsid w:val="00703272"/>
    <w:rsid w:val="00705AC6"/>
    <w:rsid w:val="0071652D"/>
    <w:rsid w:val="007178B7"/>
    <w:rsid w:val="00720F19"/>
    <w:rsid w:val="007248DA"/>
    <w:rsid w:val="00730AE1"/>
    <w:rsid w:val="0073164F"/>
    <w:rsid w:val="007431CF"/>
    <w:rsid w:val="00745C2F"/>
    <w:rsid w:val="00754898"/>
    <w:rsid w:val="00755A72"/>
    <w:rsid w:val="0075702E"/>
    <w:rsid w:val="00772A86"/>
    <w:rsid w:val="007748DA"/>
    <w:rsid w:val="007756A3"/>
    <w:rsid w:val="00775DDA"/>
    <w:rsid w:val="00777D95"/>
    <w:rsid w:val="007849E9"/>
    <w:rsid w:val="00796B59"/>
    <w:rsid w:val="00797EB4"/>
    <w:rsid w:val="007A3F7B"/>
    <w:rsid w:val="007A3FED"/>
    <w:rsid w:val="007A68BA"/>
    <w:rsid w:val="007A7672"/>
    <w:rsid w:val="007B1B02"/>
    <w:rsid w:val="007B295B"/>
    <w:rsid w:val="007B41A4"/>
    <w:rsid w:val="007B4641"/>
    <w:rsid w:val="007C0042"/>
    <w:rsid w:val="007C2EB0"/>
    <w:rsid w:val="007D0675"/>
    <w:rsid w:val="007D37DB"/>
    <w:rsid w:val="007D4D35"/>
    <w:rsid w:val="007E0987"/>
    <w:rsid w:val="007E1158"/>
    <w:rsid w:val="007E2051"/>
    <w:rsid w:val="007E2ECD"/>
    <w:rsid w:val="007E518D"/>
    <w:rsid w:val="007E5354"/>
    <w:rsid w:val="007E5E8D"/>
    <w:rsid w:val="007E6A13"/>
    <w:rsid w:val="007F2EBD"/>
    <w:rsid w:val="007F6DE5"/>
    <w:rsid w:val="007F7DF4"/>
    <w:rsid w:val="00806299"/>
    <w:rsid w:val="00813462"/>
    <w:rsid w:val="00815AAD"/>
    <w:rsid w:val="008164ED"/>
    <w:rsid w:val="00821473"/>
    <w:rsid w:val="00822CD8"/>
    <w:rsid w:val="008230E4"/>
    <w:rsid w:val="00823A9B"/>
    <w:rsid w:val="00830FFC"/>
    <w:rsid w:val="00831652"/>
    <w:rsid w:val="00831FDB"/>
    <w:rsid w:val="00832230"/>
    <w:rsid w:val="00837AE0"/>
    <w:rsid w:val="00840327"/>
    <w:rsid w:val="00845354"/>
    <w:rsid w:val="0085136C"/>
    <w:rsid w:val="008536EA"/>
    <w:rsid w:val="008569F5"/>
    <w:rsid w:val="008631DD"/>
    <w:rsid w:val="00872331"/>
    <w:rsid w:val="008737BE"/>
    <w:rsid w:val="00874C8F"/>
    <w:rsid w:val="00880894"/>
    <w:rsid w:val="00880BDA"/>
    <w:rsid w:val="00880D20"/>
    <w:rsid w:val="008811F7"/>
    <w:rsid w:val="008835C6"/>
    <w:rsid w:val="00883E31"/>
    <w:rsid w:val="00883E60"/>
    <w:rsid w:val="008853CA"/>
    <w:rsid w:val="00886B66"/>
    <w:rsid w:val="00886B9A"/>
    <w:rsid w:val="00891269"/>
    <w:rsid w:val="008926B5"/>
    <w:rsid w:val="00892EC2"/>
    <w:rsid w:val="00893261"/>
    <w:rsid w:val="0089361A"/>
    <w:rsid w:val="00897334"/>
    <w:rsid w:val="008A0979"/>
    <w:rsid w:val="008A5F3D"/>
    <w:rsid w:val="008A6FEB"/>
    <w:rsid w:val="008A73CC"/>
    <w:rsid w:val="008B01A1"/>
    <w:rsid w:val="008B069A"/>
    <w:rsid w:val="008B1995"/>
    <w:rsid w:val="008B2283"/>
    <w:rsid w:val="008B3807"/>
    <w:rsid w:val="008C6F72"/>
    <w:rsid w:val="008C76B3"/>
    <w:rsid w:val="008D5F6F"/>
    <w:rsid w:val="008E09DB"/>
    <w:rsid w:val="008E1279"/>
    <w:rsid w:val="0090013A"/>
    <w:rsid w:val="00900CF5"/>
    <w:rsid w:val="009039DF"/>
    <w:rsid w:val="009045B8"/>
    <w:rsid w:val="00904A4D"/>
    <w:rsid w:val="00906A92"/>
    <w:rsid w:val="00915737"/>
    <w:rsid w:val="0092041D"/>
    <w:rsid w:val="00922C0A"/>
    <w:rsid w:val="00923982"/>
    <w:rsid w:val="00923CE4"/>
    <w:rsid w:val="00923DC7"/>
    <w:rsid w:val="00925D12"/>
    <w:rsid w:val="009267FA"/>
    <w:rsid w:val="00932927"/>
    <w:rsid w:val="009357E8"/>
    <w:rsid w:val="009409F8"/>
    <w:rsid w:val="00942320"/>
    <w:rsid w:val="00943E40"/>
    <w:rsid w:val="009472B1"/>
    <w:rsid w:val="00955C36"/>
    <w:rsid w:val="00960E2B"/>
    <w:rsid w:val="00966AE9"/>
    <w:rsid w:val="00967EDD"/>
    <w:rsid w:val="00971B08"/>
    <w:rsid w:val="00971FD3"/>
    <w:rsid w:val="00972AA0"/>
    <w:rsid w:val="00974B7E"/>
    <w:rsid w:val="009817F5"/>
    <w:rsid w:val="009817F8"/>
    <w:rsid w:val="00987EE1"/>
    <w:rsid w:val="00991ED2"/>
    <w:rsid w:val="009A608F"/>
    <w:rsid w:val="009B66FB"/>
    <w:rsid w:val="009C2D01"/>
    <w:rsid w:val="009C3804"/>
    <w:rsid w:val="009C4314"/>
    <w:rsid w:val="009C46A8"/>
    <w:rsid w:val="009C7D9A"/>
    <w:rsid w:val="009D020E"/>
    <w:rsid w:val="009D34CD"/>
    <w:rsid w:val="009D37F5"/>
    <w:rsid w:val="009E11F3"/>
    <w:rsid w:val="009E1E56"/>
    <w:rsid w:val="009E30D3"/>
    <w:rsid w:val="009E5888"/>
    <w:rsid w:val="009F2BA2"/>
    <w:rsid w:val="009F65E6"/>
    <w:rsid w:val="009F7290"/>
    <w:rsid w:val="009F7B19"/>
    <w:rsid w:val="00A00AA8"/>
    <w:rsid w:val="00A042C9"/>
    <w:rsid w:val="00A07CF2"/>
    <w:rsid w:val="00A16772"/>
    <w:rsid w:val="00A1680D"/>
    <w:rsid w:val="00A16A93"/>
    <w:rsid w:val="00A22ECD"/>
    <w:rsid w:val="00A26DB3"/>
    <w:rsid w:val="00A26F75"/>
    <w:rsid w:val="00A30A60"/>
    <w:rsid w:val="00A31167"/>
    <w:rsid w:val="00A32F68"/>
    <w:rsid w:val="00A33C51"/>
    <w:rsid w:val="00A33D26"/>
    <w:rsid w:val="00A34CA9"/>
    <w:rsid w:val="00A444B3"/>
    <w:rsid w:val="00A4490F"/>
    <w:rsid w:val="00A449DE"/>
    <w:rsid w:val="00A45994"/>
    <w:rsid w:val="00A46A02"/>
    <w:rsid w:val="00A5094F"/>
    <w:rsid w:val="00A57C33"/>
    <w:rsid w:val="00A627DE"/>
    <w:rsid w:val="00A66ABA"/>
    <w:rsid w:val="00A671B3"/>
    <w:rsid w:val="00A77DFD"/>
    <w:rsid w:val="00A8156C"/>
    <w:rsid w:val="00A81CAA"/>
    <w:rsid w:val="00A82AFA"/>
    <w:rsid w:val="00A831D0"/>
    <w:rsid w:val="00A832F5"/>
    <w:rsid w:val="00A83EF7"/>
    <w:rsid w:val="00A874B7"/>
    <w:rsid w:val="00A93539"/>
    <w:rsid w:val="00A93A60"/>
    <w:rsid w:val="00A93FE6"/>
    <w:rsid w:val="00A9691D"/>
    <w:rsid w:val="00A9739A"/>
    <w:rsid w:val="00AA321A"/>
    <w:rsid w:val="00AA380B"/>
    <w:rsid w:val="00AA417D"/>
    <w:rsid w:val="00AA4B80"/>
    <w:rsid w:val="00AA4BF4"/>
    <w:rsid w:val="00AA7981"/>
    <w:rsid w:val="00AA7A26"/>
    <w:rsid w:val="00AB0F8A"/>
    <w:rsid w:val="00AB1E6B"/>
    <w:rsid w:val="00AB31AC"/>
    <w:rsid w:val="00AB4FE9"/>
    <w:rsid w:val="00AB5DA8"/>
    <w:rsid w:val="00AC4262"/>
    <w:rsid w:val="00AC6356"/>
    <w:rsid w:val="00AC63B2"/>
    <w:rsid w:val="00AD271D"/>
    <w:rsid w:val="00AE4C7F"/>
    <w:rsid w:val="00AE7437"/>
    <w:rsid w:val="00AF1472"/>
    <w:rsid w:val="00AF3476"/>
    <w:rsid w:val="00AF616E"/>
    <w:rsid w:val="00AF7B8D"/>
    <w:rsid w:val="00B01760"/>
    <w:rsid w:val="00B04D8D"/>
    <w:rsid w:val="00B05045"/>
    <w:rsid w:val="00B051AA"/>
    <w:rsid w:val="00B07031"/>
    <w:rsid w:val="00B10653"/>
    <w:rsid w:val="00B137C9"/>
    <w:rsid w:val="00B17AAF"/>
    <w:rsid w:val="00B20CBD"/>
    <w:rsid w:val="00B224A2"/>
    <w:rsid w:val="00B22C22"/>
    <w:rsid w:val="00B2732C"/>
    <w:rsid w:val="00B27C95"/>
    <w:rsid w:val="00B349D2"/>
    <w:rsid w:val="00B36D64"/>
    <w:rsid w:val="00B41BC0"/>
    <w:rsid w:val="00B428C0"/>
    <w:rsid w:val="00B4578C"/>
    <w:rsid w:val="00B47090"/>
    <w:rsid w:val="00B51E3C"/>
    <w:rsid w:val="00B57858"/>
    <w:rsid w:val="00B6031B"/>
    <w:rsid w:val="00B62458"/>
    <w:rsid w:val="00B66C6D"/>
    <w:rsid w:val="00B67606"/>
    <w:rsid w:val="00B70576"/>
    <w:rsid w:val="00B711B4"/>
    <w:rsid w:val="00B72369"/>
    <w:rsid w:val="00B86FDD"/>
    <w:rsid w:val="00B90B1A"/>
    <w:rsid w:val="00BA3087"/>
    <w:rsid w:val="00BA595F"/>
    <w:rsid w:val="00BA7274"/>
    <w:rsid w:val="00BB7CD9"/>
    <w:rsid w:val="00BC2C5A"/>
    <w:rsid w:val="00BC50DB"/>
    <w:rsid w:val="00BC5789"/>
    <w:rsid w:val="00BD5420"/>
    <w:rsid w:val="00BD689C"/>
    <w:rsid w:val="00BF1954"/>
    <w:rsid w:val="00BF2DF3"/>
    <w:rsid w:val="00BF4141"/>
    <w:rsid w:val="00BF5E82"/>
    <w:rsid w:val="00C03CA4"/>
    <w:rsid w:val="00C11536"/>
    <w:rsid w:val="00C147B7"/>
    <w:rsid w:val="00C14FA2"/>
    <w:rsid w:val="00C15A75"/>
    <w:rsid w:val="00C15EF6"/>
    <w:rsid w:val="00C21CF9"/>
    <w:rsid w:val="00C25A21"/>
    <w:rsid w:val="00C3308D"/>
    <w:rsid w:val="00C33598"/>
    <w:rsid w:val="00C41A0C"/>
    <w:rsid w:val="00C45120"/>
    <w:rsid w:val="00C455CA"/>
    <w:rsid w:val="00C46645"/>
    <w:rsid w:val="00C52438"/>
    <w:rsid w:val="00C54DA1"/>
    <w:rsid w:val="00C55C79"/>
    <w:rsid w:val="00C61132"/>
    <w:rsid w:val="00C612F5"/>
    <w:rsid w:val="00C61B9A"/>
    <w:rsid w:val="00C6577D"/>
    <w:rsid w:val="00C65B30"/>
    <w:rsid w:val="00C67475"/>
    <w:rsid w:val="00C7318B"/>
    <w:rsid w:val="00C77645"/>
    <w:rsid w:val="00C830CD"/>
    <w:rsid w:val="00C8780A"/>
    <w:rsid w:val="00C93807"/>
    <w:rsid w:val="00C9469A"/>
    <w:rsid w:val="00C956F9"/>
    <w:rsid w:val="00C9797B"/>
    <w:rsid w:val="00CA1E7A"/>
    <w:rsid w:val="00CA5F7C"/>
    <w:rsid w:val="00CC3325"/>
    <w:rsid w:val="00CC6966"/>
    <w:rsid w:val="00CD1AD8"/>
    <w:rsid w:val="00CD5AA9"/>
    <w:rsid w:val="00CD618E"/>
    <w:rsid w:val="00CD6328"/>
    <w:rsid w:val="00CE5AE1"/>
    <w:rsid w:val="00CF5E2E"/>
    <w:rsid w:val="00D01D16"/>
    <w:rsid w:val="00D02AFC"/>
    <w:rsid w:val="00D124EA"/>
    <w:rsid w:val="00D12BEF"/>
    <w:rsid w:val="00D152D6"/>
    <w:rsid w:val="00D17B01"/>
    <w:rsid w:val="00D21091"/>
    <w:rsid w:val="00D221F6"/>
    <w:rsid w:val="00D25D57"/>
    <w:rsid w:val="00D31A09"/>
    <w:rsid w:val="00D40485"/>
    <w:rsid w:val="00D40940"/>
    <w:rsid w:val="00D42773"/>
    <w:rsid w:val="00D44F8B"/>
    <w:rsid w:val="00D455AB"/>
    <w:rsid w:val="00D52BE9"/>
    <w:rsid w:val="00D5513C"/>
    <w:rsid w:val="00D56746"/>
    <w:rsid w:val="00D65D15"/>
    <w:rsid w:val="00D674B5"/>
    <w:rsid w:val="00D67EF0"/>
    <w:rsid w:val="00D80F5A"/>
    <w:rsid w:val="00D82200"/>
    <w:rsid w:val="00D85F10"/>
    <w:rsid w:val="00D871AE"/>
    <w:rsid w:val="00DA1B27"/>
    <w:rsid w:val="00DA1C38"/>
    <w:rsid w:val="00DA214D"/>
    <w:rsid w:val="00DA3F14"/>
    <w:rsid w:val="00DB3F1D"/>
    <w:rsid w:val="00DB44B4"/>
    <w:rsid w:val="00DB59A0"/>
    <w:rsid w:val="00DB7F9B"/>
    <w:rsid w:val="00DC076D"/>
    <w:rsid w:val="00DC2F35"/>
    <w:rsid w:val="00DC3F04"/>
    <w:rsid w:val="00DC53AF"/>
    <w:rsid w:val="00DC5626"/>
    <w:rsid w:val="00DC6C1D"/>
    <w:rsid w:val="00DE1B3E"/>
    <w:rsid w:val="00DE26AF"/>
    <w:rsid w:val="00DE2C08"/>
    <w:rsid w:val="00DE37C4"/>
    <w:rsid w:val="00DE4678"/>
    <w:rsid w:val="00DF12A1"/>
    <w:rsid w:val="00DF280B"/>
    <w:rsid w:val="00DF3A75"/>
    <w:rsid w:val="00DF46D4"/>
    <w:rsid w:val="00DF56A6"/>
    <w:rsid w:val="00E03A81"/>
    <w:rsid w:val="00E10281"/>
    <w:rsid w:val="00E14956"/>
    <w:rsid w:val="00E17D8B"/>
    <w:rsid w:val="00E21980"/>
    <w:rsid w:val="00E230FF"/>
    <w:rsid w:val="00E246A5"/>
    <w:rsid w:val="00E33D64"/>
    <w:rsid w:val="00E354A9"/>
    <w:rsid w:val="00E36CD6"/>
    <w:rsid w:val="00E36E56"/>
    <w:rsid w:val="00E37EEC"/>
    <w:rsid w:val="00E40B17"/>
    <w:rsid w:val="00E412DB"/>
    <w:rsid w:val="00E42E88"/>
    <w:rsid w:val="00E44AEB"/>
    <w:rsid w:val="00E4578B"/>
    <w:rsid w:val="00E52414"/>
    <w:rsid w:val="00E52FCE"/>
    <w:rsid w:val="00E561AB"/>
    <w:rsid w:val="00E57F4A"/>
    <w:rsid w:val="00E6170D"/>
    <w:rsid w:val="00E61D19"/>
    <w:rsid w:val="00E62C07"/>
    <w:rsid w:val="00E66DD9"/>
    <w:rsid w:val="00E72252"/>
    <w:rsid w:val="00E72E3F"/>
    <w:rsid w:val="00E73780"/>
    <w:rsid w:val="00E74E11"/>
    <w:rsid w:val="00E81C60"/>
    <w:rsid w:val="00E844E0"/>
    <w:rsid w:val="00E900CC"/>
    <w:rsid w:val="00E9181E"/>
    <w:rsid w:val="00E92AB7"/>
    <w:rsid w:val="00E9434F"/>
    <w:rsid w:val="00E944AB"/>
    <w:rsid w:val="00E96F79"/>
    <w:rsid w:val="00EA0474"/>
    <w:rsid w:val="00EA10A1"/>
    <w:rsid w:val="00EA5C0D"/>
    <w:rsid w:val="00EA5CD7"/>
    <w:rsid w:val="00EC7DC2"/>
    <w:rsid w:val="00ED14A1"/>
    <w:rsid w:val="00ED214F"/>
    <w:rsid w:val="00ED3616"/>
    <w:rsid w:val="00EE1810"/>
    <w:rsid w:val="00EE3D25"/>
    <w:rsid w:val="00EE3EF9"/>
    <w:rsid w:val="00EE3F2A"/>
    <w:rsid w:val="00EE4F75"/>
    <w:rsid w:val="00EE6F74"/>
    <w:rsid w:val="00EF1016"/>
    <w:rsid w:val="00EF149F"/>
    <w:rsid w:val="00F00335"/>
    <w:rsid w:val="00F016D3"/>
    <w:rsid w:val="00F0577A"/>
    <w:rsid w:val="00F06854"/>
    <w:rsid w:val="00F115B9"/>
    <w:rsid w:val="00F151C7"/>
    <w:rsid w:val="00F1611A"/>
    <w:rsid w:val="00F230AC"/>
    <w:rsid w:val="00F2313D"/>
    <w:rsid w:val="00F23A6F"/>
    <w:rsid w:val="00F24057"/>
    <w:rsid w:val="00F24B19"/>
    <w:rsid w:val="00F279A0"/>
    <w:rsid w:val="00F34357"/>
    <w:rsid w:val="00F3439C"/>
    <w:rsid w:val="00F40BDF"/>
    <w:rsid w:val="00F42B5A"/>
    <w:rsid w:val="00F52277"/>
    <w:rsid w:val="00F527BD"/>
    <w:rsid w:val="00F5427B"/>
    <w:rsid w:val="00F60257"/>
    <w:rsid w:val="00F61843"/>
    <w:rsid w:val="00F647FB"/>
    <w:rsid w:val="00F65B7E"/>
    <w:rsid w:val="00F74D69"/>
    <w:rsid w:val="00F75490"/>
    <w:rsid w:val="00F829C8"/>
    <w:rsid w:val="00F830AF"/>
    <w:rsid w:val="00F8526B"/>
    <w:rsid w:val="00F87AFC"/>
    <w:rsid w:val="00F87FBB"/>
    <w:rsid w:val="00F903CD"/>
    <w:rsid w:val="00F90723"/>
    <w:rsid w:val="00F92147"/>
    <w:rsid w:val="00F92F8A"/>
    <w:rsid w:val="00FA11AC"/>
    <w:rsid w:val="00FA1731"/>
    <w:rsid w:val="00FA260B"/>
    <w:rsid w:val="00FA67F2"/>
    <w:rsid w:val="00FB3B2D"/>
    <w:rsid w:val="00FB79B5"/>
    <w:rsid w:val="00FC13F7"/>
    <w:rsid w:val="00FC1E23"/>
    <w:rsid w:val="00FC3CAE"/>
    <w:rsid w:val="00FC6A77"/>
    <w:rsid w:val="00FD0F50"/>
    <w:rsid w:val="00FE05CB"/>
    <w:rsid w:val="00FE076E"/>
    <w:rsid w:val="00FE6A17"/>
    <w:rsid w:val="00FE7558"/>
    <w:rsid w:val="00FF2E70"/>
    <w:rsid w:val="00FF367E"/>
    <w:rsid w:val="00FF380F"/>
    <w:rsid w:val="00FF384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A871597"/>
  <w15:docId w15:val="{FF8CEF7C-B8A4-4069-9480-E2B020D8B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57858"/>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semiHidden/>
    <w:unhideWhenUsed/>
    <w:rsid w:val="00775DDA"/>
    <w:rPr>
      <w:sz w:val="20"/>
      <w:szCs w:val="20"/>
    </w:rPr>
  </w:style>
  <w:style w:type="character" w:customStyle="1" w:styleId="FootnoteTextChar">
    <w:name w:val="Footnote Text Char"/>
    <w:basedOn w:val="DefaultParagraphFont"/>
    <w:link w:val="FootnoteText"/>
    <w:uiPriority w:val="99"/>
    <w:semiHidden/>
    <w:rsid w:val="00775DDA"/>
  </w:style>
  <w:style w:type="paragraph" w:styleId="EndnoteText">
    <w:name w:val="endnote text"/>
    <w:basedOn w:val="Normal"/>
    <w:link w:val="EndnoteTextChar"/>
    <w:uiPriority w:val="99"/>
    <w:semiHidden/>
    <w:unhideWhenUsed/>
    <w:rsid w:val="00775DDA"/>
    <w:rPr>
      <w:sz w:val="20"/>
      <w:szCs w:val="20"/>
    </w:rPr>
  </w:style>
  <w:style w:type="character" w:customStyle="1" w:styleId="EndnoteTextChar">
    <w:name w:val="Endnote Text Char"/>
    <w:basedOn w:val="DefaultParagraphFont"/>
    <w:link w:val="EndnoteText"/>
    <w:uiPriority w:val="99"/>
    <w:semiHidden/>
    <w:rsid w:val="00775DDA"/>
  </w:style>
  <w:style w:type="character" w:styleId="FootnoteReference">
    <w:name w:val="footnote reference"/>
    <w:uiPriority w:val="99"/>
    <w:semiHidden/>
    <w:unhideWhenUsed/>
    <w:rsid w:val="00775DDA"/>
    <w:rPr>
      <w:vertAlign w:val="superscript"/>
    </w:rPr>
  </w:style>
  <w:style w:type="character" w:styleId="EndnoteReference">
    <w:name w:val="endnote reference"/>
    <w:uiPriority w:val="99"/>
    <w:semiHidden/>
    <w:unhideWhenUsed/>
    <w:rsid w:val="00775DDA"/>
    <w:rPr>
      <w:vertAlign w:val="superscript"/>
    </w:rPr>
  </w:style>
  <w:style w:type="character" w:styleId="Hyperlink">
    <w:name w:val="Hyperlink"/>
    <w:uiPriority w:val="99"/>
    <w:unhideWhenUsed/>
    <w:rsid w:val="00886B9A"/>
    <w:rPr>
      <w:color w:val="0000FF"/>
      <w:u w:val="single"/>
    </w:rPr>
  </w:style>
  <w:style w:type="character" w:styleId="UnresolvedMention">
    <w:name w:val="Unresolved Mention"/>
    <w:uiPriority w:val="99"/>
    <w:semiHidden/>
    <w:unhideWhenUsed/>
    <w:rsid w:val="00886B9A"/>
    <w:rPr>
      <w:color w:val="605E5C"/>
      <w:shd w:val="clear" w:color="auto" w:fill="E1DFDD"/>
    </w:rPr>
  </w:style>
  <w:style w:type="character" w:styleId="FollowedHyperlink">
    <w:name w:val="FollowedHyperlink"/>
    <w:uiPriority w:val="99"/>
    <w:semiHidden/>
    <w:unhideWhenUsed/>
    <w:rsid w:val="00886B9A"/>
    <w:rPr>
      <w:color w:val="800080"/>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ettings" Target="settings.xml"/><Relationship Id="rId7" Type="http://schemas.openxmlformats.org/officeDocument/2006/relationships/hyperlink" Target="https://www.pseudopodium.org/repress/shorts/Satanaya-Philistine.html" TargetMode="Externa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footnotes.xml.rels><?xml version="1.0" encoding="UTF-8" standalone="yes"?>
<Relationships xmlns="http://schemas.openxmlformats.org/package/2006/relationships"><Relationship Id="rId1" Type="http://schemas.openxmlformats.org/officeDocument/2006/relationships/hyperlink" Target="https://brill.com/display/serial/PW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5923B73-460C-4A38-B435-5E5703E53F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4481</Words>
  <Characters>23263</Characters>
  <Application>Microsoft Office Word</Application>
  <DocSecurity>0</DocSecurity>
  <Lines>193</Lines>
  <Paragraphs>55</Paragraphs>
  <ScaleCrop>false</ScaleCrop>
  <HeadingPairs>
    <vt:vector size="2" baseType="variant">
      <vt:variant>
        <vt:lpstr>Title</vt:lpstr>
      </vt:variant>
      <vt:variant>
        <vt:i4>1</vt:i4>
      </vt:variant>
    </vt:vector>
  </HeadingPairs>
  <TitlesOfParts>
    <vt:vector size="1" baseType="lpstr">
      <vt:lpstr>Santayana's Christianity CURRENT</vt:lpstr>
    </vt:vector>
  </TitlesOfParts>
  <Company/>
  <LinksUpToDate>false</LinksUpToDate>
  <CharactersWithSpaces>27689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Santayana's Christianity CURRENT</dc:title>
  <dc:creator>D. Seiple</dc:creator>
  <cp:lastModifiedBy>D. Seiple</cp:lastModifiedBy>
  <cp:revision>2</cp:revision>
  <dcterms:created xsi:type="dcterms:W3CDTF">2025-05-21T23:41:00Z</dcterms:created>
  <dcterms:modified xsi:type="dcterms:W3CDTF">2025-05-21T23:41:00Z</dcterms:modified>
</cp:coreProperties>
</file>