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83D1F" w14:textId="1F83FC34" w:rsidR="006D74FB" w:rsidRPr="00221E23" w:rsidRDefault="00EC5C76" w:rsidP="00956682">
      <w:pPr>
        <w:widowControl w:val="0"/>
        <w:tabs>
          <w:tab w:val="left" w:pos="1440"/>
          <w:tab w:val="left" w:pos="2160"/>
          <w:tab w:val="left" w:pos="2880"/>
        </w:tabs>
        <w:autoSpaceDE w:val="0"/>
        <w:autoSpaceDN w:val="0"/>
        <w:adjustRightInd w:val="0"/>
        <w:spacing w:line="360" w:lineRule="auto"/>
        <w:jc w:val="center"/>
        <w:rPr>
          <w:rFonts w:ascii="Times New Roman" w:hAnsi="Times New Roman"/>
          <w:b/>
          <w:bCs/>
        </w:rPr>
      </w:pPr>
      <w:r w:rsidRPr="00221E23">
        <w:rPr>
          <w:rFonts w:ascii="Times New Roman" w:hAnsi="Times New Roman"/>
          <w:b/>
          <w:bCs/>
        </w:rPr>
        <w:t>Continuity</w:t>
      </w:r>
      <w:r w:rsidR="001773A9" w:rsidRPr="00221E23">
        <w:rPr>
          <w:rFonts w:ascii="Times New Roman" w:hAnsi="Times New Roman"/>
          <w:b/>
          <w:bCs/>
        </w:rPr>
        <w:t>,</w:t>
      </w:r>
      <w:r w:rsidRPr="00221E23">
        <w:rPr>
          <w:rFonts w:ascii="Times New Roman" w:hAnsi="Times New Roman"/>
          <w:b/>
          <w:bCs/>
        </w:rPr>
        <w:t xml:space="preserve"> Allegiance </w:t>
      </w:r>
      <w:r w:rsidR="001773A9" w:rsidRPr="00221E23">
        <w:rPr>
          <w:rFonts w:ascii="Times New Roman" w:hAnsi="Times New Roman"/>
          <w:b/>
          <w:bCs/>
        </w:rPr>
        <w:t xml:space="preserve">and Community </w:t>
      </w:r>
      <w:r w:rsidRPr="00221E23">
        <w:rPr>
          <w:rFonts w:ascii="Times New Roman" w:hAnsi="Times New Roman"/>
          <w:b/>
          <w:bCs/>
        </w:rPr>
        <w:t>in Santayana</w:t>
      </w:r>
      <w:r w:rsidR="00B15553" w:rsidRPr="00221E23">
        <w:rPr>
          <w:rStyle w:val="FootnoteReference"/>
          <w:rFonts w:ascii="Times New Roman" w:hAnsi="Times New Roman"/>
          <w:b/>
          <w:bCs/>
        </w:rPr>
        <w:footnoteReference w:id="1"/>
      </w:r>
    </w:p>
    <w:p w14:paraId="27DB1ED2" w14:textId="626D3916" w:rsidR="005E0ABA" w:rsidRPr="00221E23" w:rsidRDefault="005E0ABA" w:rsidP="00956682">
      <w:pPr>
        <w:widowControl w:val="0"/>
        <w:tabs>
          <w:tab w:val="left" w:pos="1440"/>
          <w:tab w:val="left" w:pos="2160"/>
          <w:tab w:val="left" w:pos="2880"/>
        </w:tabs>
        <w:autoSpaceDE w:val="0"/>
        <w:autoSpaceDN w:val="0"/>
        <w:adjustRightInd w:val="0"/>
        <w:spacing w:line="360" w:lineRule="auto"/>
        <w:rPr>
          <w:rFonts w:ascii="Times New Roman" w:hAnsi="Times New Roman"/>
        </w:rPr>
      </w:pPr>
    </w:p>
    <w:p w14:paraId="3682577F" w14:textId="49A925DE" w:rsidR="005D2176" w:rsidRPr="00221E23" w:rsidRDefault="00623CCC" w:rsidP="00956682">
      <w:pPr>
        <w:widowControl w:val="0"/>
        <w:tabs>
          <w:tab w:val="left" w:pos="720"/>
          <w:tab w:val="left" w:pos="2880"/>
        </w:tabs>
        <w:autoSpaceDE w:val="0"/>
        <w:autoSpaceDN w:val="0"/>
        <w:adjustRightInd w:val="0"/>
        <w:spacing w:line="360" w:lineRule="auto"/>
        <w:ind w:firstLine="720"/>
        <w:rPr>
          <w:rFonts w:ascii="Times New Roman" w:hAnsi="Times New Roman"/>
        </w:rPr>
      </w:pPr>
      <w:r w:rsidRPr="00221E23">
        <w:rPr>
          <w:rFonts w:ascii="Times New Roman" w:hAnsi="Times New Roman"/>
        </w:rPr>
        <w:t xml:space="preserve">My topic here today concerns the well-known development </w:t>
      </w:r>
      <w:r w:rsidR="000730FA" w:rsidRPr="00221E23">
        <w:rPr>
          <w:rFonts w:ascii="Times New Roman" w:hAnsi="Times New Roman"/>
        </w:rPr>
        <w:t>of</w:t>
      </w:r>
      <w:r w:rsidRPr="00221E23">
        <w:rPr>
          <w:rFonts w:ascii="Times New Roman" w:hAnsi="Times New Roman"/>
        </w:rPr>
        <w:t xml:space="preserve"> Santayana’s work</w:t>
      </w:r>
      <w:r w:rsidR="006066BA" w:rsidRPr="00221E23">
        <w:rPr>
          <w:rFonts w:ascii="Times New Roman" w:hAnsi="Times New Roman"/>
        </w:rPr>
        <w:t xml:space="preserve"> around the time that </w:t>
      </w:r>
      <w:r w:rsidR="000471E3" w:rsidRPr="00221E23">
        <w:rPr>
          <w:rFonts w:ascii="Times New Roman" w:hAnsi="Times New Roman"/>
          <w:i/>
          <w:iCs/>
        </w:rPr>
        <w:t>Scepticism and Animal Fait</w:t>
      </w:r>
      <w:r w:rsidR="006066BA" w:rsidRPr="00221E23">
        <w:rPr>
          <w:rFonts w:ascii="Times New Roman" w:hAnsi="Times New Roman"/>
          <w:i/>
          <w:iCs/>
        </w:rPr>
        <w:t xml:space="preserve">h </w:t>
      </w:r>
      <w:r w:rsidR="006066BA" w:rsidRPr="00221E23">
        <w:rPr>
          <w:rFonts w:ascii="Times New Roman" w:hAnsi="Times New Roman"/>
        </w:rPr>
        <w:t>appeared</w:t>
      </w:r>
      <w:r w:rsidR="006066BA" w:rsidRPr="00221E23">
        <w:rPr>
          <w:rFonts w:ascii="Times New Roman" w:hAnsi="Times New Roman"/>
          <w:i/>
          <w:iCs/>
        </w:rPr>
        <w:t xml:space="preserve"> </w:t>
      </w:r>
      <w:r w:rsidR="006066BA" w:rsidRPr="00221E23">
        <w:rPr>
          <w:rFonts w:ascii="Times New Roman" w:hAnsi="Times New Roman"/>
        </w:rPr>
        <w:t>in print.</w:t>
      </w:r>
      <w:r w:rsidRPr="00221E23">
        <w:rPr>
          <w:rFonts w:ascii="Times New Roman" w:hAnsi="Times New Roman"/>
        </w:rPr>
        <w:t xml:space="preserve"> </w:t>
      </w:r>
      <w:r w:rsidR="00363F3A" w:rsidRPr="00221E23">
        <w:rPr>
          <w:rFonts w:ascii="Times New Roman" w:hAnsi="Times New Roman"/>
        </w:rPr>
        <w:t>Th</w:t>
      </w:r>
      <w:r w:rsidR="00A2135E" w:rsidRPr="00221E23">
        <w:rPr>
          <w:rFonts w:ascii="Times New Roman" w:hAnsi="Times New Roman"/>
        </w:rPr>
        <w:t>at</w:t>
      </w:r>
      <w:r w:rsidR="008D3556" w:rsidRPr="00221E23">
        <w:rPr>
          <w:rFonts w:ascii="Times New Roman" w:hAnsi="Times New Roman"/>
        </w:rPr>
        <w:t xml:space="preserve"> publication </w:t>
      </w:r>
      <w:r w:rsidR="00325859" w:rsidRPr="00221E23">
        <w:rPr>
          <w:rFonts w:ascii="Times New Roman" w:hAnsi="Times New Roman"/>
        </w:rPr>
        <w:t>marked</w:t>
      </w:r>
      <w:r w:rsidRPr="00221E23">
        <w:rPr>
          <w:rFonts w:ascii="Times New Roman" w:hAnsi="Times New Roman"/>
        </w:rPr>
        <w:t xml:space="preserve"> </w:t>
      </w:r>
      <w:r w:rsidR="00C33F8C" w:rsidRPr="00221E23">
        <w:rPr>
          <w:rFonts w:ascii="Times New Roman" w:hAnsi="Times New Roman"/>
        </w:rPr>
        <w:t xml:space="preserve">for its readers </w:t>
      </w:r>
      <w:r w:rsidRPr="00221E23">
        <w:rPr>
          <w:rFonts w:ascii="Times New Roman" w:hAnsi="Times New Roman"/>
        </w:rPr>
        <w:t>a brand new turn in his thinking.</w:t>
      </w:r>
      <w:r w:rsidR="00201141" w:rsidRPr="00221E23">
        <w:rPr>
          <w:rFonts w:ascii="Times New Roman" w:hAnsi="Times New Roman"/>
          <w:b/>
        </w:rPr>
        <w:t xml:space="preserve"> </w:t>
      </w:r>
      <w:r w:rsidR="003B3154">
        <w:rPr>
          <w:rFonts w:ascii="Times New Roman" w:hAnsi="Times New Roman"/>
          <w:bCs/>
        </w:rPr>
        <w:t>That’s</w:t>
      </w:r>
      <w:r w:rsidR="00E30256" w:rsidRPr="00221E23">
        <w:rPr>
          <w:rFonts w:ascii="Times New Roman" w:hAnsi="Times New Roman"/>
        </w:rPr>
        <w:t xml:space="preserve"> one story, anyway</w:t>
      </w:r>
      <w:r w:rsidR="00201141" w:rsidRPr="00221E23">
        <w:rPr>
          <w:rFonts w:ascii="Times New Roman" w:hAnsi="Times New Roman"/>
        </w:rPr>
        <w:t>.</w:t>
      </w:r>
      <w:r w:rsidR="009A7966" w:rsidRPr="00221E23">
        <w:rPr>
          <w:rFonts w:ascii="Times New Roman" w:hAnsi="Times New Roman"/>
          <w:vertAlign w:val="superscript"/>
        </w:rPr>
        <w:footnoteReference w:id="2"/>
      </w:r>
      <w:r w:rsidR="009A7966" w:rsidRPr="00221E23">
        <w:rPr>
          <w:rFonts w:ascii="Times New Roman" w:hAnsi="Times New Roman"/>
        </w:rPr>
        <w:t xml:space="preserve"> </w:t>
      </w:r>
      <w:r w:rsidR="001F321B" w:rsidRPr="00221E23">
        <w:rPr>
          <w:rFonts w:ascii="Times New Roman" w:hAnsi="Times New Roman"/>
        </w:rPr>
        <w:t xml:space="preserve">Others have wondered whether </w:t>
      </w:r>
      <w:r w:rsidR="003E3ECB" w:rsidRPr="00221E23">
        <w:rPr>
          <w:rFonts w:ascii="Times New Roman" w:hAnsi="Times New Roman"/>
        </w:rPr>
        <w:t>there</w:t>
      </w:r>
      <w:r w:rsidR="00201141" w:rsidRPr="00221E23">
        <w:rPr>
          <w:rFonts w:ascii="Times New Roman" w:hAnsi="Times New Roman"/>
        </w:rPr>
        <w:t xml:space="preserve"> really </w:t>
      </w:r>
      <w:r w:rsidR="00311E54" w:rsidRPr="00221E23">
        <w:rPr>
          <w:rFonts w:ascii="Times New Roman" w:hAnsi="Times New Roman"/>
        </w:rPr>
        <w:t xml:space="preserve">was </w:t>
      </w:r>
      <w:r w:rsidR="00C256B9" w:rsidRPr="00221E23">
        <w:rPr>
          <w:rFonts w:ascii="Times New Roman" w:hAnsi="Times New Roman"/>
        </w:rPr>
        <w:t xml:space="preserve">such </w:t>
      </w:r>
      <w:r w:rsidR="00201141" w:rsidRPr="00221E23">
        <w:rPr>
          <w:rFonts w:ascii="Times New Roman" w:hAnsi="Times New Roman"/>
        </w:rPr>
        <w:t>a “new turn</w:t>
      </w:r>
      <w:r w:rsidR="007D499E" w:rsidRPr="00221E23">
        <w:rPr>
          <w:rFonts w:ascii="Times New Roman" w:hAnsi="Times New Roman"/>
        </w:rPr>
        <w:t>.</w:t>
      </w:r>
      <w:r w:rsidR="00201141" w:rsidRPr="00221E23">
        <w:rPr>
          <w:rFonts w:ascii="Times New Roman" w:hAnsi="Times New Roman"/>
        </w:rPr>
        <w:t xml:space="preserve">” By mid-career, even though Santayana was abandoning the so-called “humanist” tone of his earlier writing, he explicitly dismissed the idea that there was any “change in … deliberate doctrine” (SAF 183). </w:t>
      </w:r>
    </w:p>
    <w:p w14:paraId="10983D24" w14:textId="55E3DF59" w:rsidR="00201141" w:rsidRPr="00221E23" w:rsidRDefault="00201141" w:rsidP="00956682">
      <w:pPr>
        <w:widowControl w:val="0"/>
        <w:tabs>
          <w:tab w:val="left" w:pos="720"/>
          <w:tab w:val="left" w:pos="2880"/>
        </w:tabs>
        <w:autoSpaceDE w:val="0"/>
        <w:autoSpaceDN w:val="0"/>
        <w:adjustRightInd w:val="0"/>
        <w:spacing w:line="360" w:lineRule="auto"/>
        <w:ind w:firstLine="720"/>
        <w:rPr>
          <w:rFonts w:ascii="Times New Roman" w:hAnsi="Times New Roman"/>
        </w:rPr>
      </w:pPr>
      <w:r w:rsidRPr="00221E23">
        <w:rPr>
          <w:rFonts w:ascii="Times New Roman" w:hAnsi="Times New Roman"/>
        </w:rPr>
        <w:t xml:space="preserve">This </w:t>
      </w:r>
      <w:r w:rsidR="00615543" w:rsidRPr="00221E23">
        <w:rPr>
          <w:rFonts w:ascii="Times New Roman" w:hAnsi="Times New Roman"/>
        </w:rPr>
        <w:t>does point</w:t>
      </w:r>
      <w:r w:rsidRPr="00221E23">
        <w:rPr>
          <w:rFonts w:ascii="Times New Roman" w:hAnsi="Times New Roman"/>
        </w:rPr>
        <w:t xml:space="preserve"> to one very natural way of framing the</w:t>
      </w:r>
      <w:r w:rsidR="00A734D7" w:rsidRPr="00221E23">
        <w:rPr>
          <w:rFonts w:ascii="Times New Roman" w:hAnsi="Times New Roman"/>
        </w:rPr>
        <w:t xml:space="preserve"> so-called</w:t>
      </w:r>
      <w:r w:rsidRPr="00221E23">
        <w:rPr>
          <w:rFonts w:ascii="Times New Roman" w:hAnsi="Times New Roman"/>
        </w:rPr>
        <w:t xml:space="preserve"> continuity problem in Santayana — as a matter of doctrinal deviation</w:t>
      </w:r>
      <w:r w:rsidR="00EF13B3" w:rsidRPr="00221E23">
        <w:rPr>
          <w:rFonts w:ascii="Times New Roman" w:hAnsi="Times New Roman"/>
        </w:rPr>
        <w:t xml:space="preserve">.  </w:t>
      </w:r>
      <w:r w:rsidR="00B03D32">
        <w:rPr>
          <w:rFonts w:ascii="Times New Roman" w:hAnsi="Times New Roman"/>
        </w:rPr>
        <w:t xml:space="preserve">But </w:t>
      </w:r>
      <w:r w:rsidR="00EF13B3" w:rsidRPr="00221E23">
        <w:rPr>
          <w:rFonts w:ascii="Times New Roman" w:hAnsi="Times New Roman"/>
        </w:rPr>
        <w:t xml:space="preserve">I’ll </w:t>
      </w:r>
      <w:r w:rsidRPr="00221E23">
        <w:rPr>
          <w:rFonts w:ascii="Times New Roman" w:hAnsi="Times New Roman"/>
        </w:rPr>
        <w:t>be framing the problem differentl</w:t>
      </w:r>
      <w:r w:rsidR="008C37F7" w:rsidRPr="00221E23">
        <w:rPr>
          <w:rFonts w:ascii="Times New Roman" w:hAnsi="Times New Roman"/>
        </w:rPr>
        <w:t>y</w:t>
      </w:r>
      <w:r w:rsidR="006A1016" w:rsidRPr="00221E23">
        <w:rPr>
          <w:rFonts w:ascii="Times New Roman" w:hAnsi="Times New Roman"/>
        </w:rPr>
        <w:t xml:space="preserve">, and my observations will be directed towards </w:t>
      </w:r>
      <w:r w:rsidR="00D51BED" w:rsidRPr="00221E23">
        <w:rPr>
          <w:rFonts w:ascii="Times New Roman" w:hAnsi="Times New Roman"/>
        </w:rPr>
        <w:t xml:space="preserve">reframing </w:t>
      </w:r>
      <w:r w:rsidR="00DA4959" w:rsidRPr="00221E23">
        <w:rPr>
          <w:rFonts w:ascii="Times New Roman" w:hAnsi="Times New Roman"/>
        </w:rPr>
        <w:t>(</w:t>
      </w:r>
      <w:r w:rsidR="00E86B5E" w:rsidRPr="00221E23">
        <w:rPr>
          <w:rFonts w:ascii="Times New Roman" w:hAnsi="Times New Roman"/>
        </w:rPr>
        <w:t xml:space="preserve">at least part </w:t>
      </w:r>
      <w:r w:rsidR="00DA4959" w:rsidRPr="00221E23">
        <w:rPr>
          <w:rFonts w:ascii="Times New Roman" w:hAnsi="Times New Roman"/>
        </w:rPr>
        <w:t xml:space="preserve">of) </w:t>
      </w:r>
      <w:r w:rsidR="00D51BED" w:rsidRPr="00221E23">
        <w:rPr>
          <w:rFonts w:ascii="Times New Roman" w:hAnsi="Times New Roman"/>
        </w:rPr>
        <w:t xml:space="preserve">Santayana’s </w:t>
      </w:r>
      <w:r w:rsidRPr="00221E23">
        <w:rPr>
          <w:rFonts w:ascii="Times New Roman" w:hAnsi="Times New Roman"/>
        </w:rPr>
        <w:t>legacy,</w:t>
      </w:r>
      <w:r w:rsidR="009D4CD7" w:rsidRPr="00221E23">
        <w:rPr>
          <w:rFonts w:ascii="Times New Roman" w:hAnsi="Times New Roman"/>
        </w:rPr>
        <w:t xml:space="preserve"> towards</w:t>
      </w:r>
      <w:r w:rsidRPr="00221E23">
        <w:rPr>
          <w:rFonts w:ascii="Times New Roman" w:hAnsi="Times New Roman"/>
        </w:rPr>
        <w:t xml:space="preserve"> a way of life that might</w:t>
      </w:r>
      <w:r w:rsidR="00DA4959" w:rsidRPr="00221E23">
        <w:rPr>
          <w:rFonts w:ascii="Times New Roman" w:hAnsi="Times New Roman"/>
        </w:rPr>
        <w:t xml:space="preserve"> actually</w:t>
      </w:r>
      <w:r w:rsidRPr="00221E23">
        <w:rPr>
          <w:rFonts w:ascii="Times New Roman" w:hAnsi="Times New Roman"/>
        </w:rPr>
        <w:t xml:space="preserve"> be possible for</w:t>
      </w:r>
      <w:r w:rsidR="00A64F29" w:rsidRPr="00221E23">
        <w:rPr>
          <w:rFonts w:ascii="Times New Roman" w:hAnsi="Times New Roman"/>
        </w:rPr>
        <w:t xml:space="preserve"> </w:t>
      </w:r>
      <w:r w:rsidR="0017585E" w:rsidRPr="00221E23">
        <w:rPr>
          <w:rFonts w:ascii="Times New Roman" w:hAnsi="Times New Roman"/>
        </w:rPr>
        <w:t>those of</w:t>
      </w:r>
      <w:r w:rsidRPr="00221E23">
        <w:rPr>
          <w:rFonts w:ascii="Times New Roman" w:hAnsi="Times New Roman"/>
        </w:rPr>
        <w:t xml:space="preserve"> us who are not named George Santayana. </w:t>
      </w:r>
    </w:p>
    <w:p w14:paraId="337E933A" w14:textId="77777777" w:rsidR="00C500BF" w:rsidRPr="00221E23" w:rsidRDefault="00C500BF"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rPr>
      </w:pPr>
    </w:p>
    <w:p w14:paraId="10983D25" w14:textId="77777777" w:rsidR="00201141" w:rsidRPr="00221E23" w:rsidRDefault="00201141" w:rsidP="00956682">
      <w:pPr>
        <w:widowControl w:val="0"/>
        <w:tabs>
          <w:tab w:val="left" w:pos="720"/>
          <w:tab w:val="left" w:pos="2160"/>
          <w:tab w:val="left" w:pos="2880"/>
        </w:tabs>
        <w:autoSpaceDE w:val="0"/>
        <w:autoSpaceDN w:val="0"/>
        <w:adjustRightInd w:val="0"/>
        <w:spacing w:line="360" w:lineRule="auto"/>
        <w:jc w:val="center"/>
        <w:rPr>
          <w:rFonts w:ascii="Times New Roman" w:hAnsi="Times New Roman"/>
          <w:b/>
        </w:rPr>
      </w:pPr>
      <w:r w:rsidRPr="00221E23">
        <w:rPr>
          <w:rFonts w:ascii="Times New Roman" w:hAnsi="Times New Roman"/>
          <w:b/>
        </w:rPr>
        <w:t>*1* The source of the continuity debate</w:t>
      </w:r>
    </w:p>
    <w:p w14:paraId="27B7FBEF" w14:textId="77777777" w:rsidR="002473F4" w:rsidRPr="00221E23" w:rsidRDefault="002473F4" w:rsidP="00956682">
      <w:pPr>
        <w:widowControl w:val="0"/>
        <w:tabs>
          <w:tab w:val="left" w:pos="720"/>
          <w:tab w:val="left" w:pos="2160"/>
          <w:tab w:val="left" w:pos="2880"/>
        </w:tabs>
        <w:autoSpaceDE w:val="0"/>
        <w:autoSpaceDN w:val="0"/>
        <w:adjustRightInd w:val="0"/>
        <w:spacing w:line="360" w:lineRule="auto"/>
        <w:jc w:val="center"/>
        <w:rPr>
          <w:rFonts w:ascii="Times New Roman" w:hAnsi="Times New Roman"/>
          <w:b/>
        </w:rPr>
      </w:pPr>
    </w:p>
    <w:p w14:paraId="3B573246" w14:textId="5223AA82" w:rsidR="00C7300E" w:rsidRPr="00221E23" w:rsidRDefault="00636F54"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rPr>
      </w:pPr>
      <w:r w:rsidRPr="00221E23">
        <w:rPr>
          <w:rFonts w:ascii="Times New Roman" w:hAnsi="Times New Roman"/>
        </w:rPr>
        <w:t>First</w:t>
      </w:r>
      <w:r w:rsidR="00201141" w:rsidRPr="00221E23">
        <w:rPr>
          <w:rFonts w:ascii="Times New Roman" w:hAnsi="Times New Roman"/>
        </w:rPr>
        <w:t xml:space="preserve"> a little historical background. In his article “One Santayana or Two?” Justus Buchler took up this question</w:t>
      </w:r>
      <w:r w:rsidR="001E250D" w:rsidRPr="00221E23">
        <w:rPr>
          <w:rFonts w:ascii="Times New Roman" w:hAnsi="Times New Roman"/>
        </w:rPr>
        <w:t xml:space="preserve"> of continuity </w:t>
      </w:r>
      <w:r w:rsidR="00201141" w:rsidRPr="00221E23">
        <w:rPr>
          <w:rFonts w:ascii="Times New Roman" w:hAnsi="Times New Roman"/>
        </w:rPr>
        <w:t xml:space="preserve">soon after Santayana’s death, noting that a number of Santayana’s former admirers had come to believe that the </w:t>
      </w:r>
      <w:r w:rsidR="00201141" w:rsidRPr="00221E23">
        <w:rPr>
          <w:rFonts w:ascii="Times New Roman" w:hAnsi="Times New Roman"/>
          <w:i/>
        </w:rPr>
        <w:t>Life of Reason</w:t>
      </w:r>
      <w:r w:rsidR="00201141" w:rsidRPr="00221E23">
        <w:rPr>
          <w:rFonts w:ascii="Times New Roman" w:hAnsi="Times New Roman"/>
        </w:rPr>
        <w:t xml:space="preserve"> (1905, 1906) was incompatible with the later Santayana (Buchler 1954, 53). In fact, according to Santayana himself (Schilpp 1940, 538), some of those critics </w:t>
      </w:r>
      <w:r w:rsidR="006B06B7" w:rsidRPr="00221E23">
        <w:rPr>
          <w:rFonts w:ascii="Times New Roman" w:hAnsi="Times New Roman"/>
        </w:rPr>
        <w:t xml:space="preserve">had </w:t>
      </w:r>
      <w:r w:rsidR="00201141" w:rsidRPr="00221E23">
        <w:rPr>
          <w:rFonts w:ascii="Times New Roman" w:hAnsi="Times New Roman"/>
        </w:rPr>
        <w:t>developed a “personal animus” towards him over that very issue</w:t>
      </w:r>
      <w:r w:rsidR="00A42B06" w:rsidRPr="00221E23">
        <w:rPr>
          <w:rFonts w:ascii="Times New Roman" w:hAnsi="Times New Roman"/>
        </w:rPr>
        <w:t>.</w:t>
      </w:r>
      <w:r w:rsidR="00201141" w:rsidRPr="00221E23">
        <w:rPr>
          <w:rFonts w:ascii="Times New Roman" w:hAnsi="Times New Roman"/>
          <w:vertAlign w:val="superscript"/>
        </w:rPr>
        <w:footnoteReference w:id="3"/>
      </w:r>
      <w:r w:rsidR="00201141" w:rsidRPr="00221E23">
        <w:rPr>
          <w:rFonts w:ascii="Times New Roman" w:hAnsi="Times New Roman"/>
        </w:rPr>
        <w:t xml:space="preserve"> </w:t>
      </w:r>
    </w:p>
    <w:p w14:paraId="10983D28" w14:textId="4F0B2A4B" w:rsidR="00201141" w:rsidRPr="00221E23" w:rsidRDefault="005F0616"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rPr>
      </w:pPr>
      <w:r w:rsidRPr="00221E23">
        <w:rPr>
          <w:rFonts w:ascii="Times New Roman" w:hAnsi="Times New Roman"/>
        </w:rPr>
        <w:t xml:space="preserve">“A personal animus.” </w:t>
      </w:r>
      <w:r w:rsidR="00201141" w:rsidRPr="00221E23">
        <w:rPr>
          <w:rFonts w:ascii="Times New Roman" w:hAnsi="Times New Roman"/>
        </w:rPr>
        <w:t xml:space="preserve">This seems to me worth noting. Perhaps if we could penetrate the source of that personal animus, we might better diagnose the perception of discontinuity </w:t>
      </w:r>
      <w:r w:rsidR="009D37C7" w:rsidRPr="00221E23">
        <w:rPr>
          <w:rFonts w:ascii="Times New Roman" w:hAnsi="Times New Roman"/>
        </w:rPr>
        <w:t>that accompanied it</w:t>
      </w:r>
      <w:r w:rsidR="00201141" w:rsidRPr="00221E23">
        <w:rPr>
          <w:rFonts w:ascii="Times New Roman" w:hAnsi="Times New Roman"/>
        </w:rPr>
        <w:t xml:space="preserve">. So that is </w:t>
      </w:r>
      <w:r w:rsidR="00996B2D" w:rsidRPr="00221E23">
        <w:rPr>
          <w:rFonts w:ascii="Times New Roman" w:hAnsi="Times New Roman"/>
        </w:rPr>
        <w:t xml:space="preserve">the first thing </w:t>
      </w:r>
      <w:r w:rsidR="00201141" w:rsidRPr="00221E23">
        <w:rPr>
          <w:rFonts w:ascii="Times New Roman" w:hAnsi="Times New Roman"/>
        </w:rPr>
        <w:t>I hope to do here.</w:t>
      </w:r>
    </w:p>
    <w:p w14:paraId="025E4A4B" w14:textId="53AAA8B3" w:rsidR="00CE1A7B" w:rsidRPr="00221E23" w:rsidRDefault="00201141"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rPr>
      </w:pPr>
      <w:r w:rsidRPr="00221E23">
        <w:rPr>
          <w:rFonts w:ascii="Times New Roman" w:hAnsi="Times New Roman"/>
        </w:rPr>
        <w:t>Now, not all commentators have discerned discontinuity. Buchler himself had not followed the crowd on this, and more recent commentators (including John McCormick and Herman Saatkamp)</w:t>
      </w:r>
      <w:r w:rsidRPr="00221E23">
        <w:rPr>
          <w:rFonts w:ascii="Times New Roman" w:hAnsi="Times New Roman"/>
          <w:vertAlign w:val="superscript"/>
        </w:rPr>
        <w:footnoteReference w:id="4"/>
      </w:r>
      <w:r w:rsidRPr="00221E23">
        <w:rPr>
          <w:rFonts w:ascii="Times New Roman" w:hAnsi="Times New Roman"/>
        </w:rPr>
        <w:t xml:space="preserve"> have focused on the </w:t>
      </w:r>
      <w:r w:rsidRPr="00221E23">
        <w:rPr>
          <w:rFonts w:ascii="Times New Roman" w:hAnsi="Times New Roman"/>
          <w:i/>
        </w:rPr>
        <w:t>continuity</w:t>
      </w:r>
      <w:r w:rsidRPr="00221E23">
        <w:rPr>
          <w:rFonts w:ascii="Times New Roman" w:hAnsi="Times New Roman"/>
        </w:rPr>
        <w:t xml:space="preserve"> they </w:t>
      </w:r>
      <w:r w:rsidR="0028687E" w:rsidRPr="00221E23">
        <w:rPr>
          <w:rFonts w:ascii="Times New Roman" w:hAnsi="Times New Roman"/>
        </w:rPr>
        <w:t>see</w:t>
      </w:r>
      <w:r w:rsidRPr="00221E23">
        <w:rPr>
          <w:rFonts w:ascii="Times New Roman" w:hAnsi="Times New Roman"/>
        </w:rPr>
        <w:t xml:space="preserve"> in Santayana’s doctrine.</w:t>
      </w:r>
      <w:r w:rsidRPr="00221E23">
        <w:rPr>
          <w:rFonts w:ascii="Times New Roman" w:hAnsi="Times New Roman"/>
          <w:vertAlign w:val="superscript"/>
        </w:rPr>
        <w:footnoteReference w:id="5"/>
      </w:r>
      <w:r w:rsidRPr="00221E23">
        <w:rPr>
          <w:rFonts w:ascii="Times New Roman" w:hAnsi="Times New Roman"/>
        </w:rPr>
        <w:t xml:space="preserve"> </w:t>
      </w:r>
    </w:p>
    <w:p w14:paraId="48E33768" w14:textId="14475A38" w:rsidR="00FF1065" w:rsidRPr="00221E23" w:rsidRDefault="00A0033F"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rPr>
      </w:pPr>
      <w:r w:rsidRPr="00221E23">
        <w:rPr>
          <w:rFonts w:ascii="Times New Roman" w:hAnsi="Times New Roman"/>
        </w:rPr>
        <w:lastRenderedPageBreak/>
        <w:t>But maybe this</w:t>
      </w:r>
      <w:r w:rsidR="0028687E" w:rsidRPr="00221E23">
        <w:rPr>
          <w:rFonts w:ascii="Times New Roman" w:hAnsi="Times New Roman"/>
        </w:rPr>
        <w:t xml:space="preserve"> entire discussion is</w:t>
      </w:r>
      <w:r w:rsidR="008279BC" w:rsidRPr="00221E23">
        <w:rPr>
          <w:rFonts w:ascii="Times New Roman" w:hAnsi="Times New Roman"/>
        </w:rPr>
        <w:t xml:space="preserve"> missing</w:t>
      </w:r>
      <w:r w:rsidR="004C091D" w:rsidRPr="00221E23">
        <w:rPr>
          <w:rFonts w:ascii="Times New Roman" w:hAnsi="Times New Roman"/>
        </w:rPr>
        <w:t xml:space="preserve"> a</w:t>
      </w:r>
      <w:r w:rsidR="008279BC" w:rsidRPr="00221E23">
        <w:rPr>
          <w:rFonts w:ascii="Times New Roman" w:hAnsi="Times New Roman"/>
        </w:rPr>
        <w:t xml:space="preserve"> larger </w:t>
      </w:r>
      <w:r w:rsidR="00224C0E" w:rsidRPr="00221E23">
        <w:rPr>
          <w:rFonts w:ascii="Times New Roman" w:hAnsi="Times New Roman"/>
        </w:rPr>
        <w:t xml:space="preserve">and more fundamental </w:t>
      </w:r>
      <w:r w:rsidR="008279BC" w:rsidRPr="00221E23">
        <w:rPr>
          <w:rFonts w:ascii="Times New Roman" w:hAnsi="Times New Roman"/>
        </w:rPr>
        <w:t xml:space="preserve">point. </w:t>
      </w:r>
      <w:r w:rsidR="00224C0E" w:rsidRPr="00221E23">
        <w:rPr>
          <w:rFonts w:ascii="Times New Roman" w:hAnsi="Times New Roman"/>
        </w:rPr>
        <w:t xml:space="preserve">Shouldn’t we be wondering just why this continuity issue ever seemed worth pondering in the first place? </w:t>
      </w:r>
      <w:r w:rsidR="00600638" w:rsidRPr="00221E23">
        <w:rPr>
          <w:rFonts w:ascii="Times New Roman" w:hAnsi="Times New Roman"/>
        </w:rPr>
        <w:t>Today, i</w:t>
      </w:r>
      <w:r w:rsidR="00201141" w:rsidRPr="00221E23">
        <w:rPr>
          <w:rFonts w:ascii="Times New Roman" w:hAnsi="Times New Roman"/>
        </w:rPr>
        <w:t xml:space="preserve">f we concentrate </w:t>
      </w:r>
      <w:r w:rsidR="00535C35" w:rsidRPr="00221E23">
        <w:rPr>
          <w:rFonts w:ascii="Times New Roman" w:hAnsi="Times New Roman"/>
        </w:rPr>
        <w:t>simply</w:t>
      </w:r>
      <w:r w:rsidR="00201141" w:rsidRPr="00221E23">
        <w:rPr>
          <w:rFonts w:ascii="Times New Roman" w:hAnsi="Times New Roman"/>
        </w:rPr>
        <w:t xml:space="preserve"> on this issue of doctrinal integrity, it seems to me, we risk </w:t>
      </w:r>
      <w:r w:rsidR="00A61F6B" w:rsidRPr="00221E23">
        <w:rPr>
          <w:rFonts w:ascii="Times New Roman" w:hAnsi="Times New Roman"/>
        </w:rPr>
        <w:t>underrating</w:t>
      </w:r>
      <w:r w:rsidR="002E7FEB" w:rsidRPr="00221E23">
        <w:rPr>
          <w:rFonts w:ascii="Times New Roman" w:hAnsi="Times New Roman"/>
        </w:rPr>
        <w:t xml:space="preserve"> the</w:t>
      </w:r>
      <w:r w:rsidR="00201141" w:rsidRPr="00221E23">
        <w:rPr>
          <w:rFonts w:ascii="Times New Roman" w:hAnsi="Times New Roman"/>
        </w:rPr>
        <w:t xml:space="preserve"> “personal animus” </w:t>
      </w:r>
      <w:r w:rsidR="00AF70FF" w:rsidRPr="00221E23">
        <w:rPr>
          <w:rFonts w:ascii="Times New Roman" w:hAnsi="Times New Roman"/>
        </w:rPr>
        <w:t xml:space="preserve">that </w:t>
      </w:r>
      <w:r w:rsidR="00201141" w:rsidRPr="00221E23">
        <w:rPr>
          <w:rFonts w:ascii="Times New Roman" w:hAnsi="Times New Roman"/>
        </w:rPr>
        <w:t>Santayana detected</w:t>
      </w:r>
      <w:r w:rsidR="00EC53D0" w:rsidRPr="00221E23">
        <w:rPr>
          <w:rFonts w:ascii="Times New Roman" w:hAnsi="Times New Roman"/>
        </w:rPr>
        <w:t>.</w:t>
      </w:r>
      <w:r w:rsidR="00201141" w:rsidRPr="00221E23">
        <w:rPr>
          <w:rFonts w:ascii="Times New Roman" w:hAnsi="Times New Roman"/>
          <w:vertAlign w:val="superscript"/>
        </w:rPr>
        <w:footnoteReference w:id="6"/>
      </w:r>
      <w:r w:rsidR="00AB4D51" w:rsidRPr="00221E23">
        <w:rPr>
          <w:rFonts w:ascii="Times New Roman" w:hAnsi="Times New Roman"/>
        </w:rPr>
        <w:t xml:space="preserve"> And in that regard, Santayana says</w:t>
      </w:r>
      <w:r w:rsidR="00EC53D0" w:rsidRPr="00221E23">
        <w:rPr>
          <w:rFonts w:ascii="Times New Roman" w:hAnsi="Times New Roman"/>
        </w:rPr>
        <w:t xml:space="preserve"> this</w:t>
      </w:r>
      <w:r w:rsidR="00AB4D51" w:rsidRPr="00221E23">
        <w:rPr>
          <w:rFonts w:ascii="Times New Roman" w:hAnsi="Times New Roman"/>
        </w:rPr>
        <w:t>:</w:t>
      </w:r>
      <w:r w:rsidR="00201141" w:rsidRPr="00221E23">
        <w:rPr>
          <w:rFonts w:ascii="Times New Roman" w:hAnsi="Times New Roman"/>
        </w:rPr>
        <w:t xml:space="preserve"> “there has really been a change in my sentiment</w:t>
      </w:r>
      <w:r w:rsidR="00DD09EF" w:rsidRPr="00221E23">
        <w:rPr>
          <w:rFonts w:ascii="Times New Roman" w:hAnsi="Times New Roman"/>
        </w:rPr>
        <w:t xml:space="preserve">, </w:t>
      </w:r>
      <w:r w:rsidR="00201141" w:rsidRPr="00221E23">
        <w:rPr>
          <w:rFonts w:ascii="Times New Roman" w:hAnsi="Times New Roman"/>
        </w:rPr>
        <w:t xml:space="preserve">though none in my theory or </w:t>
      </w:r>
      <w:r w:rsidR="00201141" w:rsidRPr="00221E23">
        <w:rPr>
          <w:rFonts w:ascii="Times New Roman" w:hAnsi="Times New Roman"/>
          <w:i/>
        </w:rPr>
        <w:t xml:space="preserve">in my allegiance </w:t>
      </w:r>
      <w:r w:rsidR="00201141" w:rsidRPr="00221E23">
        <w:rPr>
          <w:rFonts w:ascii="Times New Roman" w:hAnsi="Times New Roman"/>
          <w:iCs/>
        </w:rPr>
        <w:t>to the life of reason</w:t>
      </w:r>
      <w:r w:rsidR="00201141" w:rsidRPr="00221E23">
        <w:rPr>
          <w:rFonts w:ascii="Times New Roman" w:hAnsi="Times New Roman"/>
        </w:rPr>
        <w:t xml:space="preserve">” (Schilpp, 1940, 560 [italics added]). Maybe this gives us our best hint — that the most nagging issue may </w:t>
      </w:r>
      <w:r w:rsidR="000E1232" w:rsidRPr="00221E23">
        <w:rPr>
          <w:rFonts w:ascii="Times New Roman" w:hAnsi="Times New Roman"/>
        </w:rPr>
        <w:t xml:space="preserve">really </w:t>
      </w:r>
      <w:r w:rsidR="00201141" w:rsidRPr="00221E23">
        <w:rPr>
          <w:rFonts w:ascii="Times New Roman" w:hAnsi="Times New Roman"/>
        </w:rPr>
        <w:t xml:space="preserve">be about “allegiance.” </w:t>
      </w:r>
    </w:p>
    <w:p w14:paraId="10983D2A" w14:textId="3ED379DB" w:rsidR="00201141" w:rsidRPr="00221E23" w:rsidRDefault="00201141"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rPr>
      </w:pPr>
      <w:r w:rsidRPr="00221E23">
        <w:rPr>
          <w:rFonts w:ascii="Times New Roman" w:hAnsi="Times New Roman"/>
        </w:rPr>
        <w:t>Allegiance tracks what a person in actual practice is going to do, and what that cadre of pragmatist philosophers aimed to do was to solve social problems. But</w:t>
      </w:r>
      <w:r w:rsidR="00110336" w:rsidRPr="00221E23">
        <w:rPr>
          <w:rFonts w:ascii="Times New Roman" w:hAnsi="Times New Roman"/>
        </w:rPr>
        <w:t xml:space="preserve"> (much to their dismay</w:t>
      </w:r>
      <w:r w:rsidR="000F5887" w:rsidRPr="00221E23">
        <w:rPr>
          <w:rFonts w:ascii="Times New Roman" w:hAnsi="Times New Roman"/>
          <w:vertAlign w:val="superscript"/>
        </w:rPr>
        <w:footnoteReference w:id="7"/>
      </w:r>
      <w:r w:rsidR="00110336" w:rsidRPr="00221E23">
        <w:rPr>
          <w:rFonts w:ascii="Times New Roman" w:hAnsi="Times New Roman"/>
        </w:rPr>
        <w:t>)</w:t>
      </w:r>
      <w:r w:rsidRPr="00221E23">
        <w:rPr>
          <w:rFonts w:ascii="Times New Roman" w:hAnsi="Times New Roman"/>
        </w:rPr>
        <w:t xml:space="preserve"> the problems Santayana began working on, after 1912 or so, had </w:t>
      </w:r>
      <w:r w:rsidR="00D93580" w:rsidRPr="00221E23">
        <w:rPr>
          <w:rFonts w:ascii="Times New Roman" w:hAnsi="Times New Roman"/>
        </w:rPr>
        <w:t xml:space="preserve">indeed </w:t>
      </w:r>
      <w:r w:rsidRPr="00221E23">
        <w:rPr>
          <w:rFonts w:ascii="Times New Roman" w:hAnsi="Times New Roman"/>
        </w:rPr>
        <w:t xml:space="preserve">changed. He </w:t>
      </w:r>
      <w:r w:rsidR="00E10033" w:rsidRPr="00221E23">
        <w:rPr>
          <w:rFonts w:ascii="Times New Roman" w:hAnsi="Times New Roman"/>
        </w:rPr>
        <w:t>simply had become</w:t>
      </w:r>
      <w:r w:rsidRPr="00221E23">
        <w:rPr>
          <w:rFonts w:ascii="Times New Roman" w:hAnsi="Times New Roman"/>
        </w:rPr>
        <w:t xml:space="preserve"> no longer so “taken up with rational ethics” as he was in the </w:t>
      </w:r>
      <w:r w:rsidRPr="00221E23">
        <w:rPr>
          <w:rFonts w:ascii="Times New Roman" w:hAnsi="Times New Roman"/>
          <w:i/>
        </w:rPr>
        <w:t xml:space="preserve">Life of Reason. </w:t>
      </w:r>
      <w:r w:rsidR="00577853" w:rsidRPr="00221E23">
        <w:rPr>
          <w:rFonts w:ascii="Times New Roman" w:hAnsi="Times New Roman"/>
        </w:rPr>
        <w:t>His doctrine had not changed.</w:t>
      </w:r>
      <w:r w:rsidRPr="00221E23">
        <w:rPr>
          <w:rFonts w:ascii="Times New Roman" w:hAnsi="Times New Roman"/>
          <w:i/>
        </w:rPr>
        <w:t xml:space="preserve"> </w:t>
      </w:r>
      <w:r w:rsidRPr="00221E23">
        <w:rPr>
          <w:rFonts w:ascii="Times New Roman" w:hAnsi="Times New Roman"/>
        </w:rPr>
        <w:t xml:space="preserve">He still thought that </w:t>
      </w:r>
      <w:r w:rsidRPr="00221E23">
        <w:rPr>
          <w:rFonts w:ascii="Times New Roman" w:hAnsi="Times New Roman"/>
          <w:i/>
        </w:rPr>
        <w:t xml:space="preserve">if </w:t>
      </w:r>
      <w:r w:rsidRPr="00BF0D37">
        <w:rPr>
          <w:rFonts w:ascii="Times New Roman" w:hAnsi="Times New Roman"/>
          <w:iCs/>
        </w:rPr>
        <w:t>someone is going to do ethics</w:t>
      </w:r>
      <w:r w:rsidRPr="00221E23">
        <w:rPr>
          <w:rFonts w:ascii="Times New Roman" w:hAnsi="Times New Roman"/>
        </w:rPr>
        <w:t xml:space="preserve">, then </w:t>
      </w:r>
      <w:r w:rsidR="00A774D4" w:rsidRPr="00221E23">
        <w:rPr>
          <w:rFonts w:ascii="Times New Roman" w:hAnsi="Times New Roman"/>
        </w:rPr>
        <w:t xml:space="preserve">yes, </w:t>
      </w:r>
      <w:r w:rsidRPr="00221E23">
        <w:rPr>
          <w:rFonts w:ascii="Times New Roman" w:hAnsi="Times New Roman"/>
        </w:rPr>
        <w:t xml:space="preserve">the story he told in the </w:t>
      </w:r>
      <w:r w:rsidRPr="00221E23">
        <w:rPr>
          <w:rFonts w:ascii="Times New Roman" w:hAnsi="Times New Roman"/>
          <w:i/>
        </w:rPr>
        <w:t>Life of Reason</w:t>
      </w:r>
      <w:r w:rsidRPr="00221E23">
        <w:rPr>
          <w:rFonts w:ascii="Times New Roman" w:hAnsi="Times New Roman"/>
        </w:rPr>
        <w:t xml:space="preserve"> </w:t>
      </w:r>
      <w:r w:rsidR="008F6BE3" w:rsidRPr="00221E23">
        <w:rPr>
          <w:rFonts w:ascii="Times New Roman" w:hAnsi="Times New Roman"/>
        </w:rPr>
        <w:t>was</w:t>
      </w:r>
      <w:r w:rsidRPr="00221E23">
        <w:rPr>
          <w:rFonts w:ascii="Times New Roman" w:hAnsi="Times New Roman"/>
        </w:rPr>
        <w:t xml:space="preserve"> the way to go</w:t>
      </w:r>
      <w:r w:rsidR="00577853" w:rsidRPr="00221E23">
        <w:rPr>
          <w:rFonts w:ascii="Times New Roman" w:hAnsi="Times New Roman"/>
        </w:rPr>
        <w:t xml:space="preserve">. </w:t>
      </w:r>
      <w:r w:rsidRPr="00221E23">
        <w:rPr>
          <w:rFonts w:ascii="Times New Roman" w:hAnsi="Times New Roman"/>
        </w:rPr>
        <w:t xml:space="preserve">But </w:t>
      </w:r>
      <w:r w:rsidRPr="00BF0D37">
        <w:rPr>
          <w:rFonts w:ascii="Times New Roman" w:hAnsi="Times New Roman"/>
        </w:rPr>
        <w:t>that someone</w:t>
      </w:r>
      <w:r w:rsidRPr="00221E23">
        <w:rPr>
          <w:rFonts w:ascii="Times New Roman" w:hAnsi="Times New Roman"/>
        </w:rPr>
        <w:t xml:space="preserve"> was no longer George Santayana. He still </w:t>
      </w:r>
      <w:r w:rsidR="002F0CBE" w:rsidRPr="00221E23">
        <w:rPr>
          <w:rFonts w:ascii="Times New Roman" w:hAnsi="Times New Roman"/>
        </w:rPr>
        <w:t xml:space="preserve">pretty much </w:t>
      </w:r>
      <w:r w:rsidRPr="00221E23">
        <w:rPr>
          <w:rFonts w:ascii="Times New Roman" w:hAnsi="Times New Roman"/>
        </w:rPr>
        <w:t xml:space="preserve">accepted </w:t>
      </w:r>
      <w:r w:rsidR="007A3916" w:rsidRPr="00221E23">
        <w:rPr>
          <w:rFonts w:ascii="Times New Roman" w:hAnsi="Times New Roman"/>
        </w:rPr>
        <w:t xml:space="preserve">the essence of </w:t>
      </w:r>
      <w:r w:rsidR="009D7181" w:rsidRPr="00221E23">
        <w:rPr>
          <w:rFonts w:ascii="Times New Roman" w:hAnsi="Times New Roman"/>
        </w:rPr>
        <w:t>what</w:t>
      </w:r>
      <w:r w:rsidR="00E907FE" w:rsidRPr="00221E23">
        <w:rPr>
          <w:rFonts w:ascii="Times New Roman" w:hAnsi="Times New Roman"/>
        </w:rPr>
        <w:t xml:space="preserve"> </w:t>
      </w:r>
      <w:r w:rsidR="00600F48" w:rsidRPr="00221E23">
        <w:rPr>
          <w:rFonts w:ascii="Times New Roman" w:hAnsi="Times New Roman"/>
        </w:rPr>
        <w:t xml:space="preserve">he had presented </w:t>
      </w:r>
      <w:r w:rsidR="00E907FE" w:rsidRPr="00221E23">
        <w:rPr>
          <w:rFonts w:ascii="Times New Roman" w:hAnsi="Times New Roman"/>
        </w:rPr>
        <w:t xml:space="preserve">decades earlier </w:t>
      </w:r>
      <w:r w:rsidRPr="00221E23">
        <w:rPr>
          <w:rFonts w:ascii="Times New Roman" w:hAnsi="Times New Roman"/>
        </w:rPr>
        <w:t>--</w:t>
      </w:r>
      <w:r w:rsidRPr="00221E23">
        <w:rPr>
          <w:rFonts w:ascii="Times New Roman" w:hAnsi="Times New Roman"/>
          <w:i/>
        </w:rPr>
        <w:t xml:space="preserve"> </w:t>
      </w:r>
      <w:r w:rsidRPr="00221E23">
        <w:rPr>
          <w:rFonts w:ascii="Times New Roman" w:hAnsi="Times New Roman"/>
        </w:rPr>
        <w:t>but</w:t>
      </w:r>
      <w:r w:rsidRPr="00221E23">
        <w:rPr>
          <w:rFonts w:ascii="Times New Roman" w:hAnsi="Times New Roman"/>
          <w:i/>
        </w:rPr>
        <w:t xml:space="preserve"> </w:t>
      </w:r>
      <w:r w:rsidRPr="00BF0D37">
        <w:rPr>
          <w:rFonts w:ascii="Times New Roman" w:hAnsi="Times New Roman"/>
          <w:iCs/>
        </w:rPr>
        <w:t>in theory</w:t>
      </w:r>
      <w:r w:rsidRPr="00221E23">
        <w:rPr>
          <w:rFonts w:ascii="Times New Roman" w:hAnsi="Times New Roman"/>
        </w:rPr>
        <w:t>, but not in his own practice.</w:t>
      </w:r>
    </w:p>
    <w:p w14:paraId="10983D2B" w14:textId="1349EB8C" w:rsidR="00201141" w:rsidRPr="00221E23" w:rsidRDefault="000B2251" w:rsidP="00956682">
      <w:pPr>
        <w:widowControl w:val="0"/>
        <w:tabs>
          <w:tab w:val="left" w:pos="720"/>
          <w:tab w:val="left" w:pos="2160"/>
          <w:tab w:val="left" w:pos="2880"/>
        </w:tabs>
        <w:autoSpaceDE w:val="0"/>
        <w:autoSpaceDN w:val="0"/>
        <w:adjustRightInd w:val="0"/>
        <w:spacing w:line="360" w:lineRule="auto"/>
        <w:ind w:right="270" w:firstLine="720"/>
        <w:rPr>
          <w:rFonts w:ascii="Times New Roman" w:hAnsi="Times New Roman"/>
        </w:rPr>
      </w:pPr>
      <w:r w:rsidRPr="00221E23">
        <w:rPr>
          <w:rFonts w:ascii="Times New Roman" w:hAnsi="Times New Roman"/>
        </w:rPr>
        <w:t xml:space="preserve">I think this is absolutely key. </w:t>
      </w:r>
      <w:r w:rsidR="005E53BB" w:rsidRPr="00221E23">
        <w:rPr>
          <w:rFonts w:ascii="Times New Roman" w:hAnsi="Times New Roman"/>
        </w:rPr>
        <w:t>In the</w:t>
      </w:r>
      <w:r w:rsidR="00201141" w:rsidRPr="00221E23">
        <w:rPr>
          <w:rFonts w:ascii="Times New Roman" w:hAnsi="Times New Roman"/>
        </w:rPr>
        <w:t xml:space="preserve"> eyes of the pragmatists</w:t>
      </w:r>
      <w:r w:rsidR="00400EC1">
        <w:rPr>
          <w:rFonts w:ascii="Times New Roman" w:hAnsi="Times New Roman"/>
        </w:rPr>
        <w:t xml:space="preserve"> in the 1930s and 40s</w:t>
      </w:r>
      <w:r w:rsidR="00201141" w:rsidRPr="00221E23">
        <w:rPr>
          <w:rFonts w:ascii="Times New Roman" w:hAnsi="Times New Roman"/>
        </w:rPr>
        <w:t xml:space="preserve">, Santayana’s resistance to </w:t>
      </w:r>
      <w:r w:rsidR="00EB17E3" w:rsidRPr="00221E23">
        <w:rPr>
          <w:rFonts w:ascii="Times New Roman" w:hAnsi="Times New Roman"/>
        </w:rPr>
        <w:t xml:space="preserve">rational ethics </w:t>
      </w:r>
      <w:r w:rsidR="002D1603" w:rsidRPr="00221E23">
        <w:rPr>
          <w:rFonts w:ascii="Times New Roman" w:hAnsi="Times New Roman"/>
        </w:rPr>
        <w:t>appears to be</w:t>
      </w:r>
      <w:r w:rsidR="00EB17E3" w:rsidRPr="00221E23">
        <w:rPr>
          <w:rFonts w:ascii="Times New Roman" w:hAnsi="Times New Roman"/>
        </w:rPr>
        <w:t xml:space="preserve"> more than just a doctrinal disagreement. </w:t>
      </w:r>
      <w:r w:rsidR="008111DC" w:rsidRPr="00221E23">
        <w:rPr>
          <w:rFonts w:ascii="Times New Roman" w:hAnsi="Times New Roman"/>
        </w:rPr>
        <w:t>Though the realms of being</w:t>
      </w:r>
      <w:r w:rsidR="004D4475" w:rsidRPr="00221E23">
        <w:rPr>
          <w:rFonts w:ascii="Times New Roman" w:hAnsi="Times New Roman"/>
        </w:rPr>
        <w:t xml:space="preserve"> may have seemed to them ontologically vacuous, I think it must have been </w:t>
      </w:r>
      <w:r w:rsidR="00201141" w:rsidRPr="00221E23">
        <w:rPr>
          <w:rFonts w:ascii="Times New Roman" w:hAnsi="Times New Roman"/>
        </w:rPr>
        <w:t xml:space="preserve">his allegiance </w:t>
      </w:r>
      <w:r w:rsidR="005E53BB" w:rsidRPr="00221E23">
        <w:rPr>
          <w:rFonts w:ascii="Times New Roman" w:hAnsi="Times New Roman"/>
        </w:rPr>
        <w:t xml:space="preserve">that </w:t>
      </w:r>
      <w:r w:rsidR="00201141" w:rsidRPr="00221E23">
        <w:rPr>
          <w:rFonts w:ascii="Times New Roman" w:hAnsi="Times New Roman"/>
        </w:rPr>
        <w:t xml:space="preserve">seemed </w:t>
      </w:r>
      <w:r w:rsidR="003F7A91" w:rsidRPr="00221E23">
        <w:rPr>
          <w:rFonts w:ascii="Times New Roman" w:hAnsi="Times New Roman"/>
        </w:rPr>
        <w:t xml:space="preserve">so </w:t>
      </w:r>
      <w:r w:rsidR="00201141" w:rsidRPr="00221E23">
        <w:rPr>
          <w:rFonts w:ascii="Times New Roman" w:hAnsi="Times New Roman"/>
        </w:rPr>
        <w:t>hollow</w:t>
      </w:r>
      <w:r w:rsidR="00E64F4E" w:rsidRPr="00221E23">
        <w:rPr>
          <w:rFonts w:ascii="Times New Roman" w:hAnsi="Times New Roman"/>
        </w:rPr>
        <w:t>, and this (I imagine) was what smarted so</w:t>
      </w:r>
      <w:r w:rsidR="00201141" w:rsidRPr="00221E23">
        <w:rPr>
          <w:rFonts w:ascii="Times New Roman" w:hAnsi="Times New Roman"/>
        </w:rPr>
        <w:t xml:space="preserve">. </w:t>
      </w:r>
      <w:r w:rsidR="005A4385" w:rsidRPr="00221E23">
        <w:rPr>
          <w:rFonts w:ascii="Times New Roman" w:hAnsi="Times New Roman"/>
        </w:rPr>
        <w:t xml:space="preserve">This is what </w:t>
      </w:r>
      <w:r w:rsidR="002D23E3" w:rsidRPr="00221E23">
        <w:rPr>
          <w:rFonts w:ascii="Times New Roman" w:hAnsi="Times New Roman"/>
        </w:rPr>
        <w:t xml:space="preserve">prompted the personal animus.  </w:t>
      </w:r>
      <w:r w:rsidR="00773AB2" w:rsidRPr="00221E23">
        <w:rPr>
          <w:rFonts w:ascii="Times New Roman" w:hAnsi="Times New Roman"/>
        </w:rPr>
        <w:t>The</w:t>
      </w:r>
      <w:r w:rsidR="00201141" w:rsidRPr="00221E23">
        <w:rPr>
          <w:rFonts w:ascii="Times New Roman" w:hAnsi="Times New Roman"/>
        </w:rPr>
        <w:t xml:space="preserve"> common enterprise of the philosophical community</w:t>
      </w:r>
      <w:r w:rsidR="00201141" w:rsidRPr="00221E23">
        <w:rPr>
          <w:rFonts w:ascii="Times New Roman" w:hAnsi="Times New Roman"/>
          <w:vertAlign w:val="superscript"/>
        </w:rPr>
        <w:footnoteReference w:id="8"/>
      </w:r>
      <w:r w:rsidR="00201141" w:rsidRPr="00221E23">
        <w:rPr>
          <w:rFonts w:ascii="Times New Roman" w:hAnsi="Times New Roman"/>
        </w:rPr>
        <w:t xml:space="preserve"> (at least in New York) was being disturbed by one who (they now realized) had never even aspired to join in the first place.  </w:t>
      </w:r>
    </w:p>
    <w:p w14:paraId="10983D2C" w14:textId="27BCA803" w:rsidR="00201141" w:rsidRPr="00221E23" w:rsidRDefault="00201141"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rPr>
      </w:pPr>
      <w:r w:rsidRPr="00221E23">
        <w:rPr>
          <w:rFonts w:ascii="Times New Roman" w:hAnsi="Times New Roman"/>
        </w:rPr>
        <w:t xml:space="preserve">So </w:t>
      </w:r>
      <w:r w:rsidR="00B21F23" w:rsidRPr="00221E23">
        <w:rPr>
          <w:rFonts w:ascii="Times New Roman" w:hAnsi="Times New Roman"/>
        </w:rPr>
        <w:t xml:space="preserve">back to the matter of continuity.  If I’m right, </w:t>
      </w:r>
      <w:r w:rsidRPr="00221E23">
        <w:rPr>
          <w:rFonts w:ascii="Times New Roman" w:hAnsi="Times New Roman"/>
        </w:rPr>
        <w:t xml:space="preserve">the answer to the question “Continuity or not?” </w:t>
      </w:r>
      <w:r w:rsidRPr="0010525D">
        <w:rPr>
          <w:rFonts w:ascii="Times New Roman" w:hAnsi="Times New Roman"/>
          <w:iCs/>
        </w:rPr>
        <w:t>depends</w:t>
      </w:r>
      <w:r w:rsidR="005A710C" w:rsidRPr="0010525D">
        <w:rPr>
          <w:rFonts w:ascii="Times New Roman" w:hAnsi="Times New Roman"/>
          <w:iCs/>
        </w:rPr>
        <w:t xml:space="preserve"> on one’s</w:t>
      </w:r>
      <w:r w:rsidR="00B21F23" w:rsidRPr="0010525D">
        <w:rPr>
          <w:rFonts w:ascii="Times New Roman" w:hAnsi="Times New Roman"/>
          <w:iCs/>
        </w:rPr>
        <w:t xml:space="preserve"> own</w:t>
      </w:r>
      <w:r w:rsidR="005A710C" w:rsidRPr="0010525D">
        <w:rPr>
          <w:rFonts w:ascii="Times New Roman" w:hAnsi="Times New Roman"/>
          <w:iCs/>
        </w:rPr>
        <w:t xml:space="preserve"> allegiances</w:t>
      </w:r>
      <w:r w:rsidRPr="0010525D">
        <w:rPr>
          <w:rFonts w:ascii="Times New Roman" w:hAnsi="Times New Roman"/>
          <w:iCs/>
        </w:rPr>
        <w:t>.</w:t>
      </w:r>
      <w:r w:rsidRPr="00221E23">
        <w:rPr>
          <w:rFonts w:ascii="Times New Roman" w:hAnsi="Times New Roman"/>
          <w:i/>
        </w:rPr>
        <w:t xml:space="preserve"> </w:t>
      </w:r>
      <w:r w:rsidRPr="00221E23">
        <w:rPr>
          <w:rFonts w:ascii="Times New Roman" w:hAnsi="Times New Roman"/>
        </w:rPr>
        <w:t xml:space="preserve">For the advocates of discontinuity, the attraction to Santayana seems to concern some aspect of the moral vision enunciated in </w:t>
      </w:r>
      <w:r w:rsidRPr="00221E23">
        <w:rPr>
          <w:rFonts w:ascii="Times New Roman" w:hAnsi="Times New Roman"/>
          <w:i/>
        </w:rPr>
        <w:t xml:space="preserve">Life of Reason, </w:t>
      </w:r>
      <w:r w:rsidRPr="00221E23">
        <w:rPr>
          <w:rFonts w:ascii="Times New Roman" w:hAnsi="Times New Roman"/>
        </w:rPr>
        <w:t>and Santayana’s later disenchantment with that earlier work feels like the interruption of an exciting tale that needs more chapters</w:t>
      </w:r>
      <w:r w:rsidR="004B3829" w:rsidRPr="00221E23">
        <w:rPr>
          <w:rFonts w:ascii="Times New Roman" w:hAnsi="Times New Roman"/>
        </w:rPr>
        <w:t xml:space="preserve">. </w:t>
      </w:r>
      <w:r w:rsidRPr="00221E23">
        <w:rPr>
          <w:rFonts w:ascii="Times New Roman" w:hAnsi="Times New Roman"/>
          <w:i/>
        </w:rPr>
        <w:t>That</w:t>
      </w:r>
      <w:r w:rsidRPr="00221E23">
        <w:rPr>
          <w:rFonts w:ascii="Times New Roman" w:hAnsi="Times New Roman"/>
        </w:rPr>
        <w:t xml:space="preserve"> feels discontinuous. On the other hand, those who embrace instead his later spiritual disintoxication project may find it rather pointless to be trudging </w:t>
      </w:r>
      <w:r w:rsidR="00593A85" w:rsidRPr="00221E23">
        <w:rPr>
          <w:rFonts w:ascii="Times New Roman" w:hAnsi="Times New Roman"/>
        </w:rPr>
        <w:t>through</w:t>
      </w:r>
      <w:r w:rsidRPr="00221E23">
        <w:rPr>
          <w:rFonts w:ascii="Times New Roman" w:hAnsi="Times New Roman"/>
        </w:rPr>
        <w:t xml:space="preserve"> the old dialectical ditches, after the master himself has shaken the dust from his feet and moved on</w:t>
      </w:r>
      <w:r w:rsidR="00A51AAA" w:rsidRPr="00221E23">
        <w:rPr>
          <w:rFonts w:ascii="Times New Roman" w:hAnsi="Times New Roman"/>
        </w:rPr>
        <w:t>.</w:t>
      </w:r>
    </w:p>
    <w:p w14:paraId="7387DF63" w14:textId="530AAF47" w:rsidR="00D90B47" w:rsidRDefault="00201141"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rPr>
      </w:pPr>
      <w:r w:rsidRPr="00221E23">
        <w:rPr>
          <w:rFonts w:ascii="Times New Roman" w:hAnsi="Times New Roman"/>
        </w:rPr>
        <w:lastRenderedPageBreak/>
        <w:t xml:space="preserve">So, to summarize so far: the issue here is not so much whether there has been a fundamental continuity between the early and later Santayana, but rather which </w:t>
      </w:r>
      <w:r w:rsidR="003A4354" w:rsidRPr="00221E23">
        <w:rPr>
          <w:rFonts w:ascii="Times New Roman" w:hAnsi="Times New Roman"/>
        </w:rPr>
        <w:t>doctrinal continuations or ruptures</w:t>
      </w:r>
      <w:r w:rsidRPr="00221E23">
        <w:rPr>
          <w:rFonts w:ascii="Times New Roman" w:hAnsi="Times New Roman"/>
        </w:rPr>
        <w:t xml:space="preserve">, based on </w:t>
      </w:r>
      <w:r w:rsidR="00A8722F" w:rsidRPr="00866C29">
        <w:rPr>
          <w:rFonts w:ascii="Times New Roman" w:hAnsi="Times New Roman"/>
          <w:iCs/>
        </w:rPr>
        <w:t>one’s</w:t>
      </w:r>
      <w:r w:rsidRPr="00866C29">
        <w:rPr>
          <w:rFonts w:ascii="Times New Roman" w:hAnsi="Times New Roman"/>
          <w:iCs/>
        </w:rPr>
        <w:t xml:space="preserve"> own allegiances,</w:t>
      </w:r>
      <w:r w:rsidRPr="00221E23">
        <w:rPr>
          <w:rFonts w:ascii="Times New Roman" w:hAnsi="Times New Roman"/>
        </w:rPr>
        <w:t xml:space="preserve"> </w:t>
      </w:r>
      <w:r w:rsidR="00A8722F" w:rsidRPr="00221E23">
        <w:rPr>
          <w:rFonts w:ascii="Times New Roman" w:hAnsi="Times New Roman"/>
        </w:rPr>
        <w:t>one</w:t>
      </w:r>
      <w:r w:rsidRPr="00221E23">
        <w:rPr>
          <w:rFonts w:ascii="Times New Roman" w:hAnsi="Times New Roman"/>
        </w:rPr>
        <w:t xml:space="preserve"> might wish to highlight. </w:t>
      </w:r>
    </w:p>
    <w:p w14:paraId="0E308EED" w14:textId="77777777" w:rsidR="00F02FA1" w:rsidRPr="00221E23" w:rsidRDefault="00F02FA1"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rPr>
      </w:pPr>
    </w:p>
    <w:p w14:paraId="10983D2F" w14:textId="7A2720BF" w:rsidR="00201141" w:rsidRPr="00221E23" w:rsidRDefault="00201141" w:rsidP="00956682">
      <w:pPr>
        <w:widowControl w:val="0"/>
        <w:tabs>
          <w:tab w:val="left" w:pos="720"/>
          <w:tab w:val="left" w:pos="2160"/>
          <w:tab w:val="left" w:pos="2880"/>
        </w:tabs>
        <w:autoSpaceDE w:val="0"/>
        <w:autoSpaceDN w:val="0"/>
        <w:adjustRightInd w:val="0"/>
        <w:spacing w:line="360" w:lineRule="auto"/>
        <w:ind w:firstLine="720"/>
        <w:jc w:val="center"/>
        <w:rPr>
          <w:rFonts w:ascii="Times New Roman" w:hAnsi="Times New Roman"/>
          <w:b/>
        </w:rPr>
      </w:pPr>
      <w:r w:rsidRPr="00221E23">
        <w:rPr>
          <w:rFonts w:ascii="Times New Roman" w:hAnsi="Times New Roman"/>
          <w:b/>
        </w:rPr>
        <w:t>*2* Living the life one's philosophy describes</w:t>
      </w:r>
    </w:p>
    <w:p w14:paraId="068129C1" w14:textId="77777777" w:rsidR="00294E49" w:rsidRPr="00221E23" w:rsidRDefault="00294E49" w:rsidP="00956682">
      <w:pPr>
        <w:widowControl w:val="0"/>
        <w:tabs>
          <w:tab w:val="left" w:pos="720"/>
          <w:tab w:val="left" w:pos="2160"/>
          <w:tab w:val="left" w:pos="2880"/>
        </w:tabs>
        <w:autoSpaceDE w:val="0"/>
        <w:autoSpaceDN w:val="0"/>
        <w:adjustRightInd w:val="0"/>
        <w:spacing w:line="360" w:lineRule="auto"/>
        <w:ind w:firstLine="720"/>
        <w:jc w:val="center"/>
        <w:rPr>
          <w:rFonts w:ascii="Times New Roman" w:hAnsi="Times New Roman"/>
        </w:rPr>
      </w:pPr>
    </w:p>
    <w:p w14:paraId="10983D31" w14:textId="7E1E9C98" w:rsidR="00201141" w:rsidRPr="00221E23" w:rsidRDefault="00201141"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rPr>
      </w:pPr>
      <w:r w:rsidRPr="00221E23">
        <w:rPr>
          <w:rFonts w:ascii="Times New Roman" w:hAnsi="Times New Roman"/>
        </w:rPr>
        <w:t xml:space="preserve">I’ve been remarking here on the cherished allegiances among the Harvard and Columbia faculties as they assessed Santayana’s later work — in particular, their allegiance to reformist politics. This might naturally provoke some similar level of reflection regarding our own allegiances. </w:t>
      </w:r>
      <w:r w:rsidR="005037F2" w:rsidRPr="00221E23">
        <w:rPr>
          <w:rFonts w:ascii="Times New Roman" w:hAnsi="Times New Roman"/>
        </w:rPr>
        <w:t>For</w:t>
      </w:r>
      <w:r w:rsidRPr="00221E23">
        <w:rPr>
          <w:rFonts w:ascii="Times New Roman" w:hAnsi="Times New Roman"/>
        </w:rPr>
        <w:t xml:space="preserve"> after reading Santayana, those of us who have been impressed with the recent turn toward “philosophy as a way of life” might be </w:t>
      </w:r>
      <w:r w:rsidR="009A5776" w:rsidRPr="00221E23">
        <w:rPr>
          <w:rFonts w:ascii="Times New Roman" w:hAnsi="Times New Roman"/>
        </w:rPr>
        <w:t>inspired to reconsider and refine</w:t>
      </w:r>
      <w:r w:rsidRPr="00221E23">
        <w:rPr>
          <w:rFonts w:ascii="Times New Roman" w:hAnsi="Times New Roman"/>
        </w:rPr>
        <w:t xml:space="preserve"> our own existential allegiances. And in this regard I think there is one key consideration especially which might profitably inform our sense of what</w:t>
      </w:r>
      <w:r w:rsidR="00024B17" w:rsidRPr="00221E23">
        <w:rPr>
          <w:rFonts w:ascii="Times New Roman" w:hAnsi="Times New Roman"/>
        </w:rPr>
        <w:t xml:space="preserve"> might be at </w:t>
      </w:r>
      <w:r w:rsidRPr="00221E23">
        <w:rPr>
          <w:rFonts w:ascii="Times New Roman" w:hAnsi="Times New Roman"/>
        </w:rPr>
        <w:t xml:space="preserve">stake in doing so.  </w:t>
      </w:r>
    </w:p>
    <w:p w14:paraId="10983D32" w14:textId="362B339C" w:rsidR="00201141" w:rsidRPr="00221E23" w:rsidRDefault="002D0F92"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rPr>
      </w:pPr>
      <w:r w:rsidRPr="00221E23">
        <w:rPr>
          <w:rFonts w:ascii="Times New Roman" w:hAnsi="Times New Roman"/>
        </w:rPr>
        <w:t>Now</w:t>
      </w:r>
      <w:r w:rsidR="00201141" w:rsidRPr="00221E23">
        <w:rPr>
          <w:rFonts w:ascii="Times New Roman" w:hAnsi="Times New Roman"/>
        </w:rPr>
        <w:t xml:space="preserve"> for </w:t>
      </w:r>
      <w:r w:rsidR="00BF226F" w:rsidRPr="00221E23">
        <w:rPr>
          <w:rFonts w:ascii="Times New Roman" w:hAnsi="Times New Roman"/>
        </w:rPr>
        <w:t>at least some</w:t>
      </w:r>
      <w:r w:rsidR="00201141" w:rsidRPr="00221E23">
        <w:rPr>
          <w:rFonts w:ascii="Times New Roman" w:hAnsi="Times New Roman"/>
        </w:rPr>
        <w:t xml:space="preserve"> of us, I imagine, one issue that may </w:t>
      </w:r>
      <w:r w:rsidR="00201141" w:rsidRPr="00221E23">
        <w:rPr>
          <w:rFonts w:ascii="Times New Roman" w:hAnsi="Times New Roman"/>
          <w:i/>
        </w:rPr>
        <w:t>not</w:t>
      </w:r>
      <w:r w:rsidR="00201141" w:rsidRPr="00221E23">
        <w:rPr>
          <w:rFonts w:ascii="Times New Roman" w:hAnsi="Times New Roman"/>
        </w:rPr>
        <w:t xml:space="preserve"> be </w:t>
      </w:r>
      <w:r w:rsidR="00970F37" w:rsidRPr="00221E23">
        <w:rPr>
          <w:rFonts w:ascii="Times New Roman" w:hAnsi="Times New Roman"/>
        </w:rPr>
        <w:t xml:space="preserve">so much </w:t>
      </w:r>
      <w:r w:rsidR="00201141" w:rsidRPr="00221E23">
        <w:rPr>
          <w:rFonts w:ascii="Times New Roman" w:hAnsi="Times New Roman"/>
        </w:rPr>
        <w:t>at stake concerns what Henry Samuel Levinson has called the aspiration to “intellectual statesmanship.”</w:t>
      </w:r>
      <w:r w:rsidR="006E3FE3" w:rsidRPr="00221E23">
        <w:rPr>
          <w:rFonts w:ascii="Times New Roman" w:hAnsi="Times New Roman"/>
        </w:rPr>
        <w:t xml:space="preserve"> </w:t>
      </w:r>
      <w:r w:rsidR="00201141" w:rsidRPr="00221E23">
        <w:rPr>
          <w:rFonts w:ascii="Times New Roman" w:hAnsi="Times New Roman"/>
        </w:rPr>
        <w:t xml:space="preserve">Gilded Age America, at least for the gilded agents of high society Boston and New York, was a community of movers and shakers, and of the intellectuals who were preparing the up and coming generation for the destiny that at the time seemed so manifest. </w:t>
      </w:r>
      <w:r w:rsidR="00850B60" w:rsidRPr="00221E23">
        <w:rPr>
          <w:rFonts w:ascii="Times New Roman" w:hAnsi="Times New Roman"/>
        </w:rPr>
        <w:t xml:space="preserve">But even if we </w:t>
      </w:r>
      <w:r w:rsidR="001C31A4" w:rsidRPr="00221E23">
        <w:rPr>
          <w:rFonts w:ascii="Times New Roman" w:hAnsi="Times New Roman"/>
        </w:rPr>
        <w:t xml:space="preserve">as philosophers </w:t>
      </w:r>
      <w:r w:rsidR="00980A7F" w:rsidRPr="00221E23">
        <w:rPr>
          <w:rFonts w:ascii="Times New Roman" w:hAnsi="Times New Roman"/>
        </w:rPr>
        <w:t xml:space="preserve">might </w:t>
      </w:r>
      <w:r w:rsidR="00850B60" w:rsidRPr="00221E23">
        <w:rPr>
          <w:rFonts w:ascii="Times New Roman" w:hAnsi="Times New Roman"/>
        </w:rPr>
        <w:t>n</w:t>
      </w:r>
      <w:r w:rsidR="00201141" w:rsidRPr="00221E23">
        <w:rPr>
          <w:rFonts w:ascii="Times New Roman" w:hAnsi="Times New Roman"/>
        </w:rPr>
        <w:t xml:space="preserve">o longer </w:t>
      </w:r>
      <w:r w:rsidR="001C31A4" w:rsidRPr="00221E23">
        <w:rPr>
          <w:rFonts w:ascii="Times New Roman" w:hAnsi="Times New Roman"/>
        </w:rPr>
        <w:t>aspire to</w:t>
      </w:r>
      <w:r w:rsidR="00201141" w:rsidRPr="00221E23">
        <w:rPr>
          <w:rFonts w:ascii="Times New Roman" w:hAnsi="Times New Roman"/>
        </w:rPr>
        <w:t xml:space="preserve"> solidarity with </w:t>
      </w:r>
      <w:r w:rsidR="00AA73CF">
        <w:rPr>
          <w:rFonts w:ascii="Times New Roman" w:hAnsi="Times New Roman"/>
        </w:rPr>
        <w:t>a</w:t>
      </w:r>
      <w:r w:rsidR="00201141" w:rsidRPr="00221E23">
        <w:rPr>
          <w:rFonts w:ascii="Times New Roman" w:hAnsi="Times New Roman"/>
        </w:rPr>
        <w:t xml:space="preserve"> community of </w:t>
      </w:r>
      <w:r w:rsidR="00AB0EB5" w:rsidRPr="00221E23">
        <w:rPr>
          <w:rFonts w:ascii="Times New Roman" w:hAnsi="Times New Roman"/>
        </w:rPr>
        <w:t xml:space="preserve">revered </w:t>
      </w:r>
      <w:r w:rsidR="00201141" w:rsidRPr="00221E23">
        <w:rPr>
          <w:rFonts w:ascii="Times New Roman" w:hAnsi="Times New Roman"/>
        </w:rPr>
        <w:t xml:space="preserve">philosophical hierarchs, this is not to say that issues of </w:t>
      </w:r>
      <w:r w:rsidR="00201141" w:rsidRPr="00E51974">
        <w:rPr>
          <w:rFonts w:ascii="Times New Roman" w:hAnsi="Times New Roman"/>
          <w:iCs/>
        </w:rPr>
        <w:t>community</w:t>
      </w:r>
      <w:r w:rsidR="00201141" w:rsidRPr="00221E23">
        <w:rPr>
          <w:rFonts w:ascii="Times New Roman" w:hAnsi="Times New Roman"/>
        </w:rPr>
        <w:t xml:space="preserve"> </w:t>
      </w:r>
      <w:r w:rsidR="008B59FB" w:rsidRPr="00221E23">
        <w:rPr>
          <w:rFonts w:ascii="Times New Roman" w:hAnsi="Times New Roman"/>
        </w:rPr>
        <w:t>are of no accou</w:t>
      </w:r>
      <w:r w:rsidR="00653B6F" w:rsidRPr="00221E23">
        <w:rPr>
          <w:rFonts w:ascii="Times New Roman" w:hAnsi="Times New Roman"/>
        </w:rPr>
        <w:t>n</w:t>
      </w:r>
      <w:r w:rsidR="008B59FB" w:rsidRPr="00221E23">
        <w:rPr>
          <w:rFonts w:ascii="Times New Roman" w:hAnsi="Times New Roman"/>
        </w:rPr>
        <w:t>t</w:t>
      </w:r>
      <w:r w:rsidR="00201141" w:rsidRPr="00221E23">
        <w:rPr>
          <w:rFonts w:ascii="Times New Roman" w:hAnsi="Times New Roman"/>
        </w:rPr>
        <w:t>.</w:t>
      </w:r>
      <w:r w:rsidR="002F2D69" w:rsidRPr="00221E23">
        <w:rPr>
          <w:rFonts w:ascii="Times New Roman" w:hAnsi="Times New Roman"/>
        </w:rPr>
        <w:t xml:space="preserve"> </w:t>
      </w:r>
    </w:p>
    <w:p w14:paraId="10983D33" w14:textId="1F4C7B6C" w:rsidR="00201141" w:rsidRPr="00AA73CF" w:rsidRDefault="00201141"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iCs/>
        </w:rPr>
      </w:pPr>
      <w:r w:rsidRPr="00221E23">
        <w:rPr>
          <w:rFonts w:ascii="Times New Roman" w:hAnsi="Times New Roman"/>
        </w:rPr>
        <w:t xml:space="preserve">And </w:t>
      </w:r>
      <w:r w:rsidR="00546C6D" w:rsidRPr="00221E23">
        <w:rPr>
          <w:rFonts w:ascii="Times New Roman" w:hAnsi="Times New Roman"/>
        </w:rPr>
        <w:t xml:space="preserve">this is the second point </w:t>
      </w:r>
      <w:r w:rsidRPr="00221E23">
        <w:rPr>
          <w:rFonts w:ascii="Times New Roman" w:hAnsi="Times New Roman"/>
        </w:rPr>
        <w:t xml:space="preserve">I am focusing on here — issues of community. It’s </w:t>
      </w:r>
      <w:r w:rsidR="00245742" w:rsidRPr="00221E23">
        <w:rPr>
          <w:rFonts w:ascii="Times New Roman" w:hAnsi="Times New Roman"/>
        </w:rPr>
        <w:t xml:space="preserve">hardly an </w:t>
      </w:r>
      <w:r w:rsidRPr="00221E23">
        <w:rPr>
          <w:rFonts w:ascii="Times New Roman" w:hAnsi="Times New Roman"/>
        </w:rPr>
        <w:t>exaggeration to point out that Santayana</w:t>
      </w:r>
      <w:r w:rsidR="001663C4" w:rsidRPr="00221E23">
        <w:rPr>
          <w:rFonts w:ascii="Times New Roman" w:hAnsi="Times New Roman"/>
        </w:rPr>
        <w:t>, in his personal life,</w:t>
      </w:r>
      <w:r w:rsidRPr="00221E23">
        <w:rPr>
          <w:rFonts w:ascii="Times New Roman" w:hAnsi="Times New Roman"/>
        </w:rPr>
        <w:t xml:space="preserve"> </w:t>
      </w:r>
      <w:r w:rsidR="001663C4" w:rsidRPr="00221E23">
        <w:rPr>
          <w:rFonts w:ascii="Times New Roman" w:hAnsi="Times New Roman"/>
        </w:rPr>
        <w:t>became</w:t>
      </w:r>
      <w:r w:rsidRPr="00221E23">
        <w:rPr>
          <w:rFonts w:ascii="Times New Roman" w:hAnsi="Times New Roman"/>
        </w:rPr>
        <w:t xml:space="preserve"> </w:t>
      </w:r>
      <w:r w:rsidR="004007DB" w:rsidRPr="00AA73CF">
        <w:rPr>
          <w:rFonts w:ascii="Times New Roman" w:hAnsi="Times New Roman"/>
          <w:iCs/>
        </w:rPr>
        <w:t>increasingly</w:t>
      </w:r>
      <w:r w:rsidRPr="00AA73CF">
        <w:rPr>
          <w:rFonts w:ascii="Times New Roman" w:hAnsi="Times New Roman"/>
          <w:iCs/>
        </w:rPr>
        <w:t xml:space="preserve"> anti-communitarian.</w:t>
      </w:r>
    </w:p>
    <w:p w14:paraId="10983D34" w14:textId="527ACD64" w:rsidR="00201141" w:rsidRPr="00221E23" w:rsidRDefault="00201141"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rPr>
      </w:pPr>
      <w:r w:rsidRPr="00221E23">
        <w:rPr>
          <w:rFonts w:ascii="Times New Roman" w:hAnsi="Times New Roman"/>
        </w:rPr>
        <w:t>Communities, like ethical practices in general, are not realized in the abstract</w:t>
      </w:r>
      <w:r w:rsidR="009C767A" w:rsidRPr="00221E23">
        <w:rPr>
          <w:rFonts w:ascii="Times New Roman" w:hAnsi="Times New Roman"/>
        </w:rPr>
        <w:t xml:space="preserve">, and </w:t>
      </w:r>
      <w:r w:rsidRPr="00221E23">
        <w:rPr>
          <w:rFonts w:ascii="Times New Roman" w:hAnsi="Times New Roman"/>
        </w:rPr>
        <w:t xml:space="preserve">one way to interpret the notion of “communitarianism” might </w:t>
      </w:r>
      <w:r w:rsidR="009A29F7" w:rsidRPr="00221E23">
        <w:rPr>
          <w:rFonts w:ascii="Times New Roman" w:hAnsi="Times New Roman"/>
        </w:rPr>
        <w:t xml:space="preserve">instead </w:t>
      </w:r>
      <w:r w:rsidRPr="00221E23">
        <w:rPr>
          <w:rFonts w:ascii="Times New Roman" w:hAnsi="Times New Roman"/>
        </w:rPr>
        <w:t>be in terms of the specific practices that one is willing to engage, within the concrete particularities of one’s own extended social circle. I’m speaking</w:t>
      </w:r>
      <w:r w:rsidR="00AF5F4F" w:rsidRPr="00221E23">
        <w:rPr>
          <w:rFonts w:ascii="Times New Roman" w:hAnsi="Times New Roman"/>
        </w:rPr>
        <w:t xml:space="preserve"> now</w:t>
      </w:r>
      <w:r w:rsidRPr="00221E23">
        <w:rPr>
          <w:rFonts w:ascii="Times New Roman" w:hAnsi="Times New Roman"/>
        </w:rPr>
        <w:t xml:space="preserve"> about more than just social formalities. Certainly Santayana could show dedication to acting out conventional roles of courtesy, often out of the genuine enjoyment playing such a role gave him; nevertheless, enjoying the social role one plays is not the same as forming a personal relationship with one’s neighbors. And a network of personal relationships is the kind of community I have in mind. Increasingly (it seems to me), as time went on, Santayana was </w:t>
      </w:r>
      <w:r w:rsidR="00557D71" w:rsidRPr="00221E23">
        <w:rPr>
          <w:rFonts w:ascii="Times New Roman" w:hAnsi="Times New Roman"/>
        </w:rPr>
        <w:t>not so eager</w:t>
      </w:r>
      <w:r w:rsidRPr="00221E23">
        <w:rPr>
          <w:rFonts w:ascii="Times New Roman" w:hAnsi="Times New Roman"/>
        </w:rPr>
        <w:t xml:space="preserve"> to enter into more personal emotional connections with almost anyone. Instead, he lived the life of the mind rather than the life of the “community.” </w:t>
      </w:r>
    </w:p>
    <w:p w14:paraId="7E107762" w14:textId="6E172467" w:rsidR="00301B14" w:rsidRPr="00221E23" w:rsidRDefault="00201141"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rPr>
      </w:pPr>
      <w:r w:rsidRPr="00221E23">
        <w:rPr>
          <w:rFonts w:ascii="Times New Roman" w:hAnsi="Times New Roman"/>
        </w:rPr>
        <w:t>I’ve argued elsewhere</w:t>
      </w:r>
      <w:r w:rsidRPr="00221E23">
        <w:rPr>
          <w:rFonts w:ascii="Times New Roman" w:hAnsi="Times New Roman"/>
          <w:vertAlign w:val="superscript"/>
        </w:rPr>
        <w:footnoteReference w:id="9"/>
      </w:r>
      <w:r w:rsidR="00676205" w:rsidRPr="00221E23">
        <w:rPr>
          <w:rFonts w:ascii="Times New Roman" w:hAnsi="Times New Roman"/>
        </w:rPr>
        <w:t xml:space="preserve"> </w:t>
      </w:r>
      <w:r w:rsidRPr="00221E23">
        <w:rPr>
          <w:rFonts w:ascii="Times New Roman" w:hAnsi="Times New Roman"/>
        </w:rPr>
        <w:t>that Santayana’s self-described metanoia was only a partially accurate reflection of his actual life after 1893. His autobiography, which provides us with the most detailed account of that, was composed at least forty years after the fact (Saatkamp, 2018, 4</w:t>
      </w:r>
      <w:r w:rsidR="00534396" w:rsidRPr="00221E23">
        <w:rPr>
          <w:rFonts w:ascii="Times New Roman" w:hAnsi="Times New Roman"/>
        </w:rPr>
        <w:t>) and</w:t>
      </w:r>
      <w:r w:rsidRPr="00221E23">
        <w:rPr>
          <w:rFonts w:ascii="Times New Roman" w:hAnsi="Times New Roman"/>
        </w:rPr>
        <w:t xml:space="preserve"> reflects how Santayana thought </w:t>
      </w:r>
      <w:r w:rsidRPr="00221E23">
        <w:rPr>
          <w:rFonts w:ascii="Times New Roman" w:hAnsi="Times New Roman"/>
        </w:rPr>
        <w:lastRenderedPageBreak/>
        <w:t>of himself after decades of hard-won self-discipline. But he does</w:t>
      </w:r>
      <w:r w:rsidR="00B228AA">
        <w:rPr>
          <w:rFonts w:ascii="Times New Roman" w:hAnsi="Times New Roman"/>
        </w:rPr>
        <w:t xml:space="preserve"> not </w:t>
      </w:r>
      <w:r w:rsidR="00D67733" w:rsidRPr="00221E23">
        <w:rPr>
          <w:rFonts w:ascii="Times New Roman" w:hAnsi="Times New Roman"/>
        </w:rPr>
        <w:t xml:space="preserve">often </w:t>
      </w:r>
      <w:r w:rsidRPr="00221E23">
        <w:rPr>
          <w:rFonts w:ascii="Times New Roman" w:hAnsi="Times New Roman"/>
        </w:rPr>
        <w:t xml:space="preserve">say much about </w:t>
      </w:r>
      <w:r w:rsidR="00D67733" w:rsidRPr="00221E23">
        <w:rPr>
          <w:rFonts w:ascii="Times New Roman" w:hAnsi="Times New Roman"/>
        </w:rPr>
        <w:t>the</w:t>
      </w:r>
      <w:r w:rsidRPr="00221E23">
        <w:rPr>
          <w:rFonts w:ascii="Times New Roman" w:hAnsi="Times New Roman"/>
        </w:rPr>
        <w:t xml:space="preserve"> </w:t>
      </w:r>
      <w:r w:rsidR="001C3136" w:rsidRPr="00221E23">
        <w:rPr>
          <w:rFonts w:ascii="Times New Roman" w:hAnsi="Times New Roman"/>
        </w:rPr>
        <w:t xml:space="preserve">emotional </w:t>
      </w:r>
      <w:r w:rsidRPr="00221E23">
        <w:rPr>
          <w:rFonts w:ascii="Times New Roman" w:hAnsi="Times New Roman"/>
        </w:rPr>
        <w:t>difficulties</w:t>
      </w:r>
      <w:r w:rsidR="00D67733" w:rsidRPr="00221E23">
        <w:rPr>
          <w:rFonts w:ascii="Times New Roman" w:hAnsi="Times New Roman"/>
        </w:rPr>
        <w:t xml:space="preserve"> that must have brought him</w:t>
      </w:r>
      <w:r w:rsidRPr="00221E23">
        <w:rPr>
          <w:rFonts w:ascii="Times New Roman" w:hAnsi="Times New Roman"/>
        </w:rPr>
        <w:t xml:space="preserve">, perhaps because gliding over the challenges he must have faced serves </w:t>
      </w:r>
      <w:r w:rsidR="009C1A83" w:rsidRPr="00221E23">
        <w:rPr>
          <w:rFonts w:ascii="Times New Roman" w:hAnsi="Times New Roman"/>
        </w:rPr>
        <w:t xml:space="preserve">better </w:t>
      </w:r>
      <w:r w:rsidRPr="00221E23">
        <w:rPr>
          <w:rFonts w:ascii="Times New Roman" w:hAnsi="Times New Roman"/>
        </w:rPr>
        <w:t xml:space="preserve">his </w:t>
      </w:r>
      <w:r w:rsidR="009C1A83" w:rsidRPr="00221E23">
        <w:rPr>
          <w:rFonts w:ascii="Times New Roman" w:hAnsi="Times New Roman"/>
        </w:rPr>
        <w:t xml:space="preserve">own </w:t>
      </w:r>
      <w:r w:rsidRPr="00221E23">
        <w:rPr>
          <w:rFonts w:ascii="Times New Roman" w:hAnsi="Times New Roman"/>
        </w:rPr>
        <w:t>literary purposes. Or else maybe his memory has simply lost track of those difficulties. In either case, all through the autobiography he is reiterating (to himself as much as anyone) the equanimity he has achieved</w:t>
      </w:r>
      <w:r w:rsidR="00655594" w:rsidRPr="00221E23">
        <w:rPr>
          <w:rFonts w:ascii="Times New Roman" w:hAnsi="Times New Roman"/>
        </w:rPr>
        <w:t xml:space="preserve"> in later life</w:t>
      </w:r>
      <w:r w:rsidRPr="00221E23">
        <w:rPr>
          <w:rFonts w:ascii="Times New Roman" w:hAnsi="Times New Roman"/>
        </w:rPr>
        <w:t xml:space="preserve">. </w:t>
      </w:r>
      <w:r w:rsidR="00055A3E" w:rsidRPr="00221E23">
        <w:rPr>
          <w:rFonts w:ascii="Times New Roman" w:hAnsi="Times New Roman"/>
        </w:rPr>
        <w:t>Regarding</w:t>
      </w:r>
      <w:r w:rsidR="00A92628" w:rsidRPr="00221E23">
        <w:rPr>
          <w:rFonts w:ascii="Times New Roman" w:hAnsi="Times New Roman"/>
        </w:rPr>
        <w:t xml:space="preserve"> his </w:t>
      </w:r>
      <w:r w:rsidR="00055A3E" w:rsidRPr="00221E23">
        <w:rPr>
          <w:rFonts w:ascii="Times New Roman" w:hAnsi="Times New Roman"/>
        </w:rPr>
        <w:t>earlier</w:t>
      </w:r>
      <w:r w:rsidR="00A92628" w:rsidRPr="00221E23">
        <w:rPr>
          <w:rFonts w:ascii="Times New Roman" w:hAnsi="Times New Roman"/>
        </w:rPr>
        <w:t xml:space="preserve"> life</w:t>
      </w:r>
      <w:r w:rsidR="000363BE">
        <w:rPr>
          <w:rFonts w:ascii="Times New Roman" w:hAnsi="Times New Roman"/>
        </w:rPr>
        <w:t xml:space="preserve"> however</w:t>
      </w:r>
      <w:r w:rsidR="00A92628" w:rsidRPr="00221E23">
        <w:rPr>
          <w:rFonts w:ascii="Times New Roman" w:hAnsi="Times New Roman"/>
        </w:rPr>
        <w:t xml:space="preserve">, </w:t>
      </w:r>
      <w:r w:rsidRPr="00221E23">
        <w:rPr>
          <w:rFonts w:ascii="Times New Roman" w:hAnsi="Times New Roman"/>
        </w:rPr>
        <w:t>I think a sober reading of his account suggests that (kn</w:t>
      </w:r>
      <w:r w:rsidR="000E725B" w:rsidRPr="00221E23">
        <w:rPr>
          <w:rFonts w:ascii="Times New Roman" w:hAnsi="Times New Roman"/>
        </w:rPr>
        <w:t>o</w:t>
      </w:r>
      <w:r w:rsidRPr="00221E23">
        <w:rPr>
          <w:rFonts w:ascii="Times New Roman" w:hAnsi="Times New Roman"/>
        </w:rPr>
        <w:t>wingly or not) he</w:t>
      </w:r>
      <w:r w:rsidR="000363BE">
        <w:rPr>
          <w:rFonts w:ascii="Times New Roman" w:hAnsi="Times New Roman"/>
        </w:rPr>
        <w:t xml:space="preserve"> is </w:t>
      </w:r>
      <w:r w:rsidR="00407C0B" w:rsidRPr="00221E23">
        <w:rPr>
          <w:rFonts w:ascii="Times New Roman" w:hAnsi="Times New Roman"/>
        </w:rPr>
        <w:t>actually</w:t>
      </w:r>
      <w:r w:rsidRPr="00221E23">
        <w:rPr>
          <w:rFonts w:ascii="Times New Roman" w:hAnsi="Times New Roman"/>
        </w:rPr>
        <w:t xml:space="preserve"> indulging in fictive literary narrative</w:t>
      </w:r>
      <w:r w:rsidR="00CE6473" w:rsidRPr="00221E23">
        <w:rPr>
          <w:rFonts w:ascii="Times New Roman" w:hAnsi="Times New Roman"/>
        </w:rPr>
        <w:t xml:space="preserve"> as he tries to reconstruct the younger man he once was. </w:t>
      </w:r>
      <w:r w:rsidR="00B074CD" w:rsidRPr="00221E23">
        <w:rPr>
          <w:rFonts w:ascii="Times New Roman" w:hAnsi="Times New Roman"/>
        </w:rPr>
        <w:t>It</w:t>
      </w:r>
      <w:r w:rsidR="00511FB2" w:rsidRPr="00221E23">
        <w:rPr>
          <w:rFonts w:ascii="Times New Roman" w:hAnsi="Times New Roman"/>
        </w:rPr>
        <w:t xml:space="preserve"> seems to me</w:t>
      </w:r>
      <w:r w:rsidR="00A00BAF" w:rsidRPr="00221E23">
        <w:rPr>
          <w:rFonts w:ascii="Times New Roman" w:hAnsi="Times New Roman"/>
        </w:rPr>
        <w:t xml:space="preserve"> obvious that he has </w:t>
      </w:r>
      <w:r w:rsidR="003F33B6" w:rsidRPr="00221E23">
        <w:rPr>
          <w:rFonts w:ascii="Times New Roman" w:hAnsi="Times New Roman"/>
        </w:rPr>
        <w:t xml:space="preserve">smoothed away some </w:t>
      </w:r>
      <w:r w:rsidR="00EC1E5B" w:rsidRPr="00221E23">
        <w:rPr>
          <w:rFonts w:ascii="Times New Roman" w:hAnsi="Times New Roman"/>
        </w:rPr>
        <w:t xml:space="preserve">of what he once was in favor of </w:t>
      </w:r>
      <w:r w:rsidR="006F6140" w:rsidRPr="00221E23">
        <w:rPr>
          <w:rFonts w:ascii="Times New Roman" w:hAnsi="Times New Roman"/>
        </w:rPr>
        <w:t xml:space="preserve">what he eventually </w:t>
      </w:r>
      <w:r w:rsidR="00A03535" w:rsidRPr="00221E23">
        <w:rPr>
          <w:rFonts w:ascii="Times New Roman" w:hAnsi="Times New Roman"/>
        </w:rPr>
        <w:t>intended</w:t>
      </w:r>
      <w:r w:rsidR="00301B14" w:rsidRPr="00221E23">
        <w:rPr>
          <w:rFonts w:ascii="Times New Roman" w:hAnsi="Times New Roman"/>
        </w:rPr>
        <w:t xml:space="preserve"> to be</w:t>
      </w:r>
      <w:r w:rsidR="00E63558" w:rsidRPr="00221E23">
        <w:rPr>
          <w:rFonts w:ascii="Times New Roman" w:hAnsi="Times New Roman"/>
        </w:rPr>
        <w:t>.</w:t>
      </w:r>
    </w:p>
    <w:p w14:paraId="0EAA9B01" w14:textId="40FA9FEA" w:rsidR="00DE000E" w:rsidRPr="00221E23" w:rsidRDefault="005D290E"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color w:val="000000"/>
        </w:rPr>
      </w:pPr>
      <w:r w:rsidRPr="00221E23">
        <w:rPr>
          <w:rFonts w:ascii="Times New Roman" w:hAnsi="Times New Roman"/>
        </w:rPr>
        <w:t>I don’t want to be misunderstood here. W</w:t>
      </w:r>
      <w:r w:rsidR="00E078CE" w:rsidRPr="00221E23">
        <w:rPr>
          <w:rFonts w:ascii="Times New Roman" w:hAnsi="Times New Roman"/>
        </w:rPr>
        <w:t xml:space="preserve">hat he became was </w:t>
      </w:r>
      <w:r w:rsidR="00767385" w:rsidRPr="00221E23">
        <w:rPr>
          <w:rFonts w:ascii="Times New Roman" w:hAnsi="Times New Roman"/>
        </w:rPr>
        <w:t>immensely remarkable,</w:t>
      </w:r>
      <w:r w:rsidR="0077119B" w:rsidRPr="00221E23">
        <w:rPr>
          <w:rFonts w:ascii="Times New Roman" w:hAnsi="Times New Roman"/>
        </w:rPr>
        <w:t xml:space="preserve"> especially</w:t>
      </w:r>
      <w:r w:rsidR="00767385" w:rsidRPr="00221E23">
        <w:rPr>
          <w:rFonts w:ascii="Times New Roman" w:hAnsi="Times New Roman"/>
        </w:rPr>
        <w:t xml:space="preserve"> given what he came from. </w:t>
      </w:r>
      <w:r w:rsidR="00E75DBA" w:rsidRPr="00221E23">
        <w:rPr>
          <w:rFonts w:ascii="Times New Roman" w:hAnsi="Times New Roman"/>
        </w:rPr>
        <w:t>T</w:t>
      </w:r>
      <w:r w:rsidR="00201141" w:rsidRPr="00221E23">
        <w:rPr>
          <w:rFonts w:ascii="Times New Roman" w:hAnsi="Times New Roman"/>
        </w:rPr>
        <w:t>he literary critic Joseph Epstein once wrote that Santayana did not have to cultivate detachment: he was born with it, “the way other people are born with, say, large feet” (Epstein, 1989, 321). This may not have been a serious remark, but if it was, I think it’s wildly off the mark. Santayana’s own family was painfully dysfunctional</w:t>
      </w:r>
      <w:r w:rsidR="005C12A1" w:rsidRPr="00221E23">
        <w:rPr>
          <w:rFonts w:ascii="Times New Roman" w:hAnsi="Times New Roman"/>
        </w:rPr>
        <w:t>,</w:t>
      </w:r>
      <w:r w:rsidR="00201141" w:rsidRPr="00221E23">
        <w:rPr>
          <w:rFonts w:ascii="Times New Roman" w:hAnsi="Times New Roman"/>
          <w:vertAlign w:val="superscript"/>
        </w:rPr>
        <w:footnoteReference w:id="10"/>
      </w:r>
      <w:r w:rsidR="00201141" w:rsidRPr="00221E23">
        <w:rPr>
          <w:rFonts w:ascii="Times New Roman" w:hAnsi="Times New Roman"/>
          <w:color w:val="000000"/>
        </w:rPr>
        <w:t xml:space="preserve"> </w:t>
      </w:r>
      <w:r w:rsidR="006C6477" w:rsidRPr="00221E23">
        <w:rPr>
          <w:rFonts w:ascii="Times New Roman" w:hAnsi="Times New Roman"/>
          <w:color w:val="000000"/>
        </w:rPr>
        <w:t xml:space="preserve">and near the age of thirty, </w:t>
      </w:r>
      <w:r w:rsidR="00201141" w:rsidRPr="00221E23">
        <w:rPr>
          <w:rFonts w:ascii="Times New Roman" w:hAnsi="Times New Roman"/>
          <w:color w:val="000000"/>
        </w:rPr>
        <w:t xml:space="preserve">his sister’s </w:t>
      </w:r>
      <w:r w:rsidR="004F379F" w:rsidRPr="00221E23">
        <w:rPr>
          <w:rFonts w:ascii="Times New Roman" w:hAnsi="Times New Roman"/>
          <w:color w:val="000000"/>
        </w:rPr>
        <w:t>i</w:t>
      </w:r>
      <w:r w:rsidR="00994332" w:rsidRPr="00221E23">
        <w:rPr>
          <w:rFonts w:ascii="Times New Roman" w:hAnsi="Times New Roman"/>
          <w:color w:val="000000"/>
        </w:rPr>
        <w:t xml:space="preserve">ll-chosen </w:t>
      </w:r>
      <w:r w:rsidR="00201141" w:rsidRPr="00221E23">
        <w:rPr>
          <w:rFonts w:ascii="Times New Roman" w:hAnsi="Times New Roman"/>
          <w:color w:val="000000"/>
        </w:rPr>
        <w:t xml:space="preserve">marriage </w:t>
      </w:r>
      <w:r w:rsidR="00994332" w:rsidRPr="00221E23">
        <w:rPr>
          <w:rFonts w:ascii="Times New Roman" w:hAnsi="Times New Roman"/>
          <w:color w:val="000000"/>
        </w:rPr>
        <w:t>must have been</w:t>
      </w:r>
      <w:r w:rsidR="00201141" w:rsidRPr="00221E23">
        <w:rPr>
          <w:rFonts w:ascii="Times New Roman" w:hAnsi="Times New Roman"/>
          <w:color w:val="000000"/>
        </w:rPr>
        <w:t xml:space="preserve"> the last straw</w:t>
      </w:r>
      <w:r w:rsidR="006C6477" w:rsidRPr="00221E23">
        <w:rPr>
          <w:rFonts w:ascii="Times New Roman" w:hAnsi="Times New Roman"/>
          <w:color w:val="000000"/>
        </w:rPr>
        <w:t xml:space="preserve"> -- </w:t>
      </w:r>
      <w:r w:rsidR="00201141" w:rsidRPr="00221E23">
        <w:rPr>
          <w:rFonts w:ascii="Times New Roman" w:hAnsi="Times New Roman"/>
          <w:color w:val="000000"/>
        </w:rPr>
        <w:t xml:space="preserve">almost as if their </w:t>
      </w:r>
      <w:r w:rsidR="00B1638C" w:rsidRPr="00221E23">
        <w:rPr>
          <w:rFonts w:ascii="Times New Roman" w:hAnsi="Times New Roman"/>
          <w:color w:val="000000"/>
        </w:rPr>
        <w:t xml:space="preserve">cherished </w:t>
      </w:r>
      <w:r w:rsidR="00201141" w:rsidRPr="00221E23">
        <w:rPr>
          <w:rFonts w:ascii="Times New Roman" w:hAnsi="Times New Roman"/>
          <w:color w:val="000000"/>
        </w:rPr>
        <w:t xml:space="preserve">relationship </w:t>
      </w:r>
      <w:r w:rsidR="00AC2118" w:rsidRPr="00221E23">
        <w:rPr>
          <w:rFonts w:ascii="Times New Roman" w:hAnsi="Times New Roman"/>
          <w:color w:val="000000"/>
        </w:rPr>
        <w:t>suddenly</w:t>
      </w:r>
      <w:r w:rsidR="00201141" w:rsidRPr="00221E23">
        <w:rPr>
          <w:rFonts w:ascii="Times New Roman" w:hAnsi="Times New Roman"/>
          <w:color w:val="000000"/>
        </w:rPr>
        <w:t xml:space="preserve"> </w:t>
      </w:r>
      <w:r w:rsidR="00D73284" w:rsidRPr="00221E23">
        <w:rPr>
          <w:rFonts w:ascii="Times New Roman" w:hAnsi="Times New Roman"/>
          <w:color w:val="000000"/>
        </w:rPr>
        <w:t xml:space="preserve">got </w:t>
      </w:r>
      <w:r w:rsidR="00201141" w:rsidRPr="00221E23">
        <w:rPr>
          <w:rFonts w:ascii="Times New Roman" w:hAnsi="Times New Roman"/>
          <w:color w:val="000000"/>
        </w:rPr>
        <w:t>revealed to have been a cruel hoax</w:t>
      </w:r>
      <w:r w:rsidR="00AC2118" w:rsidRPr="00221E23">
        <w:rPr>
          <w:rFonts w:ascii="Times New Roman" w:hAnsi="Times New Roman"/>
          <w:color w:val="000000"/>
        </w:rPr>
        <w:t xml:space="preserve"> all along</w:t>
      </w:r>
      <w:r w:rsidR="00201141" w:rsidRPr="00221E23">
        <w:rPr>
          <w:rFonts w:ascii="Times New Roman" w:hAnsi="Times New Roman"/>
          <w:color w:val="000000"/>
        </w:rPr>
        <w:t>.</w:t>
      </w:r>
      <w:r w:rsidR="00201141" w:rsidRPr="00221E23">
        <w:rPr>
          <w:rFonts w:ascii="Times New Roman" w:hAnsi="Times New Roman"/>
          <w:color w:val="000000"/>
          <w:vertAlign w:val="superscript"/>
        </w:rPr>
        <w:footnoteReference w:id="11"/>
      </w:r>
      <w:r w:rsidR="00201141" w:rsidRPr="00221E23">
        <w:rPr>
          <w:rFonts w:ascii="Times New Roman" w:hAnsi="Times New Roman"/>
          <w:color w:val="000000"/>
        </w:rPr>
        <w:t xml:space="preserve"> </w:t>
      </w:r>
    </w:p>
    <w:p w14:paraId="5C7FD9F0" w14:textId="6503F0E9" w:rsidR="0083204C" w:rsidRPr="00221E23" w:rsidRDefault="00242EE6"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rPr>
      </w:pPr>
      <w:r w:rsidRPr="00221E23">
        <w:rPr>
          <w:rFonts w:ascii="Times New Roman" w:hAnsi="Times New Roman"/>
          <w:color w:val="000000"/>
        </w:rPr>
        <w:t>I mention this because</w:t>
      </w:r>
      <w:r w:rsidR="00B86F84" w:rsidRPr="00221E23">
        <w:rPr>
          <w:rFonts w:ascii="Times New Roman" w:hAnsi="Times New Roman"/>
          <w:color w:val="000000"/>
        </w:rPr>
        <w:t xml:space="preserve"> this </w:t>
      </w:r>
      <w:r w:rsidR="00514B87" w:rsidRPr="00221E23">
        <w:rPr>
          <w:rFonts w:ascii="Times New Roman" w:hAnsi="Times New Roman"/>
          <w:color w:val="000000"/>
        </w:rPr>
        <w:t>strongly suggests</w:t>
      </w:r>
      <w:r w:rsidR="00B86F84" w:rsidRPr="00221E23">
        <w:rPr>
          <w:rFonts w:ascii="Times New Roman" w:hAnsi="Times New Roman"/>
          <w:color w:val="000000"/>
        </w:rPr>
        <w:t xml:space="preserve"> that t</w:t>
      </w:r>
      <w:r w:rsidRPr="00221E23">
        <w:rPr>
          <w:rFonts w:ascii="Times New Roman" w:hAnsi="Times New Roman"/>
          <w:color w:val="000000"/>
        </w:rPr>
        <w:t>h</w:t>
      </w:r>
      <w:r w:rsidR="00201141" w:rsidRPr="00221E23">
        <w:rPr>
          <w:rFonts w:ascii="Times New Roman" w:hAnsi="Times New Roman"/>
        </w:rPr>
        <w:t>ere was</w:t>
      </w:r>
      <w:r w:rsidR="00DE000E" w:rsidRPr="00221E23">
        <w:rPr>
          <w:rFonts w:ascii="Times New Roman" w:hAnsi="Times New Roman"/>
        </w:rPr>
        <w:t xml:space="preserve"> simply</w:t>
      </w:r>
      <w:r w:rsidR="00201141" w:rsidRPr="00221E23">
        <w:rPr>
          <w:rFonts w:ascii="Times New Roman" w:hAnsi="Times New Roman"/>
        </w:rPr>
        <w:t xml:space="preserve"> little basis in his own experience for the aspect of personal, emotionally based relationships</w:t>
      </w:r>
      <w:r w:rsidR="00D911D7" w:rsidRPr="00221E23">
        <w:rPr>
          <w:rFonts w:ascii="Times New Roman" w:hAnsi="Times New Roman"/>
        </w:rPr>
        <w:t xml:space="preserve"> which</w:t>
      </w:r>
      <w:r w:rsidR="00B3037F" w:rsidRPr="00221E23">
        <w:rPr>
          <w:rFonts w:ascii="Times New Roman" w:hAnsi="Times New Roman"/>
        </w:rPr>
        <w:t xml:space="preserve"> now, over a century later</w:t>
      </w:r>
      <w:r w:rsidR="00201141" w:rsidRPr="00221E23">
        <w:rPr>
          <w:rFonts w:ascii="Times New Roman" w:hAnsi="Times New Roman"/>
        </w:rPr>
        <w:t xml:space="preserve">, have become </w:t>
      </w:r>
      <w:r w:rsidR="002521AB" w:rsidRPr="00221E23">
        <w:rPr>
          <w:rFonts w:ascii="Times New Roman" w:hAnsi="Times New Roman"/>
        </w:rPr>
        <w:t xml:space="preserve">a </w:t>
      </w:r>
      <w:r w:rsidR="00201141" w:rsidRPr="00221E23">
        <w:rPr>
          <w:rFonts w:ascii="Times New Roman" w:hAnsi="Times New Roman"/>
        </w:rPr>
        <w:t>natural expression of community life</w:t>
      </w:r>
      <w:r w:rsidR="00725A45" w:rsidRPr="00221E23">
        <w:rPr>
          <w:rFonts w:ascii="Times New Roman" w:hAnsi="Times New Roman"/>
        </w:rPr>
        <w:t xml:space="preserve"> (at least for some of us)</w:t>
      </w:r>
      <w:r w:rsidR="00DE000E" w:rsidRPr="00221E23">
        <w:rPr>
          <w:rFonts w:ascii="Times New Roman" w:hAnsi="Times New Roman"/>
        </w:rPr>
        <w:t>. Of</w:t>
      </w:r>
      <w:r w:rsidR="00201141" w:rsidRPr="00221E23">
        <w:rPr>
          <w:rFonts w:ascii="Times New Roman" w:hAnsi="Times New Roman"/>
        </w:rPr>
        <w:t xml:space="preserve"> course Santayana had a number of “friends” and some he called “true friends” — especially Albert von Westenholz (PP 261)</w:t>
      </w:r>
      <w:r w:rsidR="00423F50" w:rsidRPr="00221E23">
        <w:rPr>
          <w:rFonts w:ascii="Times New Roman" w:hAnsi="Times New Roman"/>
        </w:rPr>
        <w:t>. B</w:t>
      </w:r>
      <w:r w:rsidR="00201141" w:rsidRPr="00221E23">
        <w:rPr>
          <w:rFonts w:ascii="Times New Roman" w:hAnsi="Times New Roman"/>
        </w:rPr>
        <w:t xml:space="preserve">ut (at least in his own recollection) these </w:t>
      </w:r>
      <w:r w:rsidR="003653A6" w:rsidRPr="00221E23">
        <w:rPr>
          <w:rFonts w:ascii="Times New Roman" w:hAnsi="Times New Roman"/>
        </w:rPr>
        <w:t xml:space="preserve">true friends </w:t>
      </w:r>
      <w:r w:rsidR="00201141" w:rsidRPr="00221E23">
        <w:rPr>
          <w:rFonts w:ascii="Times New Roman" w:hAnsi="Times New Roman"/>
        </w:rPr>
        <w:t xml:space="preserve">seem to have been mostly those who were open to new and interesting ideas, through a “just” and “charitable” hospitality of mind (PP 177). </w:t>
      </w:r>
      <w:r w:rsidR="008D38D2" w:rsidRPr="00221E23">
        <w:rPr>
          <w:rFonts w:ascii="Times New Roman" w:hAnsi="Times New Roman"/>
        </w:rPr>
        <w:t xml:space="preserve">However, </w:t>
      </w:r>
      <w:r w:rsidR="00EA01FC" w:rsidRPr="00221E23">
        <w:rPr>
          <w:rFonts w:ascii="Times New Roman" w:hAnsi="Times New Roman"/>
        </w:rPr>
        <w:t>I think</w:t>
      </w:r>
      <w:r w:rsidR="00514917" w:rsidRPr="00221E23">
        <w:rPr>
          <w:rStyle w:val="FootnoteReference"/>
          <w:rFonts w:ascii="Times New Roman" w:hAnsi="Times New Roman"/>
        </w:rPr>
        <w:footnoteReference w:id="12"/>
      </w:r>
      <w:r w:rsidR="00EA01FC" w:rsidRPr="00221E23">
        <w:rPr>
          <w:rFonts w:ascii="Times New Roman" w:hAnsi="Times New Roman"/>
        </w:rPr>
        <w:t xml:space="preserve"> </w:t>
      </w:r>
      <w:r w:rsidR="00514917" w:rsidRPr="00221E23">
        <w:rPr>
          <w:rFonts w:ascii="Times New Roman" w:hAnsi="Times New Roman"/>
        </w:rPr>
        <w:t>his own account</w:t>
      </w:r>
      <w:r w:rsidR="003766C4" w:rsidRPr="00221E23">
        <w:rPr>
          <w:rFonts w:ascii="Times New Roman" w:hAnsi="Times New Roman"/>
        </w:rPr>
        <w:t xml:space="preserve"> shows </w:t>
      </w:r>
      <w:r w:rsidR="00EA01FC" w:rsidRPr="00221E23">
        <w:rPr>
          <w:rFonts w:ascii="Times New Roman" w:hAnsi="Times New Roman"/>
        </w:rPr>
        <w:t>that</w:t>
      </w:r>
      <w:r w:rsidR="00201141" w:rsidRPr="00221E23">
        <w:rPr>
          <w:rFonts w:ascii="Times New Roman" w:hAnsi="Times New Roman"/>
        </w:rPr>
        <w:t xml:space="preserve"> </w:t>
      </w:r>
      <w:r w:rsidR="003766C4" w:rsidRPr="00221E23">
        <w:rPr>
          <w:rFonts w:ascii="Times New Roman" w:hAnsi="Times New Roman"/>
        </w:rPr>
        <w:t xml:space="preserve">such </w:t>
      </w:r>
      <w:r w:rsidR="00201141" w:rsidRPr="00221E23">
        <w:rPr>
          <w:rFonts w:ascii="Times New Roman" w:hAnsi="Times New Roman"/>
        </w:rPr>
        <w:t xml:space="preserve">“justice” or “charity” </w:t>
      </w:r>
      <w:r w:rsidR="003766C4" w:rsidRPr="00221E23">
        <w:rPr>
          <w:rFonts w:ascii="Times New Roman" w:hAnsi="Times New Roman"/>
        </w:rPr>
        <w:t>is really</w:t>
      </w:r>
      <w:r w:rsidR="00201141" w:rsidRPr="00221E23">
        <w:rPr>
          <w:rFonts w:ascii="Times New Roman" w:hAnsi="Times New Roman"/>
        </w:rPr>
        <w:t xml:space="preserve"> more about responding to impersonal concepts than responding to individual persons, and the notion that individuals could be admirable for excellences of character </w:t>
      </w:r>
      <w:r w:rsidR="00CD212B" w:rsidRPr="00221E23">
        <w:rPr>
          <w:rFonts w:ascii="Times New Roman" w:hAnsi="Times New Roman"/>
        </w:rPr>
        <w:t>unimaginable to the rather</w:t>
      </w:r>
      <w:r w:rsidR="00201141" w:rsidRPr="00221E23">
        <w:rPr>
          <w:rFonts w:ascii="Times New Roman" w:hAnsi="Times New Roman"/>
        </w:rPr>
        <w:t xml:space="preserve"> patrician Santayana </w:t>
      </w:r>
      <w:r w:rsidR="008F3281" w:rsidRPr="00221E23">
        <w:rPr>
          <w:rFonts w:ascii="Times New Roman" w:hAnsi="Times New Roman"/>
        </w:rPr>
        <w:t>could not have</w:t>
      </w:r>
      <w:r w:rsidR="00201141" w:rsidRPr="00221E23">
        <w:rPr>
          <w:rFonts w:ascii="Times New Roman" w:hAnsi="Times New Roman"/>
        </w:rPr>
        <w:t xml:space="preserve"> figure</w:t>
      </w:r>
      <w:r w:rsidR="00213D3E" w:rsidRPr="00221E23">
        <w:rPr>
          <w:rFonts w:ascii="Times New Roman" w:hAnsi="Times New Roman"/>
        </w:rPr>
        <w:t>d</w:t>
      </w:r>
      <w:r w:rsidR="00201141" w:rsidRPr="00221E23">
        <w:rPr>
          <w:rFonts w:ascii="Times New Roman" w:hAnsi="Times New Roman"/>
        </w:rPr>
        <w:t xml:space="preserve"> uppermost in his assessment of</w:t>
      </w:r>
      <w:r w:rsidR="00213D3E" w:rsidRPr="00221E23">
        <w:rPr>
          <w:rFonts w:ascii="Times New Roman" w:hAnsi="Times New Roman"/>
        </w:rPr>
        <w:t xml:space="preserve"> </w:t>
      </w:r>
      <w:r w:rsidR="00414250" w:rsidRPr="00221E23">
        <w:rPr>
          <w:rFonts w:ascii="Times New Roman" w:hAnsi="Times New Roman"/>
        </w:rPr>
        <w:t>their</w:t>
      </w:r>
      <w:r w:rsidR="00201141" w:rsidRPr="00221E23">
        <w:rPr>
          <w:rFonts w:ascii="Times New Roman" w:hAnsi="Times New Roman"/>
        </w:rPr>
        <w:t xml:space="preserve"> character</w:t>
      </w:r>
      <w:r w:rsidR="00213D3E" w:rsidRPr="00221E23">
        <w:rPr>
          <w:rFonts w:ascii="Times New Roman" w:hAnsi="Times New Roman"/>
        </w:rPr>
        <w:t>s</w:t>
      </w:r>
      <w:r w:rsidR="00201141" w:rsidRPr="00221E23">
        <w:rPr>
          <w:rFonts w:ascii="Times New Roman" w:hAnsi="Times New Roman"/>
        </w:rPr>
        <w:t xml:space="preserve">. </w:t>
      </w:r>
    </w:p>
    <w:p w14:paraId="7EAE380B" w14:textId="02BCAE91" w:rsidR="00D65CC8" w:rsidRPr="00221E23" w:rsidRDefault="00201141"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rPr>
      </w:pPr>
      <w:r w:rsidRPr="00221E23">
        <w:rPr>
          <w:rFonts w:ascii="Times New Roman" w:hAnsi="Times New Roman"/>
        </w:rPr>
        <w:t>This point speaks to his anti-communitarianism. For Santayana, as for the rest of us, emotional connection with others</w:t>
      </w:r>
      <w:r w:rsidR="00497410" w:rsidRPr="00221E23">
        <w:rPr>
          <w:rFonts w:ascii="Times New Roman" w:hAnsi="Times New Roman"/>
        </w:rPr>
        <w:t xml:space="preserve"> conceivably </w:t>
      </w:r>
      <w:r w:rsidRPr="00221E23">
        <w:rPr>
          <w:rFonts w:ascii="Times New Roman" w:hAnsi="Times New Roman"/>
          <w:i/>
          <w:iCs/>
        </w:rPr>
        <w:t>could</w:t>
      </w:r>
      <w:r w:rsidRPr="00221E23">
        <w:rPr>
          <w:rFonts w:ascii="Times New Roman" w:hAnsi="Times New Roman"/>
        </w:rPr>
        <w:t xml:space="preserve"> be a prime source for</w:t>
      </w:r>
      <w:r w:rsidRPr="00221E23">
        <w:rPr>
          <w:rFonts w:ascii="Times New Roman" w:hAnsi="Times New Roman"/>
          <w:b/>
        </w:rPr>
        <w:t xml:space="preserve"> </w:t>
      </w:r>
      <w:r w:rsidRPr="00221E23">
        <w:rPr>
          <w:rFonts w:ascii="Times New Roman" w:hAnsi="Times New Roman"/>
          <w:color w:val="000000"/>
        </w:rPr>
        <w:t>one’s own personal growth and</w:t>
      </w:r>
      <w:r w:rsidR="0091255D" w:rsidRPr="00221E23">
        <w:rPr>
          <w:rFonts w:ascii="Times New Roman" w:hAnsi="Times New Roman"/>
          <w:color w:val="000000"/>
        </w:rPr>
        <w:t xml:space="preserve"> </w:t>
      </w:r>
      <w:r w:rsidR="0091255D" w:rsidRPr="00221E23">
        <w:rPr>
          <w:rFonts w:ascii="Times New Roman" w:hAnsi="Times New Roman"/>
          <w:i/>
          <w:iCs/>
          <w:color w:val="000000"/>
        </w:rPr>
        <w:t>could</w:t>
      </w:r>
      <w:r w:rsidRPr="00221E23">
        <w:rPr>
          <w:rFonts w:ascii="Times New Roman" w:hAnsi="Times New Roman"/>
          <w:color w:val="000000"/>
        </w:rPr>
        <w:t xml:space="preserve"> lead to</w:t>
      </w:r>
      <w:r w:rsidR="00FF6276" w:rsidRPr="00221E23">
        <w:rPr>
          <w:rFonts w:ascii="Times New Roman" w:hAnsi="Times New Roman"/>
          <w:color w:val="000000"/>
        </w:rPr>
        <w:t xml:space="preserve"> </w:t>
      </w:r>
      <w:r w:rsidR="00FF6276" w:rsidRPr="00221E23">
        <w:rPr>
          <w:rFonts w:ascii="Times New Roman" w:hAnsi="Times New Roman"/>
          <w:color w:val="000000"/>
        </w:rPr>
        <w:lastRenderedPageBreak/>
        <w:t>apprehending</w:t>
      </w:r>
      <w:r w:rsidRPr="00221E23">
        <w:rPr>
          <w:rFonts w:ascii="Times New Roman" w:hAnsi="Times New Roman"/>
          <w:color w:val="000000"/>
        </w:rPr>
        <w:t xml:space="preserve"> essences that he had never before imagined.</w:t>
      </w:r>
      <w:r w:rsidRPr="00221E23">
        <w:rPr>
          <w:rFonts w:ascii="Times New Roman" w:hAnsi="Times New Roman"/>
          <w:b/>
          <w:color w:val="000000"/>
        </w:rPr>
        <w:t xml:space="preserve"> </w:t>
      </w:r>
      <w:r w:rsidRPr="00221E23">
        <w:rPr>
          <w:rFonts w:ascii="Times New Roman" w:hAnsi="Times New Roman"/>
        </w:rPr>
        <w:t xml:space="preserve">But </w:t>
      </w:r>
      <w:r w:rsidR="00D6479B" w:rsidRPr="00221E23">
        <w:rPr>
          <w:rFonts w:ascii="Times New Roman" w:hAnsi="Times New Roman"/>
        </w:rPr>
        <w:t xml:space="preserve">Santayana’s estimate of </w:t>
      </w:r>
      <w:r w:rsidR="00B5606C" w:rsidRPr="00221E23">
        <w:rPr>
          <w:rFonts w:ascii="Times New Roman" w:hAnsi="Times New Roman"/>
        </w:rPr>
        <w:t>social relations was different. For</w:t>
      </w:r>
      <w:r w:rsidRPr="00221E23">
        <w:rPr>
          <w:rFonts w:ascii="Times New Roman" w:hAnsi="Times New Roman"/>
        </w:rPr>
        <w:t xml:space="preserve"> Santayana, “modern life is not made for friendship: common interests are not strong enough, private interests too absorbing” (pp 352). Instead, as Lionel Trilling suspected, Santayana’s most</w:t>
      </w:r>
      <w:r w:rsidR="007D39B9" w:rsidRPr="00221E23">
        <w:rPr>
          <w:rFonts w:ascii="Times New Roman" w:hAnsi="Times New Roman"/>
        </w:rPr>
        <w:t xml:space="preserve"> all-absorbing private interest</w:t>
      </w:r>
      <w:r w:rsidRPr="00221E23">
        <w:rPr>
          <w:rFonts w:ascii="Times New Roman" w:hAnsi="Times New Roman"/>
        </w:rPr>
        <w:t xml:space="preserve"> was his own self-definition: “he needed to define himself by withdrawal”</w:t>
      </w:r>
      <w:r w:rsidR="00313704" w:rsidRPr="00221E23">
        <w:rPr>
          <w:rFonts w:ascii="Times New Roman" w:hAnsi="Times New Roman"/>
        </w:rPr>
        <w:t xml:space="preserve"> </w:t>
      </w:r>
      <w:r w:rsidRPr="00221E23">
        <w:rPr>
          <w:rFonts w:ascii="Times New Roman" w:hAnsi="Times New Roman"/>
        </w:rPr>
        <w:t xml:space="preserve">(Trilling, 1956, 164). </w:t>
      </w:r>
      <w:r w:rsidR="00705759" w:rsidRPr="00221E23">
        <w:rPr>
          <w:rFonts w:ascii="Times New Roman" w:hAnsi="Times New Roman"/>
        </w:rPr>
        <w:t xml:space="preserve">We might even </w:t>
      </w:r>
      <w:r w:rsidR="002B5335" w:rsidRPr="00221E23">
        <w:rPr>
          <w:rFonts w:ascii="Times New Roman" w:hAnsi="Times New Roman"/>
        </w:rPr>
        <w:t xml:space="preserve">be tempted to </w:t>
      </w:r>
      <w:r w:rsidR="00705759" w:rsidRPr="00221E23">
        <w:rPr>
          <w:rFonts w:ascii="Times New Roman" w:hAnsi="Times New Roman"/>
        </w:rPr>
        <w:t xml:space="preserve">call this the narcissist’s trap. </w:t>
      </w:r>
      <w:r w:rsidR="001D610C" w:rsidRPr="00221E23">
        <w:rPr>
          <w:rFonts w:ascii="Times New Roman" w:hAnsi="Times New Roman"/>
        </w:rPr>
        <w:t>Fixation</w:t>
      </w:r>
      <w:r w:rsidRPr="00221E23">
        <w:rPr>
          <w:rFonts w:ascii="Times New Roman" w:hAnsi="Times New Roman"/>
        </w:rPr>
        <w:t xml:space="preserve"> on one’s own self-definition provide</w:t>
      </w:r>
      <w:r w:rsidR="003C34AC" w:rsidRPr="00221E23">
        <w:rPr>
          <w:rFonts w:ascii="Times New Roman" w:hAnsi="Times New Roman"/>
        </w:rPr>
        <w:t>s</w:t>
      </w:r>
      <w:r w:rsidRPr="00221E23">
        <w:rPr>
          <w:rFonts w:ascii="Times New Roman" w:hAnsi="Times New Roman"/>
        </w:rPr>
        <w:t xml:space="preserve"> little room for sympathetic understanding of anybody els</w:t>
      </w:r>
      <w:r w:rsidR="00705759" w:rsidRPr="00221E23">
        <w:rPr>
          <w:rFonts w:ascii="Times New Roman" w:hAnsi="Times New Roman"/>
        </w:rPr>
        <w:t>e,</w:t>
      </w:r>
      <w:r w:rsidR="003C34AC" w:rsidRPr="00221E23">
        <w:rPr>
          <w:rFonts w:ascii="Times New Roman" w:hAnsi="Times New Roman"/>
        </w:rPr>
        <w:t xml:space="preserve"> </w:t>
      </w:r>
      <w:r w:rsidR="001D610C" w:rsidRPr="00221E23">
        <w:rPr>
          <w:rFonts w:ascii="Times New Roman" w:hAnsi="Times New Roman"/>
        </w:rPr>
        <w:t xml:space="preserve">and </w:t>
      </w:r>
      <w:r w:rsidR="005956EE" w:rsidRPr="00221E23">
        <w:rPr>
          <w:rFonts w:ascii="Times New Roman" w:hAnsi="Times New Roman"/>
        </w:rPr>
        <w:t>I find it difficult to imagine that</w:t>
      </w:r>
      <w:r w:rsidRPr="00221E23">
        <w:rPr>
          <w:rFonts w:ascii="Times New Roman" w:hAnsi="Times New Roman"/>
        </w:rPr>
        <w:t xml:space="preserve"> Santayana was very capable of </w:t>
      </w:r>
      <w:r w:rsidR="00147E84" w:rsidRPr="00221E23">
        <w:rPr>
          <w:rFonts w:ascii="Times New Roman" w:hAnsi="Times New Roman"/>
        </w:rPr>
        <w:t>sympathetic understanding</w:t>
      </w:r>
      <w:r w:rsidRPr="00221E23">
        <w:rPr>
          <w:rFonts w:ascii="Times New Roman" w:hAnsi="Times New Roman"/>
        </w:rPr>
        <w:t>.</w:t>
      </w:r>
      <w:r w:rsidRPr="00221E23">
        <w:rPr>
          <w:rFonts w:ascii="Times New Roman" w:hAnsi="Times New Roman"/>
          <w:vertAlign w:val="superscript"/>
        </w:rPr>
        <w:footnoteReference w:id="13"/>
      </w:r>
      <w:r w:rsidRPr="00221E23">
        <w:rPr>
          <w:rFonts w:ascii="Times New Roman" w:hAnsi="Times New Roman"/>
        </w:rPr>
        <w:t xml:space="preserve"> </w:t>
      </w:r>
      <w:r w:rsidR="005249F9" w:rsidRPr="00221E23">
        <w:rPr>
          <w:rFonts w:ascii="Times New Roman" w:hAnsi="Times New Roman"/>
        </w:rPr>
        <w:t>Quite to the point here</w:t>
      </w:r>
      <w:r w:rsidR="00F735B0" w:rsidRPr="00221E23">
        <w:rPr>
          <w:rFonts w:ascii="Times New Roman" w:hAnsi="Times New Roman"/>
        </w:rPr>
        <w:t>,</w:t>
      </w:r>
      <w:r w:rsidR="00D65CC8" w:rsidRPr="00221E23">
        <w:rPr>
          <w:rFonts w:ascii="Times New Roman" w:hAnsi="Times New Roman"/>
        </w:rPr>
        <w:t xml:space="preserve"> Richard Rubin has reminded us</w:t>
      </w:r>
      <w:r w:rsidR="00F735B0" w:rsidRPr="00221E23">
        <w:rPr>
          <w:rFonts w:ascii="Times New Roman" w:hAnsi="Times New Roman"/>
        </w:rPr>
        <w:t xml:space="preserve"> that </w:t>
      </w:r>
      <w:r w:rsidR="00D65CC8" w:rsidRPr="00221E23">
        <w:rPr>
          <w:rFonts w:ascii="Times New Roman" w:hAnsi="Times New Roman"/>
        </w:rPr>
        <w:t>“Santayana’s frame of reference can lead to cavalier indifference</w:t>
      </w:r>
      <w:r w:rsidR="009C6C05" w:rsidRPr="00221E23">
        <w:rPr>
          <w:rFonts w:ascii="Times New Roman" w:hAnsi="Times New Roman"/>
        </w:rPr>
        <w:t>” (2014, 55).</w:t>
      </w:r>
    </w:p>
    <w:p w14:paraId="56234B58" w14:textId="4E24C666" w:rsidR="008E03BD" w:rsidRPr="00221E23" w:rsidRDefault="00626F8A" w:rsidP="008E03BD">
      <w:pPr>
        <w:widowControl w:val="0"/>
        <w:tabs>
          <w:tab w:val="left" w:pos="720"/>
          <w:tab w:val="left" w:pos="2160"/>
          <w:tab w:val="left" w:pos="2880"/>
        </w:tabs>
        <w:autoSpaceDE w:val="0"/>
        <w:autoSpaceDN w:val="0"/>
        <w:adjustRightInd w:val="0"/>
        <w:spacing w:line="360" w:lineRule="auto"/>
        <w:jc w:val="center"/>
        <w:rPr>
          <w:rFonts w:ascii="Times New Roman" w:hAnsi="Times New Roman"/>
        </w:rPr>
      </w:pPr>
      <w:r w:rsidRPr="00221E23">
        <w:rPr>
          <w:rFonts w:ascii="Times New Roman" w:hAnsi="Times New Roman"/>
        </w:rPr>
        <w:t>*</w:t>
      </w:r>
    </w:p>
    <w:p w14:paraId="56E96C10" w14:textId="1F718B6E" w:rsidR="00A56989" w:rsidRPr="00221E23" w:rsidRDefault="00623CCC"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rPr>
      </w:pPr>
      <w:r w:rsidRPr="00221E23">
        <w:rPr>
          <w:rFonts w:ascii="Times New Roman" w:hAnsi="Times New Roman"/>
        </w:rPr>
        <w:t>In closing</w:t>
      </w:r>
      <w:r w:rsidR="004E62A2" w:rsidRPr="00221E23">
        <w:rPr>
          <w:rFonts w:ascii="Times New Roman" w:hAnsi="Times New Roman"/>
        </w:rPr>
        <w:t xml:space="preserve"> I need to</w:t>
      </w:r>
      <w:r w:rsidRPr="00221E23">
        <w:rPr>
          <w:rFonts w:ascii="Times New Roman" w:hAnsi="Times New Roman"/>
        </w:rPr>
        <w:t xml:space="preserve"> </w:t>
      </w:r>
      <w:r w:rsidR="00F47056" w:rsidRPr="00221E23">
        <w:rPr>
          <w:rFonts w:ascii="Times New Roman" w:hAnsi="Times New Roman"/>
        </w:rPr>
        <w:t>mention</w:t>
      </w:r>
      <w:r w:rsidRPr="00221E23">
        <w:rPr>
          <w:rFonts w:ascii="Times New Roman" w:hAnsi="Times New Roman"/>
        </w:rPr>
        <w:t xml:space="preserve"> </w:t>
      </w:r>
      <w:r w:rsidR="00E601F9" w:rsidRPr="00221E23">
        <w:rPr>
          <w:rFonts w:ascii="Times New Roman" w:hAnsi="Times New Roman"/>
        </w:rPr>
        <w:t>a</w:t>
      </w:r>
      <w:r w:rsidRPr="00221E23">
        <w:rPr>
          <w:rFonts w:ascii="Times New Roman" w:hAnsi="Times New Roman"/>
        </w:rPr>
        <w:t xml:space="preserve"> little book by Milton Mayeroff, entitled “On Caring,” a book that helped inaugurate the ethics of care movement back in the 70’s. As we know, Santayana early on felt that he was not at home in the world (PP 167). Mayeroff remarks</w:t>
      </w:r>
      <w:r w:rsidR="00674D3A" w:rsidRPr="00221E23">
        <w:rPr>
          <w:rFonts w:ascii="Times New Roman" w:hAnsi="Times New Roman"/>
        </w:rPr>
        <w:t xml:space="preserve"> (</w:t>
      </w:r>
      <w:r w:rsidR="00BD5C92" w:rsidRPr="00221E23">
        <w:rPr>
          <w:rFonts w:ascii="Times New Roman" w:hAnsi="Times New Roman"/>
        </w:rPr>
        <w:t>interestingly</w:t>
      </w:r>
      <w:r w:rsidR="00674D3A" w:rsidRPr="00221E23">
        <w:rPr>
          <w:rFonts w:ascii="Times New Roman" w:hAnsi="Times New Roman"/>
        </w:rPr>
        <w:t>)</w:t>
      </w:r>
      <w:r w:rsidRPr="00221E23">
        <w:rPr>
          <w:rFonts w:ascii="Times New Roman" w:hAnsi="Times New Roman"/>
        </w:rPr>
        <w:t xml:space="preserve"> that in the sense in which individuals “can ever be said to be at home in the world,” they are “at home not through dominating, or explaining” — or merely contemplating! — “but through caring and being cared for” (Mayeroff, 1971, 2) To find a home in the world is to enter a circle of care, and Santayana rather soon in his life gave up looking for this — though his host the world did eventually provide accommodations suitable enough </w:t>
      </w:r>
      <w:r w:rsidR="00C9148B" w:rsidRPr="00221E23">
        <w:rPr>
          <w:rFonts w:ascii="Times New Roman" w:hAnsi="Times New Roman"/>
        </w:rPr>
        <w:t>for</w:t>
      </w:r>
      <w:r w:rsidRPr="00221E23">
        <w:rPr>
          <w:rFonts w:ascii="Times New Roman" w:hAnsi="Times New Roman"/>
        </w:rPr>
        <w:t xml:space="preserve"> him. We</w:t>
      </w:r>
      <w:r w:rsidR="00C66B66" w:rsidRPr="00221E23">
        <w:rPr>
          <w:rFonts w:ascii="Times New Roman" w:hAnsi="Times New Roman"/>
        </w:rPr>
        <w:t>, on the other hand,</w:t>
      </w:r>
      <w:r w:rsidRPr="00221E23">
        <w:rPr>
          <w:rFonts w:ascii="Times New Roman" w:hAnsi="Times New Roman"/>
        </w:rPr>
        <w:t xml:space="preserve"> might want to consult our own allegiances to see whether </w:t>
      </w:r>
      <w:r w:rsidR="00AC0048" w:rsidRPr="00221E23">
        <w:rPr>
          <w:rFonts w:ascii="Times New Roman" w:hAnsi="Times New Roman"/>
        </w:rPr>
        <w:t>that sort of</w:t>
      </w:r>
      <w:r w:rsidRPr="00221E23">
        <w:rPr>
          <w:rFonts w:ascii="Times New Roman" w:hAnsi="Times New Roman"/>
        </w:rPr>
        <w:t xml:space="preserve"> “host” would be </w:t>
      </w:r>
      <w:r w:rsidR="00C66B66" w:rsidRPr="00221E23">
        <w:rPr>
          <w:rFonts w:ascii="Times New Roman" w:hAnsi="Times New Roman"/>
        </w:rPr>
        <w:t xml:space="preserve">suitable </w:t>
      </w:r>
      <w:r w:rsidRPr="00221E23">
        <w:rPr>
          <w:rFonts w:ascii="Times New Roman" w:hAnsi="Times New Roman"/>
        </w:rPr>
        <w:t>enough for us.</w:t>
      </w:r>
    </w:p>
    <w:p w14:paraId="10983D3B" w14:textId="3CA681CE" w:rsidR="006D74FB" w:rsidRPr="00221E23" w:rsidRDefault="00466AEF"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rPr>
      </w:pPr>
      <w:r w:rsidRPr="00221E23">
        <w:rPr>
          <w:rFonts w:ascii="Times New Roman" w:hAnsi="Times New Roman"/>
        </w:rPr>
        <w:t>It is true that some contemporary readers have faced</w:t>
      </w:r>
      <w:r w:rsidR="000B20C1" w:rsidRPr="00221E23">
        <w:rPr>
          <w:rFonts w:ascii="Times New Roman" w:hAnsi="Times New Roman"/>
        </w:rPr>
        <w:t>,</w:t>
      </w:r>
      <w:r w:rsidRPr="00221E23">
        <w:rPr>
          <w:rFonts w:ascii="Times New Roman" w:hAnsi="Times New Roman"/>
        </w:rPr>
        <w:t xml:space="preserve"> straight on</w:t>
      </w:r>
      <w:r w:rsidR="000B20C1" w:rsidRPr="00221E23">
        <w:rPr>
          <w:rFonts w:ascii="Times New Roman" w:hAnsi="Times New Roman"/>
        </w:rPr>
        <w:t>,</w:t>
      </w:r>
      <w:r w:rsidRPr="00221E23">
        <w:rPr>
          <w:rFonts w:ascii="Times New Roman" w:hAnsi="Times New Roman"/>
        </w:rPr>
        <w:t xml:space="preserve"> the challenge of updating Santayana’s project, and have pursued quite impressively Santayana’s contemplative example (Brodrick, 20</w:t>
      </w:r>
      <w:r w:rsidR="00A60083">
        <w:rPr>
          <w:rFonts w:ascii="Times New Roman" w:hAnsi="Times New Roman"/>
        </w:rPr>
        <w:t>1</w:t>
      </w:r>
      <w:r w:rsidRPr="00221E23">
        <w:rPr>
          <w:rFonts w:ascii="Times New Roman" w:hAnsi="Times New Roman"/>
        </w:rPr>
        <w:t xml:space="preserve">5). But others of us may still be left with some pressing questions as to </w:t>
      </w:r>
      <w:r w:rsidR="0027025A" w:rsidRPr="00221E23">
        <w:rPr>
          <w:rFonts w:ascii="Times New Roman" w:hAnsi="Times New Roman"/>
        </w:rPr>
        <w:t>which portions</w:t>
      </w:r>
      <w:r w:rsidRPr="00221E23">
        <w:rPr>
          <w:rFonts w:ascii="Times New Roman" w:hAnsi="Times New Roman"/>
        </w:rPr>
        <w:t xml:space="preserve"> of Santayana’s work remain viable. Should we attempt to reinstate the model of intellectual statesmanship</w:t>
      </w:r>
      <w:r w:rsidR="005E252F" w:rsidRPr="00221E23">
        <w:rPr>
          <w:rFonts w:ascii="Times New Roman" w:hAnsi="Times New Roman"/>
        </w:rPr>
        <w:t xml:space="preserve"> </w:t>
      </w:r>
      <w:r w:rsidRPr="00221E23">
        <w:rPr>
          <w:rFonts w:ascii="Times New Roman" w:hAnsi="Times New Roman"/>
        </w:rPr>
        <w:t xml:space="preserve">(Etzioni, 1996)? Or do we direct our energies closer to home, </w:t>
      </w:r>
      <w:r w:rsidR="008D2AEB" w:rsidRPr="00221E23">
        <w:rPr>
          <w:rFonts w:ascii="Times New Roman" w:hAnsi="Times New Roman"/>
        </w:rPr>
        <w:t>by</w:t>
      </w:r>
      <w:r w:rsidRPr="00221E23">
        <w:rPr>
          <w:rFonts w:ascii="Times New Roman" w:hAnsi="Times New Roman"/>
        </w:rPr>
        <w:t xml:space="preserve"> building personal relationships within a local community of like-minded persons? </w:t>
      </w:r>
      <w:r w:rsidR="008D2AEB" w:rsidRPr="00221E23">
        <w:rPr>
          <w:rFonts w:ascii="Times New Roman" w:hAnsi="Times New Roman"/>
        </w:rPr>
        <w:t>Might that not</w:t>
      </w:r>
      <w:r w:rsidRPr="00221E23">
        <w:rPr>
          <w:rFonts w:ascii="Times New Roman" w:hAnsi="Times New Roman"/>
        </w:rPr>
        <w:t xml:space="preserve"> be an alternative model for facing up to the worldly anxieties that Santayana’s own </w:t>
      </w:r>
      <w:r w:rsidR="00C36C41" w:rsidRPr="00221E23">
        <w:rPr>
          <w:rFonts w:ascii="Times New Roman" w:hAnsi="Times New Roman"/>
        </w:rPr>
        <w:t xml:space="preserve">mature </w:t>
      </w:r>
      <w:r w:rsidRPr="00221E23">
        <w:rPr>
          <w:rFonts w:ascii="Times New Roman" w:hAnsi="Times New Roman"/>
        </w:rPr>
        <w:t xml:space="preserve">project </w:t>
      </w:r>
      <w:r w:rsidR="00C36C41" w:rsidRPr="00221E23">
        <w:rPr>
          <w:rFonts w:ascii="Times New Roman" w:hAnsi="Times New Roman"/>
        </w:rPr>
        <w:t>was</w:t>
      </w:r>
      <w:r w:rsidRPr="00221E23">
        <w:rPr>
          <w:rFonts w:ascii="Times New Roman" w:hAnsi="Times New Roman"/>
        </w:rPr>
        <w:t xml:space="preserve"> meant to address</w:t>
      </w:r>
      <w:r w:rsidR="008D2AEB" w:rsidRPr="00221E23">
        <w:rPr>
          <w:rFonts w:ascii="Times New Roman" w:hAnsi="Times New Roman"/>
        </w:rPr>
        <w:t>?</w:t>
      </w:r>
      <w:r w:rsidRPr="00221E23">
        <w:rPr>
          <w:rFonts w:ascii="Times New Roman" w:hAnsi="Times New Roman"/>
        </w:rPr>
        <w:t xml:space="preserve"> </w:t>
      </w:r>
      <w:r w:rsidR="008D2AEB" w:rsidRPr="00221E23">
        <w:rPr>
          <w:rFonts w:ascii="Times New Roman" w:hAnsi="Times New Roman"/>
        </w:rPr>
        <w:t>It</w:t>
      </w:r>
      <w:r w:rsidRPr="00221E23">
        <w:rPr>
          <w:rFonts w:ascii="Times New Roman" w:hAnsi="Times New Roman"/>
        </w:rPr>
        <w:t xml:space="preserve"> is interesting to imagine how much of </w:t>
      </w:r>
      <w:r w:rsidR="00AC487C">
        <w:rPr>
          <w:rFonts w:ascii="Times New Roman" w:hAnsi="Times New Roman"/>
        </w:rPr>
        <w:t>t</w:t>
      </w:r>
      <w:r w:rsidRPr="005E2C26">
        <w:rPr>
          <w:rFonts w:ascii="Times New Roman" w:hAnsi="Times New Roman"/>
        </w:rPr>
        <w:t>he</w:t>
      </w:r>
      <w:r w:rsidRPr="00221E23">
        <w:rPr>
          <w:rFonts w:ascii="Times New Roman" w:hAnsi="Times New Roman"/>
        </w:rPr>
        <w:t xml:space="preserve"> </w:t>
      </w:r>
      <w:r w:rsidRPr="00221E23">
        <w:rPr>
          <w:rFonts w:ascii="Times New Roman" w:hAnsi="Times New Roman"/>
          <w:i/>
          <w:iCs/>
        </w:rPr>
        <w:t>Life of Reason</w:t>
      </w:r>
      <w:r w:rsidRPr="00221E23">
        <w:rPr>
          <w:rFonts w:ascii="Times New Roman" w:hAnsi="Times New Roman"/>
        </w:rPr>
        <w:t xml:space="preserve"> might </w:t>
      </w:r>
      <w:r w:rsidR="007F7239" w:rsidRPr="00221E23">
        <w:rPr>
          <w:rFonts w:ascii="Times New Roman" w:hAnsi="Times New Roman"/>
        </w:rPr>
        <w:t>still</w:t>
      </w:r>
      <w:r w:rsidRPr="00221E23">
        <w:rPr>
          <w:rFonts w:ascii="Times New Roman" w:hAnsi="Times New Roman"/>
        </w:rPr>
        <w:t xml:space="preserve"> </w:t>
      </w:r>
      <w:r w:rsidR="0091255D" w:rsidRPr="00221E23">
        <w:rPr>
          <w:rFonts w:ascii="Times New Roman" w:hAnsi="Times New Roman"/>
        </w:rPr>
        <w:t xml:space="preserve">get </w:t>
      </w:r>
      <w:r w:rsidRPr="00221E23">
        <w:rPr>
          <w:rFonts w:ascii="Times New Roman" w:hAnsi="Times New Roman"/>
        </w:rPr>
        <w:t>reflected in such a project. But that remains to be seen.</w:t>
      </w:r>
    </w:p>
    <w:p w14:paraId="38A3716F" w14:textId="77777777" w:rsidR="00A248F6" w:rsidRPr="00221E23" w:rsidRDefault="00A248F6"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rPr>
      </w:pPr>
    </w:p>
    <w:p w14:paraId="4CA06060" w14:textId="77777777" w:rsidR="00A248F6" w:rsidRPr="00221E23" w:rsidRDefault="00A248F6" w:rsidP="00956682">
      <w:pPr>
        <w:widowControl w:val="0"/>
        <w:tabs>
          <w:tab w:val="left" w:pos="1440"/>
          <w:tab w:val="left" w:pos="2160"/>
          <w:tab w:val="left" w:pos="2880"/>
        </w:tabs>
        <w:autoSpaceDE w:val="0"/>
        <w:autoSpaceDN w:val="0"/>
        <w:adjustRightInd w:val="0"/>
        <w:spacing w:line="360" w:lineRule="auto"/>
        <w:ind w:left="7200"/>
        <w:rPr>
          <w:rFonts w:ascii="Times New Roman" w:hAnsi="Times New Roman"/>
        </w:rPr>
      </w:pPr>
      <w:r w:rsidRPr="00221E23">
        <w:rPr>
          <w:rFonts w:ascii="Times New Roman" w:hAnsi="Times New Roman"/>
        </w:rPr>
        <w:t>D. Seiple</w:t>
      </w:r>
    </w:p>
    <w:p w14:paraId="1E08EC3C" w14:textId="2816ACE9" w:rsidR="002D0B32" w:rsidRPr="00221E23" w:rsidRDefault="002D0B32" w:rsidP="00956682">
      <w:pPr>
        <w:widowControl w:val="0"/>
        <w:tabs>
          <w:tab w:val="left" w:pos="1440"/>
          <w:tab w:val="left" w:pos="2160"/>
          <w:tab w:val="left" w:pos="2880"/>
        </w:tabs>
        <w:autoSpaceDE w:val="0"/>
        <w:autoSpaceDN w:val="0"/>
        <w:adjustRightInd w:val="0"/>
        <w:spacing w:line="360" w:lineRule="auto"/>
        <w:ind w:left="7200"/>
        <w:rPr>
          <w:rFonts w:ascii="Times New Roman" w:hAnsi="Times New Roman"/>
        </w:rPr>
      </w:pPr>
      <w:r w:rsidRPr="00221E23">
        <w:rPr>
          <w:rFonts w:ascii="Times New Roman" w:hAnsi="Times New Roman"/>
        </w:rPr>
        <w:t>City University of New York</w:t>
      </w:r>
    </w:p>
    <w:p w14:paraId="459051D6" w14:textId="635D7586" w:rsidR="00A248F6" w:rsidRPr="00A73183" w:rsidRDefault="00012D8F"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b/>
          <w:bCs/>
        </w:rPr>
      </w:pPr>
      <w:r w:rsidRPr="00A73183">
        <w:rPr>
          <w:rFonts w:ascii="Times New Roman" w:hAnsi="Times New Roman"/>
          <w:b/>
          <w:bCs/>
        </w:rPr>
        <w:t>References with Abbreviations</w:t>
      </w:r>
    </w:p>
    <w:p w14:paraId="0BCE652A" w14:textId="77777777" w:rsidR="002537FB" w:rsidRDefault="002537FB"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color w:val="851438"/>
          <w:sz w:val="20"/>
          <w:szCs w:val="20"/>
        </w:rPr>
      </w:pPr>
    </w:p>
    <w:p w14:paraId="155810DF" w14:textId="77777777" w:rsidR="00812FFF" w:rsidRPr="00C5272C" w:rsidRDefault="00812FFF" w:rsidP="00B5219C">
      <w:pPr>
        <w:ind w:left="630" w:hanging="540"/>
        <w:rPr>
          <w:rFonts w:ascii="Times New Roman" w:hAnsi="Times New Roman"/>
          <w:color w:val="000000"/>
        </w:rPr>
      </w:pPr>
      <w:r>
        <w:rPr>
          <w:rFonts w:ascii="Times New Roman" w:hAnsi="Times New Roman"/>
          <w:color w:val="000000"/>
        </w:rPr>
        <w:lastRenderedPageBreak/>
        <w:t xml:space="preserve">SAF </w:t>
      </w:r>
      <w:r w:rsidRPr="00C5272C">
        <w:rPr>
          <w:rFonts w:ascii="Times New Roman" w:hAnsi="Times New Roman"/>
          <w:color w:val="000000"/>
        </w:rPr>
        <w:t>1955.</w:t>
      </w:r>
      <w:r>
        <w:rPr>
          <w:rFonts w:ascii="Times New Roman" w:hAnsi="Times New Roman"/>
          <w:color w:val="000000"/>
        </w:rPr>
        <w:t xml:space="preserve"> </w:t>
      </w:r>
      <w:r w:rsidRPr="00C5272C">
        <w:rPr>
          <w:rFonts w:ascii="Times New Roman" w:hAnsi="Times New Roman"/>
          <w:i/>
          <w:iCs/>
          <w:color w:val="000000"/>
        </w:rPr>
        <w:t>Scepticism and Animal Faith: Introduction to a System of Philosophy</w:t>
      </w:r>
      <w:r w:rsidRPr="00C5272C">
        <w:rPr>
          <w:rFonts w:ascii="Times New Roman" w:hAnsi="Times New Roman"/>
          <w:color w:val="000000"/>
        </w:rPr>
        <w:t>. New York: Dover Publications</w:t>
      </w:r>
      <w:r>
        <w:rPr>
          <w:rFonts w:ascii="Times New Roman" w:hAnsi="Times New Roman"/>
          <w:color w:val="000000"/>
        </w:rPr>
        <w:t xml:space="preserve">. </w:t>
      </w:r>
    </w:p>
    <w:p w14:paraId="627D9661" w14:textId="77777777" w:rsidR="002537FB" w:rsidRPr="00C5272C" w:rsidRDefault="002537FB" w:rsidP="00B5219C">
      <w:pPr>
        <w:ind w:left="630" w:hanging="540"/>
        <w:rPr>
          <w:rFonts w:ascii="Times New Roman" w:hAnsi="Times New Roman"/>
          <w:color w:val="000000"/>
        </w:rPr>
      </w:pPr>
      <w:r>
        <w:rPr>
          <w:rFonts w:ascii="Times New Roman" w:hAnsi="Times New Roman"/>
          <w:color w:val="000000"/>
        </w:rPr>
        <w:t xml:space="preserve">PP    </w:t>
      </w:r>
      <w:r w:rsidRPr="00C5272C">
        <w:rPr>
          <w:rFonts w:ascii="Times New Roman" w:hAnsi="Times New Roman"/>
          <w:color w:val="000000"/>
        </w:rPr>
        <w:t>1987</w:t>
      </w:r>
      <w:r>
        <w:rPr>
          <w:rFonts w:ascii="Times New Roman" w:hAnsi="Times New Roman"/>
          <w:color w:val="000000"/>
        </w:rPr>
        <w:t xml:space="preserve">. </w:t>
      </w:r>
      <w:r w:rsidRPr="00C5272C">
        <w:rPr>
          <w:rFonts w:ascii="Times New Roman" w:hAnsi="Times New Roman"/>
          <w:i/>
          <w:iCs/>
          <w:color w:val="000000"/>
        </w:rPr>
        <w:t>Persons and Places</w:t>
      </w:r>
      <w:r w:rsidRPr="00C5272C">
        <w:rPr>
          <w:rFonts w:ascii="Times New Roman" w:hAnsi="Times New Roman"/>
          <w:color w:val="000000"/>
        </w:rPr>
        <w:t>. Edited by William G. Holzberger and Herman J. Saatkamp Jr. Critical Edition. Cambridge, MA: MIT Press</w:t>
      </w:r>
      <w:r>
        <w:rPr>
          <w:rFonts w:ascii="Times New Roman" w:hAnsi="Times New Roman"/>
          <w:color w:val="000000"/>
        </w:rPr>
        <w:t>.</w:t>
      </w:r>
    </w:p>
    <w:p w14:paraId="2971E460" w14:textId="77777777" w:rsidR="00012D8F" w:rsidRDefault="00012D8F" w:rsidP="002537FB">
      <w:pPr>
        <w:widowControl w:val="0"/>
        <w:tabs>
          <w:tab w:val="left" w:pos="720"/>
          <w:tab w:val="left" w:pos="2160"/>
          <w:tab w:val="left" w:pos="2880"/>
        </w:tabs>
        <w:autoSpaceDE w:val="0"/>
        <w:autoSpaceDN w:val="0"/>
        <w:adjustRightInd w:val="0"/>
        <w:spacing w:line="360" w:lineRule="auto"/>
        <w:rPr>
          <w:rFonts w:ascii="Times New Roman" w:hAnsi="Times New Roman"/>
          <w:color w:val="851438"/>
          <w:sz w:val="20"/>
          <w:szCs w:val="20"/>
        </w:rPr>
      </w:pPr>
    </w:p>
    <w:p w14:paraId="39D7B81C" w14:textId="77777777" w:rsidR="00012D8F" w:rsidRDefault="00012D8F"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color w:val="851438"/>
          <w:sz w:val="20"/>
          <w:szCs w:val="20"/>
        </w:rPr>
      </w:pPr>
    </w:p>
    <w:p w14:paraId="6EBC678F" w14:textId="55B4ABB7" w:rsidR="00012D8F" w:rsidRPr="0094752E" w:rsidRDefault="00012D8F"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b/>
          <w:bCs/>
        </w:rPr>
      </w:pPr>
      <w:r w:rsidRPr="0094752E">
        <w:rPr>
          <w:rFonts w:ascii="Times New Roman" w:hAnsi="Times New Roman"/>
          <w:b/>
          <w:bCs/>
        </w:rPr>
        <w:t>Other References</w:t>
      </w:r>
    </w:p>
    <w:p w14:paraId="70A824A8" w14:textId="77777777" w:rsidR="000565AF" w:rsidRDefault="000565AF" w:rsidP="00956682">
      <w:pPr>
        <w:widowControl w:val="0"/>
        <w:tabs>
          <w:tab w:val="left" w:pos="720"/>
          <w:tab w:val="left" w:pos="2160"/>
          <w:tab w:val="left" w:pos="2880"/>
        </w:tabs>
        <w:autoSpaceDE w:val="0"/>
        <w:autoSpaceDN w:val="0"/>
        <w:adjustRightInd w:val="0"/>
        <w:spacing w:line="360" w:lineRule="auto"/>
        <w:ind w:firstLine="720"/>
        <w:rPr>
          <w:rFonts w:ascii="Times New Roman" w:hAnsi="Times New Roman"/>
          <w:color w:val="851438"/>
          <w:sz w:val="20"/>
          <w:szCs w:val="20"/>
        </w:rPr>
      </w:pPr>
    </w:p>
    <w:p w14:paraId="706ACEFD" w14:textId="26D63D89" w:rsidR="000565AF" w:rsidRPr="000565AF" w:rsidRDefault="000565AF" w:rsidP="00414409">
      <w:pPr>
        <w:widowControl w:val="0"/>
        <w:tabs>
          <w:tab w:val="left" w:pos="720"/>
          <w:tab w:val="left" w:pos="2160"/>
          <w:tab w:val="left" w:pos="2880"/>
        </w:tabs>
        <w:autoSpaceDE w:val="0"/>
        <w:autoSpaceDN w:val="0"/>
        <w:adjustRightInd w:val="0"/>
        <w:spacing w:line="360" w:lineRule="auto"/>
        <w:ind w:left="634" w:hanging="634"/>
        <w:rPr>
          <w:rFonts w:ascii="Times New Roman" w:hAnsi="Times New Roman"/>
        </w:rPr>
      </w:pPr>
      <w:r w:rsidRPr="000565AF">
        <w:rPr>
          <w:rFonts w:ascii="Times New Roman" w:hAnsi="Times New Roman"/>
        </w:rPr>
        <w:t>Albee, Ernest. 1905. “Review ONE of George Santayana, Life of Reason.” </w:t>
      </w:r>
      <w:r w:rsidRPr="000565AF">
        <w:rPr>
          <w:rFonts w:ascii="Times New Roman" w:hAnsi="Times New Roman"/>
          <w:i/>
          <w:iCs/>
        </w:rPr>
        <w:t>The Philosophical Review</w:t>
      </w:r>
      <w:r w:rsidRPr="000565AF">
        <w:rPr>
          <w:rFonts w:ascii="Times New Roman" w:hAnsi="Times New Roman"/>
        </w:rPr>
        <w:t> 14 (5): 602–7. </w:t>
      </w:r>
    </w:p>
    <w:p w14:paraId="4C93A9DC" w14:textId="77777777" w:rsidR="000565AF" w:rsidRPr="000565AF" w:rsidRDefault="000565AF" w:rsidP="00414409">
      <w:pPr>
        <w:widowControl w:val="0"/>
        <w:tabs>
          <w:tab w:val="left" w:pos="720"/>
          <w:tab w:val="left" w:pos="2160"/>
          <w:tab w:val="left" w:pos="2880"/>
        </w:tabs>
        <w:autoSpaceDE w:val="0"/>
        <w:autoSpaceDN w:val="0"/>
        <w:adjustRightInd w:val="0"/>
        <w:spacing w:line="360" w:lineRule="auto"/>
        <w:ind w:left="634" w:hanging="634"/>
        <w:rPr>
          <w:rFonts w:ascii="Times New Roman" w:hAnsi="Times New Roman"/>
        </w:rPr>
      </w:pPr>
      <w:r w:rsidRPr="000565AF">
        <w:rPr>
          <w:rFonts w:ascii="Times New Roman" w:hAnsi="Times New Roman"/>
        </w:rPr>
        <w:t>Brodrick, Michael. 2015. </w:t>
      </w:r>
      <w:r w:rsidRPr="000565AF">
        <w:rPr>
          <w:rFonts w:ascii="Times New Roman" w:hAnsi="Times New Roman"/>
          <w:i/>
          <w:iCs/>
        </w:rPr>
        <w:t>The Ethics of Detachment in Santayana’s Philosophy</w:t>
      </w:r>
      <w:r w:rsidRPr="000565AF">
        <w:rPr>
          <w:rFonts w:ascii="Times New Roman" w:hAnsi="Times New Roman"/>
        </w:rPr>
        <w:t>. London: Palgrave Macmillan.</w:t>
      </w:r>
    </w:p>
    <w:p w14:paraId="57E830C4" w14:textId="6EC21616" w:rsidR="000565AF" w:rsidRPr="000565AF" w:rsidRDefault="000565AF" w:rsidP="00414409">
      <w:pPr>
        <w:widowControl w:val="0"/>
        <w:tabs>
          <w:tab w:val="left" w:pos="720"/>
          <w:tab w:val="left" w:pos="2160"/>
          <w:tab w:val="left" w:pos="2880"/>
        </w:tabs>
        <w:autoSpaceDE w:val="0"/>
        <w:autoSpaceDN w:val="0"/>
        <w:adjustRightInd w:val="0"/>
        <w:spacing w:line="360" w:lineRule="auto"/>
        <w:ind w:left="634" w:hanging="634"/>
        <w:rPr>
          <w:rFonts w:ascii="Times New Roman" w:hAnsi="Times New Roman"/>
        </w:rPr>
      </w:pPr>
      <w:r w:rsidRPr="000565AF">
        <w:rPr>
          <w:rFonts w:ascii="Times New Roman" w:hAnsi="Times New Roman"/>
        </w:rPr>
        <w:t>Buchler, Justus. 1954. “One Santayana or Two?” </w:t>
      </w:r>
      <w:r w:rsidRPr="000565AF">
        <w:rPr>
          <w:rFonts w:ascii="Times New Roman" w:hAnsi="Times New Roman"/>
          <w:i/>
          <w:iCs/>
        </w:rPr>
        <w:t>The Journal of Philosophy</w:t>
      </w:r>
      <w:r w:rsidRPr="000565AF">
        <w:rPr>
          <w:rFonts w:ascii="Times New Roman" w:hAnsi="Times New Roman"/>
        </w:rPr>
        <w:t> 51 (2): 52–57. </w:t>
      </w:r>
    </w:p>
    <w:p w14:paraId="01A3B2DD" w14:textId="77777777" w:rsidR="000565AF" w:rsidRPr="000565AF" w:rsidRDefault="000565AF" w:rsidP="00414409">
      <w:pPr>
        <w:widowControl w:val="0"/>
        <w:tabs>
          <w:tab w:val="left" w:pos="720"/>
          <w:tab w:val="left" w:pos="2160"/>
          <w:tab w:val="left" w:pos="2880"/>
        </w:tabs>
        <w:autoSpaceDE w:val="0"/>
        <w:autoSpaceDN w:val="0"/>
        <w:adjustRightInd w:val="0"/>
        <w:spacing w:line="360" w:lineRule="auto"/>
        <w:ind w:left="634" w:hanging="634"/>
        <w:rPr>
          <w:rFonts w:ascii="Times New Roman" w:hAnsi="Times New Roman"/>
        </w:rPr>
      </w:pPr>
      <w:r w:rsidRPr="000565AF">
        <w:rPr>
          <w:rFonts w:ascii="Times New Roman" w:hAnsi="Times New Roman"/>
        </w:rPr>
        <w:t>Edman, Irwin. 1939. “Review of George W. Howgate, George Santayana.” </w:t>
      </w:r>
      <w:r w:rsidRPr="000565AF">
        <w:rPr>
          <w:rFonts w:ascii="Times New Roman" w:hAnsi="Times New Roman"/>
          <w:i/>
          <w:iCs/>
        </w:rPr>
        <w:t>The Nation</w:t>
      </w:r>
      <w:r w:rsidRPr="000565AF">
        <w:rPr>
          <w:rFonts w:ascii="Times New Roman" w:hAnsi="Times New Roman"/>
        </w:rPr>
        <w:t>, May 20, 1939.</w:t>
      </w:r>
    </w:p>
    <w:p w14:paraId="00116BBB" w14:textId="77777777" w:rsidR="000565AF" w:rsidRPr="000565AF" w:rsidRDefault="000565AF" w:rsidP="00414409">
      <w:pPr>
        <w:widowControl w:val="0"/>
        <w:tabs>
          <w:tab w:val="left" w:pos="720"/>
          <w:tab w:val="left" w:pos="2160"/>
          <w:tab w:val="left" w:pos="2880"/>
        </w:tabs>
        <w:autoSpaceDE w:val="0"/>
        <w:autoSpaceDN w:val="0"/>
        <w:adjustRightInd w:val="0"/>
        <w:spacing w:line="360" w:lineRule="auto"/>
        <w:ind w:left="634" w:hanging="634"/>
        <w:rPr>
          <w:rFonts w:ascii="Times New Roman" w:hAnsi="Times New Roman"/>
        </w:rPr>
      </w:pPr>
      <w:r w:rsidRPr="000565AF">
        <w:rPr>
          <w:rFonts w:ascii="Times New Roman" w:hAnsi="Times New Roman"/>
        </w:rPr>
        <w:t>Epstein, Joseph. 1989. “George Santayana and the Consolations of Philosophy.” In </w:t>
      </w:r>
      <w:r w:rsidRPr="000565AF">
        <w:rPr>
          <w:rFonts w:ascii="Times New Roman" w:hAnsi="Times New Roman"/>
          <w:i/>
          <w:iCs/>
        </w:rPr>
        <w:t>Parial Payments</w:t>
      </w:r>
      <w:r w:rsidRPr="000565AF">
        <w:rPr>
          <w:rFonts w:ascii="Times New Roman" w:hAnsi="Times New Roman"/>
        </w:rPr>
        <w:t>, 320–45. New York and London: W. W. Norton &amp; Company.</w:t>
      </w:r>
    </w:p>
    <w:p w14:paraId="375E9530" w14:textId="77777777" w:rsidR="000565AF" w:rsidRPr="000565AF" w:rsidRDefault="000565AF" w:rsidP="00414409">
      <w:pPr>
        <w:widowControl w:val="0"/>
        <w:tabs>
          <w:tab w:val="left" w:pos="720"/>
          <w:tab w:val="left" w:pos="2160"/>
          <w:tab w:val="left" w:pos="2880"/>
        </w:tabs>
        <w:autoSpaceDE w:val="0"/>
        <w:autoSpaceDN w:val="0"/>
        <w:adjustRightInd w:val="0"/>
        <w:spacing w:line="360" w:lineRule="auto"/>
        <w:ind w:left="634" w:hanging="634"/>
        <w:rPr>
          <w:rFonts w:ascii="Times New Roman" w:hAnsi="Times New Roman"/>
        </w:rPr>
      </w:pPr>
      <w:r w:rsidRPr="000565AF">
        <w:rPr>
          <w:rFonts w:ascii="Times New Roman" w:hAnsi="Times New Roman"/>
        </w:rPr>
        <w:t>Etzioni, Amitai. 1996. “The Responsive Community: A Communitarian Perspective.” </w:t>
      </w:r>
      <w:r w:rsidRPr="000565AF">
        <w:rPr>
          <w:rFonts w:ascii="Times New Roman" w:hAnsi="Times New Roman"/>
          <w:i/>
          <w:iCs/>
        </w:rPr>
        <w:t>American Sociological Review</w:t>
      </w:r>
      <w:r w:rsidRPr="000565AF">
        <w:rPr>
          <w:rFonts w:ascii="Times New Roman" w:hAnsi="Times New Roman"/>
        </w:rPr>
        <w:t> 61 (1): 1–11.</w:t>
      </w:r>
    </w:p>
    <w:p w14:paraId="428E36E0" w14:textId="77777777" w:rsidR="000565AF" w:rsidRPr="000565AF" w:rsidRDefault="000565AF" w:rsidP="00414409">
      <w:pPr>
        <w:widowControl w:val="0"/>
        <w:tabs>
          <w:tab w:val="left" w:pos="720"/>
          <w:tab w:val="left" w:pos="2160"/>
          <w:tab w:val="left" w:pos="2880"/>
        </w:tabs>
        <w:autoSpaceDE w:val="0"/>
        <w:autoSpaceDN w:val="0"/>
        <w:adjustRightInd w:val="0"/>
        <w:spacing w:line="360" w:lineRule="auto"/>
        <w:ind w:left="634" w:hanging="634"/>
        <w:rPr>
          <w:rFonts w:ascii="Times New Roman" w:hAnsi="Times New Roman"/>
        </w:rPr>
      </w:pPr>
      <w:r w:rsidRPr="000565AF">
        <w:rPr>
          <w:rFonts w:ascii="Times New Roman" w:hAnsi="Times New Roman"/>
        </w:rPr>
        <w:t>Hook, Sidney. 1940. “Despair on Mt. Olympus.” </w:t>
      </w:r>
      <w:r w:rsidRPr="000565AF">
        <w:rPr>
          <w:rFonts w:ascii="Times New Roman" w:hAnsi="Times New Roman"/>
          <w:i/>
          <w:iCs/>
        </w:rPr>
        <w:t>The Nation</w:t>
      </w:r>
      <w:r w:rsidRPr="000565AF">
        <w:rPr>
          <w:rFonts w:ascii="Times New Roman" w:hAnsi="Times New Roman"/>
        </w:rPr>
        <w:t>, November 2, 1940.</w:t>
      </w:r>
    </w:p>
    <w:p w14:paraId="64DC1A4C" w14:textId="77777777" w:rsidR="000565AF" w:rsidRPr="000565AF" w:rsidRDefault="000565AF" w:rsidP="00414409">
      <w:pPr>
        <w:widowControl w:val="0"/>
        <w:tabs>
          <w:tab w:val="left" w:pos="720"/>
          <w:tab w:val="left" w:pos="2160"/>
          <w:tab w:val="left" w:pos="2880"/>
        </w:tabs>
        <w:autoSpaceDE w:val="0"/>
        <w:autoSpaceDN w:val="0"/>
        <w:adjustRightInd w:val="0"/>
        <w:spacing w:line="360" w:lineRule="auto"/>
        <w:ind w:left="634" w:hanging="634"/>
        <w:rPr>
          <w:rFonts w:ascii="Times New Roman" w:hAnsi="Times New Roman"/>
        </w:rPr>
      </w:pPr>
      <w:r w:rsidRPr="000565AF">
        <w:rPr>
          <w:rFonts w:ascii="Times New Roman" w:hAnsi="Times New Roman"/>
        </w:rPr>
        <w:t>Jessup, John K. 1974. “Dewey’s Bulldog on His Own.” </w:t>
      </w:r>
      <w:r w:rsidRPr="000565AF">
        <w:rPr>
          <w:rFonts w:ascii="Times New Roman" w:hAnsi="Times New Roman"/>
          <w:i/>
          <w:iCs/>
        </w:rPr>
        <w:t>Change</w:t>
      </w:r>
      <w:r w:rsidRPr="000565AF">
        <w:rPr>
          <w:rFonts w:ascii="Times New Roman" w:hAnsi="Times New Roman"/>
        </w:rPr>
        <w:t> 6 (3): 58–60.</w:t>
      </w:r>
    </w:p>
    <w:p w14:paraId="6AE9B72A" w14:textId="4785D55D" w:rsidR="000565AF" w:rsidRPr="000565AF" w:rsidRDefault="000565AF" w:rsidP="00414409">
      <w:pPr>
        <w:widowControl w:val="0"/>
        <w:tabs>
          <w:tab w:val="left" w:pos="720"/>
          <w:tab w:val="left" w:pos="2160"/>
          <w:tab w:val="left" w:pos="2880"/>
        </w:tabs>
        <w:autoSpaceDE w:val="0"/>
        <w:autoSpaceDN w:val="0"/>
        <w:adjustRightInd w:val="0"/>
        <w:spacing w:line="360" w:lineRule="auto"/>
        <w:ind w:left="634" w:hanging="634"/>
        <w:rPr>
          <w:rFonts w:ascii="Times New Roman" w:hAnsi="Times New Roman"/>
        </w:rPr>
      </w:pPr>
      <w:r w:rsidRPr="000565AF">
        <w:rPr>
          <w:rFonts w:ascii="Times New Roman" w:hAnsi="Times New Roman"/>
        </w:rPr>
        <w:t xml:space="preserve">Knox, Israel. 1958. “Review of George </w:t>
      </w:r>
      <w:r w:rsidR="003672AF" w:rsidRPr="000565AF">
        <w:rPr>
          <w:rFonts w:ascii="Times New Roman" w:hAnsi="Times New Roman"/>
        </w:rPr>
        <w:t>Santayana</w:t>
      </w:r>
      <w:r w:rsidRPr="000565AF">
        <w:rPr>
          <w:rFonts w:ascii="Times New Roman" w:hAnsi="Times New Roman"/>
        </w:rPr>
        <w:t>, The Winds of Doctrine and Platonism and the Spiritual Life.” Edited by George Santayana. </w:t>
      </w:r>
      <w:r w:rsidRPr="000565AF">
        <w:rPr>
          <w:rFonts w:ascii="Times New Roman" w:hAnsi="Times New Roman"/>
          <w:i/>
          <w:iCs/>
        </w:rPr>
        <w:t>Journal of Bible and Religion</w:t>
      </w:r>
      <w:r w:rsidRPr="000565AF">
        <w:rPr>
          <w:rFonts w:ascii="Times New Roman" w:hAnsi="Times New Roman"/>
        </w:rPr>
        <w:t> 26 (1): 83–84.</w:t>
      </w:r>
    </w:p>
    <w:p w14:paraId="2324B321" w14:textId="77777777" w:rsidR="000565AF" w:rsidRPr="000565AF" w:rsidRDefault="000565AF" w:rsidP="00414409">
      <w:pPr>
        <w:widowControl w:val="0"/>
        <w:tabs>
          <w:tab w:val="left" w:pos="720"/>
          <w:tab w:val="left" w:pos="2160"/>
          <w:tab w:val="left" w:pos="2880"/>
        </w:tabs>
        <w:autoSpaceDE w:val="0"/>
        <w:autoSpaceDN w:val="0"/>
        <w:adjustRightInd w:val="0"/>
        <w:spacing w:line="360" w:lineRule="auto"/>
        <w:ind w:left="634" w:hanging="634"/>
        <w:rPr>
          <w:rFonts w:ascii="Times New Roman" w:hAnsi="Times New Roman"/>
        </w:rPr>
      </w:pPr>
      <w:r w:rsidRPr="000565AF">
        <w:rPr>
          <w:rFonts w:ascii="Times New Roman" w:hAnsi="Times New Roman"/>
        </w:rPr>
        <w:t>Lamont, Corliss. 1959. </w:t>
      </w:r>
      <w:r w:rsidRPr="000565AF">
        <w:rPr>
          <w:rFonts w:ascii="Times New Roman" w:hAnsi="Times New Roman"/>
          <w:i/>
          <w:iCs/>
        </w:rPr>
        <w:t>Dialogue on George Santayana</w:t>
      </w:r>
      <w:r w:rsidRPr="000565AF">
        <w:rPr>
          <w:rFonts w:ascii="Times New Roman" w:hAnsi="Times New Roman"/>
        </w:rPr>
        <w:t>. New York: Horizon Press.</w:t>
      </w:r>
    </w:p>
    <w:p w14:paraId="51F8CFFB" w14:textId="77777777" w:rsidR="000565AF" w:rsidRPr="00414409" w:rsidRDefault="000565AF" w:rsidP="00414409">
      <w:pPr>
        <w:widowControl w:val="0"/>
        <w:tabs>
          <w:tab w:val="left" w:pos="720"/>
          <w:tab w:val="left" w:pos="2160"/>
          <w:tab w:val="left" w:pos="2880"/>
        </w:tabs>
        <w:autoSpaceDE w:val="0"/>
        <w:autoSpaceDN w:val="0"/>
        <w:adjustRightInd w:val="0"/>
        <w:spacing w:line="360" w:lineRule="auto"/>
        <w:ind w:left="634" w:hanging="634"/>
        <w:rPr>
          <w:rFonts w:ascii="Times New Roman" w:hAnsi="Times New Roman"/>
        </w:rPr>
      </w:pPr>
      <w:r w:rsidRPr="000565AF">
        <w:rPr>
          <w:rFonts w:ascii="Times New Roman" w:hAnsi="Times New Roman"/>
        </w:rPr>
        <w:t>Mayeroff, Milton. 1971. </w:t>
      </w:r>
      <w:r w:rsidRPr="000565AF">
        <w:rPr>
          <w:rFonts w:ascii="Times New Roman" w:hAnsi="Times New Roman"/>
          <w:i/>
          <w:iCs/>
        </w:rPr>
        <w:t>On Caring</w:t>
      </w:r>
      <w:r w:rsidRPr="000565AF">
        <w:rPr>
          <w:rFonts w:ascii="Times New Roman" w:hAnsi="Times New Roman"/>
        </w:rPr>
        <w:t>. New York: Harper &amp; Row, Publishers.</w:t>
      </w:r>
    </w:p>
    <w:p w14:paraId="19DD0C56" w14:textId="417BAA24" w:rsidR="00A00202" w:rsidRPr="000565AF" w:rsidRDefault="00A00202" w:rsidP="00414409">
      <w:pPr>
        <w:widowControl w:val="0"/>
        <w:tabs>
          <w:tab w:val="left" w:pos="720"/>
          <w:tab w:val="left" w:pos="2160"/>
          <w:tab w:val="left" w:pos="2880"/>
        </w:tabs>
        <w:autoSpaceDE w:val="0"/>
        <w:autoSpaceDN w:val="0"/>
        <w:adjustRightInd w:val="0"/>
        <w:spacing w:line="360" w:lineRule="auto"/>
        <w:ind w:left="634" w:hanging="634"/>
        <w:rPr>
          <w:rFonts w:ascii="Times New Roman" w:hAnsi="Times New Roman"/>
        </w:rPr>
      </w:pPr>
      <w:r w:rsidRPr="00414409">
        <w:rPr>
          <w:rFonts w:ascii="Times New Roman" w:hAnsi="Times New Roman"/>
        </w:rPr>
        <w:t>McCormick, John. 1987. </w:t>
      </w:r>
      <w:r w:rsidRPr="00414409">
        <w:rPr>
          <w:rFonts w:ascii="Times New Roman" w:hAnsi="Times New Roman"/>
          <w:i/>
          <w:iCs/>
        </w:rPr>
        <w:t>George Santayana: A Biography</w:t>
      </w:r>
      <w:r w:rsidRPr="00414409">
        <w:rPr>
          <w:rFonts w:ascii="Times New Roman" w:hAnsi="Times New Roman"/>
        </w:rPr>
        <w:t>. New York: Paragon House.</w:t>
      </w:r>
    </w:p>
    <w:p w14:paraId="514FA59A" w14:textId="77777777" w:rsidR="000565AF" w:rsidRPr="000565AF" w:rsidRDefault="000565AF" w:rsidP="00414409">
      <w:pPr>
        <w:widowControl w:val="0"/>
        <w:tabs>
          <w:tab w:val="left" w:pos="720"/>
          <w:tab w:val="left" w:pos="2160"/>
          <w:tab w:val="left" w:pos="2880"/>
        </w:tabs>
        <w:autoSpaceDE w:val="0"/>
        <w:autoSpaceDN w:val="0"/>
        <w:adjustRightInd w:val="0"/>
        <w:spacing w:line="360" w:lineRule="auto"/>
        <w:ind w:left="634" w:hanging="634"/>
        <w:rPr>
          <w:rFonts w:ascii="Times New Roman" w:hAnsi="Times New Roman"/>
        </w:rPr>
      </w:pPr>
      <w:r w:rsidRPr="000565AF">
        <w:rPr>
          <w:rFonts w:ascii="Times New Roman" w:hAnsi="Times New Roman"/>
        </w:rPr>
        <w:t>Rubin, Richard M. 2014. “Santayana’s Way of Life and Ours.” </w:t>
      </w:r>
      <w:r w:rsidRPr="000565AF">
        <w:rPr>
          <w:rFonts w:ascii="Times New Roman" w:hAnsi="Times New Roman"/>
          <w:i/>
          <w:iCs/>
        </w:rPr>
        <w:t>Overheard in Seville: Bulletin of the Santayana Society</w:t>
      </w:r>
      <w:r w:rsidRPr="000565AF">
        <w:rPr>
          <w:rFonts w:ascii="Times New Roman" w:hAnsi="Times New Roman"/>
        </w:rPr>
        <w:t>, no. 32 (Fall), 52–56.</w:t>
      </w:r>
    </w:p>
    <w:p w14:paraId="7790E17B" w14:textId="77777777" w:rsidR="000565AF" w:rsidRPr="000565AF" w:rsidRDefault="000565AF" w:rsidP="00414409">
      <w:pPr>
        <w:widowControl w:val="0"/>
        <w:tabs>
          <w:tab w:val="left" w:pos="720"/>
          <w:tab w:val="left" w:pos="2160"/>
          <w:tab w:val="left" w:pos="2880"/>
        </w:tabs>
        <w:autoSpaceDE w:val="0"/>
        <w:autoSpaceDN w:val="0"/>
        <w:adjustRightInd w:val="0"/>
        <w:spacing w:line="360" w:lineRule="auto"/>
        <w:ind w:left="634" w:hanging="634"/>
        <w:rPr>
          <w:rFonts w:ascii="Times New Roman" w:hAnsi="Times New Roman"/>
        </w:rPr>
      </w:pPr>
      <w:r w:rsidRPr="000565AF">
        <w:rPr>
          <w:rFonts w:ascii="Times New Roman" w:hAnsi="Times New Roman"/>
        </w:rPr>
        <w:t>Saatkamp Jr, Herman J. 2018. “Santayana in 1893: The Metanoia.” </w:t>
      </w:r>
      <w:r w:rsidRPr="000565AF">
        <w:rPr>
          <w:rFonts w:ascii="Times New Roman" w:hAnsi="Times New Roman"/>
          <w:i/>
          <w:iCs/>
        </w:rPr>
        <w:t>Overheard in Seville: Bulletin of the Santayana Society</w:t>
      </w:r>
      <w:r w:rsidRPr="000565AF">
        <w:rPr>
          <w:rFonts w:ascii="Times New Roman" w:hAnsi="Times New Roman"/>
        </w:rPr>
        <w:t>, no. 36 (Fall), 4–5.</w:t>
      </w:r>
    </w:p>
    <w:p w14:paraId="0C27120A" w14:textId="77777777" w:rsidR="000565AF" w:rsidRPr="00414409" w:rsidRDefault="000565AF" w:rsidP="00414409">
      <w:pPr>
        <w:widowControl w:val="0"/>
        <w:tabs>
          <w:tab w:val="left" w:pos="720"/>
          <w:tab w:val="left" w:pos="2160"/>
          <w:tab w:val="left" w:pos="2880"/>
        </w:tabs>
        <w:autoSpaceDE w:val="0"/>
        <w:autoSpaceDN w:val="0"/>
        <w:adjustRightInd w:val="0"/>
        <w:spacing w:line="360" w:lineRule="auto"/>
        <w:ind w:left="634" w:hanging="634"/>
        <w:rPr>
          <w:rFonts w:ascii="Times New Roman" w:hAnsi="Times New Roman"/>
        </w:rPr>
      </w:pPr>
      <w:r w:rsidRPr="000565AF">
        <w:rPr>
          <w:rFonts w:ascii="Times New Roman" w:hAnsi="Times New Roman"/>
        </w:rPr>
        <w:t>———. 2021. </w:t>
      </w:r>
      <w:r w:rsidRPr="000565AF">
        <w:rPr>
          <w:rFonts w:ascii="Times New Roman" w:hAnsi="Times New Roman"/>
          <w:i/>
          <w:iCs/>
        </w:rPr>
        <w:t>A Life of Scholarship with Santayana: Essays and Reflections</w:t>
      </w:r>
      <w:r w:rsidRPr="000565AF">
        <w:rPr>
          <w:rFonts w:ascii="Times New Roman" w:hAnsi="Times New Roman"/>
        </w:rPr>
        <w:t>. Edited by Charles Padron and Krzysztof Piotr Skowronski. Leiden; Boston: Brill Rodopi.</w:t>
      </w:r>
    </w:p>
    <w:p w14:paraId="11B3905B" w14:textId="39679442" w:rsidR="00E807E1" w:rsidRPr="000565AF" w:rsidRDefault="00E807E1" w:rsidP="00414409">
      <w:pPr>
        <w:widowControl w:val="0"/>
        <w:tabs>
          <w:tab w:val="left" w:pos="720"/>
          <w:tab w:val="left" w:pos="2160"/>
          <w:tab w:val="left" w:pos="2880"/>
        </w:tabs>
        <w:autoSpaceDE w:val="0"/>
        <w:autoSpaceDN w:val="0"/>
        <w:adjustRightInd w:val="0"/>
        <w:spacing w:line="360" w:lineRule="auto"/>
        <w:ind w:left="634" w:hanging="634"/>
        <w:rPr>
          <w:rFonts w:ascii="Times New Roman" w:hAnsi="Times New Roman"/>
          <w:b/>
          <w:bCs/>
          <w:color w:val="C00000"/>
        </w:rPr>
      </w:pPr>
      <w:r w:rsidRPr="00414409">
        <w:rPr>
          <w:rFonts w:ascii="Times New Roman" w:hAnsi="Times New Roman"/>
        </w:rPr>
        <w:t xml:space="preserve">Seiple, D. </w:t>
      </w:r>
      <w:r w:rsidR="00B55CE0" w:rsidRPr="00414409">
        <w:rPr>
          <w:rFonts w:ascii="Times New Roman" w:hAnsi="Times New Roman"/>
        </w:rPr>
        <w:t xml:space="preserve">2024? </w:t>
      </w:r>
      <w:r w:rsidR="00FD426A" w:rsidRPr="00414409">
        <w:rPr>
          <w:rFonts w:ascii="Times New Roman" w:hAnsi="Times New Roman"/>
        </w:rPr>
        <w:t xml:space="preserve">“Some Thoughts on Santayana at Harvard.” </w:t>
      </w:r>
      <w:r w:rsidR="00414409" w:rsidRPr="003A257F">
        <w:rPr>
          <w:rFonts w:ascii="Times New Roman" w:hAnsi="Times New Roman"/>
          <w:b/>
          <w:bCs/>
          <w:color w:val="C00000"/>
        </w:rPr>
        <w:t>This Bulletin</w:t>
      </w:r>
    </w:p>
    <w:p w14:paraId="51EBC1E7" w14:textId="77777777" w:rsidR="000565AF" w:rsidRPr="000565AF" w:rsidRDefault="000565AF" w:rsidP="00414409">
      <w:pPr>
        <w:widowControl w:val="0"/>
        <w:tabs>
          <w:tab w:val="left" w:pos="720"/>
          <w:tab w:val="left" w:pos="2160"/>
          <w:tab w:val="left" w:pos="2880"/>
        </w:tabs>
        <w:autoSpaceDE w:val="0"/>
        <w:autoSpaceDN w:val="0"/>
        <w:adjustRightInd w:val="0"/>
        <w:spacing w:line="360" w:lineRule="auto"/>
        <w:ind w:left="634" w:hanging="634"/>
        <w:rPr>
          <w:rFonts w:ascii="Times New Roman" w:hAnsi="Times New Roman"/>
        </w:rPr>
      </w:pPr>
      <w:r w:rsidRPr="000565AF">
        <w:rPr>
          <w:rFonts w:ascii="Times New Roman" w:hAnsi="Times New Roman"/>
        </w:rPr>
        <w:t>Schilpp, Paul Arthur, ed. 1940. </w:t>
      </w:r>
      <w:r w:rsidRPr="000565AF">
        <w:rPr>
          <w:rFonts w:ascii="Times New Roman" w:hAnsi="Times New Roman"/>
          <w:i/>
          <w:iCs/>
        </w:rPr>
        <w:t>The Philosophy of George Santayana</w:t>
      </w:r>
      <w:r w:rsidRPr="000565AF">
        <w:rPr>
          <w:rFonts w:ascii="Times New Roman" w:hAnsi="Times New Roman"/>
        </w:rPr>
        <w:t>. First Edition. La Salle, IL: Open Court.</w:t>
      </w:r>
    </w:p>
    <w:p w14:paraId="5C7AA491" w14:textId="77777777" w:rsidR="000565AF" w:rsidRPr="000565AF" w:rsidRDefault="000565AF" w:rsidP="00414409">
      <w:pPr>
        <w:widowControl w:val="0"/>
        <w:tabs>
          <w:tab w:val="left" w:pos="720"/>
          <w:tab w:val="left" w:pos="2160"/>
          <w:tab w:val="left" w:pos="2880"/>
        </w:tabs>
        <w:autoSpaceDE w:val="0"/>
        <w:autoSpaceDN w:val="0"/>
        <w:adjustRightInd w:val="0"/>
        <w:spacing w:line="360" w:lineRule="auto"/>
        <w:ind w:left="634" w:hanging="634"/>
        <w:rPr>
          <w:rFonts w:ascii="Times New Roman" w:hAnsi="Times New Roman"/>
        </w:rPr>
      </w:pPr>
      <w:r w:rsidRPr="000565AF">
        <w:rPr>
          <w:rFonts w:ascii="Times New Roman" w:hAnsi="Times New Roman"/>
        </w:rPr>
        <w:t>Trilling, Lionel. 1956. “‘That Smile of Parmenides Made Me Think.’” In </w:t>
      </w:r>
      <w:r w:rsidRPr="000565AF">
        <w:rPr>
          <w:rFonts w:ascii="Times New Roman" w:hAnsi="Times New Roman"/>
          <w:i/>
          <w:iCs/>
        </w:rPr>
        <w:t>A Gathering of Fugitives</w:t>
      </w:r>
      <w:r w:rsidRPr="000565AF">
        <w:rPr>
          <w:rFonts w:ascii="Times New Roman" w:hAnsi="Times New Roman"/>
        </w:rPr>
        <w:t>, 153–67. Boston: Beacon Press.</w:t>
      </w:r>
    </w:p>
    <w:p w14:paraId="11213BD3" w14:textId="1228421B" w:rsidR="000565AF" w:rsidRPr="00956682" w:rsidRDefault="000565AF" w:rsidP="00414409">
      <w:pPr>
        <w:widowControl w:val="0"/>
        <w:tabs>
          <w:tab w:val="left" w:pos="720"/>
          <w:tab w:val="left" w:pos="2160"/>
          <w:tab w:val="left" w:pos="2880"/>
        </w:tabs>
        <w:autoSpaceDE w:val="0"/>
        <w:autoSpaceDN w:val="0"/>
        <w:adjustRightInd w:val="0"/>
        <w:spacing w:line="360" w:lineRule="auto"/>
        <w:ind w:left="634" w:hanging="634"/>
        <w:rPr>
          <w:rFonts w:ascii="Times New Roman" w:hAnsi="Times New Roman"/>
          <w:color w:val="851438"/>
          <w:sz w:val="20"/>
          <w:szCs w:val="20"/>
        </w:rPr>
      </w:pPr>
      <w:r w:rsidRPr="000565AF">
        <w:rPr>
          <w:rFonts w:ascii="Times New Roman" w:hAnsi="Times New Roman"/>
        </w:rPr>
        <w:t>Vivas, Eliseo. 1940. “Critique of Santayana.” </w:t>
      </w:r>
      <w:r w:rsidRPr="000565AF">
        <w:rPr>
          <w:rFonts w:ascii="Times New Roman" w:hAnsi="Times New Roman"/>
          <w:i/>
          <w:iCs/>
        </w:rPr>
        <w:t>The Nation</w:t>
      </w:r>
      <w:r w:rsidRPr="000565AF">
        <w:rPr>
          <w:rFonts w:ascii="Times New Roman" w:hAnsi="Times New Roman"/>
        </w:rPr>
        <w:t>, July 13, 1940.</w:t>
      </w:r>
    </w:p>
    <w:sectPr w:rsidR="000565AF" w:rsidRPr="00956682" w:rsidSect="00CC42E1">
      <w:headerReference w:type="default" r:id="rId7"/>
      <w:footerReference w:type="default" r:id="rId8"/>
      <w:endnotePr>
        <w:numFmt w:val="decimal"/>
      </w:endnotePr>
      <w:pgSz w:w="12240" w:h="15840"/>
      <w:pgMar w:top="900" w:right="810" w:bottom="540"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E170B" w14:textId="77777777" w:rsidR="00AA00A5" w:rsidRDefault="00AA00A5">
      <w:r>
        <w:separator/>
      </w:r>
    </w:p>
  </w:endnote>
  <w:endnote w:type="continuationSeparator" w:id="0">
    <w:p w14:paraId="51FD2F56" w14:textId="77777777" w:rsidR="00AA00A5" w:rsidRDefault="00AA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83D3D" w14:textId="77777777" w:rsidR="006D74FB" w:rsidRDefault="006D74FB">
    <w:pPr>
      <w:widowControl w:val="0"/>
      <w:autoSpaceDE w:val="0"/>
      <w:autoSpaceDN w:val="0"/>
      <w:adjustRightInd w:val="0"/>
      <w:rPr>
        <w:rFonts w:ascii="Courier New" w:hAnsi="Courier New" w:cs="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BD0EF" w14:textId="77777777" w:rsidR="00AA00A5" w:rsidRDefault="00AA00A5">
      <w:r>
        <w:separator/>
      </w:r>
    </w:p>
  </w:footnote>
  <w:footnote w:type="continuationSeparator" w:id="0">
    <w:p w14:paraId="7A9D919E" w14:textId="77777777" w:rsidR="00AA00A5" w:rsidRDefault="00AA00A5">
      <w:r>
        <w:continuationSeparator/>
      </w:r>
    </w:p>
  </w:footnote>
  <w:footnote w:id="1">
    <w:p w14:paraId="67369570" w14:textId="3BBBD5E9" w:rsidR="00B15553" w:rsidRPr="00E62CEE" w:rsidRDefault="00B15553" w:rsidP="00E62CEE">
      <w:pPr>
        <w:pStyle w:val="FootnoteText"/>
        <w:rPr>
          <w:rFonts w:ascii="Times New Roman" w:hAnsi="Times New Roman"/>
          <w:sz w:val="18"/>
          <w:szCs w:val="18"/>
        </w:rPr>
      </w:pPr>
      <w:r w:rsidRPr="00E62CEE">
        <w:rPr>
          <w:rStyle w:val="FootnoteReference"/>
          <w:rFonts w:ascii="Times New Roman" w:hAnsi="Times New Roman"/>
          <w:sz w:val="18"/>
          <w:szCs w:val="18"/>
        </w:rPr>
        <w:footnoteRef/>
      </w:r>
      <w:r w:rsidRPr="00E62CEE">
        <w:rPr>
          <w:rFonts w:ascii="Times New Roman" w:hAnsi="Times New Roman"/>
          <w:sz w:val="18"/>
          <w:szCs w:val="18"/>
        </w:rPr>
        <w:t xml:space="preserve"> </w:t>
      </w:r>
      <w:r w:rsidR="00B2799D" w:rsidRPr="00E62CEE">
        <w:rPr>
          <w:rFonts w:ascii="Times New Roman" w:hAnsi="Times New Roman"/>
          <w:sz w:val="18"/>
          <w:szCs w:val="18"/>
        </w:rPr>
        <w:t xml:space="preserve">Presented </w:t>
      </w:r>
      <w:r w:rsidR="00D45FB5">
        <w:rPr>
          <w:rFonts w:ascii="Times New Roman" w:hAnsi="Times New Roman"/>
          <w:sz w:val="18"/>
          <w:szCs w:val="18"/>
        </w:rPr>
        <w:t>at</w:t>
      </w:r>
      <w:r w:rsidR="00B2799D" w:rsidRPr="00E62CEE">
        <w:rPr>
          <w:rFonts w:ascii="Times New Roman" w:hAnsi="Times New Roman"/>
          <w:sz w:val="18"/>
          <w:szCs w:val="18"/>
        </w:rPr>
        <w:t xml:space="preserve"> the World Philosophy Congress (Rome), August 2, 2024. Thanks go to Phillip Beard and Matthew Caleb Flamm for their helpful advance comments.</w:t>
      </w:r>
    </w:p>
  </w:footnote>
  <w:footnote w:id="2">
    <w:p w14:paraId="0B14475E" w14:textId="54DA8FAC" w:rsidR="009A7966" w:rsidRPr="00E62CEE" w:rsidRDefault="009A7966" w:rsidP="00E62CEE">
      <w:pPr>
        <w:widowControl w:val="0"/>
        <w:tabs>
          <w:tab w:val="left" w:pos="1440"/>
          <w:tab w:val="left" w:pos="2160"/>
          <w:tab w:val="left" w:pos="2880"/>
        </w:tabs>
        <w:autoSpaceDE w:val="0"/>
        <w:autoSpaceDN w:val="0"/>
        <w:adjustRightInd w:val="0"/>
        <w:rPr>
          <w:rFonts w:ascii="Times New Roman" w:hAnsi="Times New Roman"/>
          <w:sz w:val="18"/>
          <w:szCs w:val="18"/>
        </w:rPr>
      </w:pPr>
      <w:r w:rsidRPr="00E62CEE">
        <w:rPr>
          <w:rFonts w:ascii="Times New Roman" w:hAnsi="Times New Roman"/>
          <w:sz w:val="18"/>
          <w:szCs w:val="18"/>
          <w:vertAlign w:val="superscript"/>
        </w:rPr>
        <w:footnoteRef/>
      </w:r>
      <w:r w:rsidRPr="00E62CEE">
        <w:rPr>
          <w:rFonts w:ascii="Times New Roman" w:hAnsi="Times New Roman"/>
          <w:sz w:val="18"/>
          <w:szCs w:val="18"/>
        </w:rPr>
        <w:t xml:space="preserve"> </w:t>
      </w:r>
      <w:r w:rsidR="00424C6E" w:rsidRPr="00E62CEE">
        <w:rPr>
          <w:rFonts w:ascii="Times New Roman" w:hAnsi="Times New Roman"/>
          <w:sz w:val="18"/>
          <w:szCs w:val="18"/>
        </w:rPr>
        <w:t xml:space="preserve">And indeed, by the late 1930’s critics like Irwin Edman were certainly pouncing on “certain glaring inconsistencies” between the early and the later work (Edman, 1939, 592). </w:t>
      </w:r>
      <w:r w:rsidR="00CB6009" w:rsidRPr="00E62CEE">
        <w:rPr>
          <w:rFonts w:ascii="Times New Roman" w:hAnsi="Times New Roman"/>
          <w:sz w:val="18"/>
          <w:szCs w:val="18"/>
        </w:rPr>
        <w:t>Twenty years later, one</w:t>
      </w:r>
      <w:r w:rsidRPr="00E62CEE">
        <w:rPr>
          <w:rFonts w:ascii="Times New Roman" w:hAnsi="Times New Roman"/>
          <w:sz w:val="18"/>
          <w:szCs w:val="18"/>
        </w:rPr>
        <w:t xml:space="preserve"> review of a reissued volume of Santayana succinctly characterized this: “Formerly Santayana had extolled intelligence as the art of  giving form and discipline to natural impulse. Here [in his later work] all human pursuits are dismissed from the realm of spirituality as limited and transitory” (Knox,1958, 84).</w:t>
      </w:r>
    </w:p>
  </w:footnote>
  <w:footnote w:id="3">
    <w:p w14:paraId="10983D40" w14:textId="77777777" w:rsidR="00201141" w:rsidRPr="00E62CEE" w:rsidRDefault="00201141" w:rsidP="00E62CEE">
      <w:pPr>
        <w:widowControl w:val="0"/>
        <w:tabs>
          <w:tab w:val="left" w:pos="1440"/>
          <w:tab w:val="left" w:pos="2160"/>
          <w:tab w:val="left" w:pos="2880"/>
        </w:tabs>
        <w:autoSpaceDE w:val="0"/>
        <w:autoSpaceDN w:val="0"/>
        <w:adjustRightInd w:val="0"/>
        <w:rPr>
          <w:rFonts w:ascii="Times New Roman" w:hAnsi="Times New Roman"/>
          <w:sz w:val="18"/>
          <w:szCs w:val="18"/>
        </w:rPr>
      </w:pPr>
      <w:r w:rsidRPr="00E62CEE">
        <w:rPr>
          <w:rFonts w:ascii="Times New Roman" w:hAnsi="Times New Roman"/>
          <w:sz w:val="18"/>
          <w:szCs w:val="18"/>
          <w:vertAlign w:val="superscript"/>
        </w:rPr>
        <w:footnoteRef/>
      </w:r>
      <w:r w:rsidRPr="00E62CEE">
        <w:rPr>
          <w:rFonts w:ascii="Times New Roman" w:hAnsi="Times New Roman"/>
          <w:sz w:val="18"/>
          <w:szCs w:val="18"/>
        </w:rPr>
        <w:t xml:space="preserve"> There can be little doubt of this in the case of Eliseo Vivas, who wrote in </w:t>
      </w:r>
      <w:r w:rsidRPr="00E62CEE">
        <w:rPr>
          <w:rFonts w:ascii="Times New Roman" w:hAnsi="Times New Roman"/>
          <w:i/>
          <w:sz w:val="18"/>
          <w:szCs w:val="18"/>
        </w:rPr>
        <w:t>The Nation</w:t>
      </w:r>
      <w:r w:rsidRPr="00E62CEE">
        <w:rPr>
          <w:rFonts w:ascii="Times New Roman" w:hAnsi="Times New Roman"/>
          <w:sz w:val="18"/>
          <w:szCs w:val="18"/>
        </w:rPr>
        <w:t xml:space="preserve"> that “the task of analyzing ‘The Realms of Being’ would be as unrewarding as it would be unpleasant. And yet it would be important to know in precisely what way the rhetorical effusions and the hyperborean posturings of the later period are prefigured in the earlier” (Vivas 1940, 37). However, notice the much kindlier tone toward the beginning of his essay in the Schilpp volume (Schlipp 1940, 316).</w:t>
      </w:r>
    </w:p>
  </w:footnote>
  <w:footnote w:id="4">
    <w:p w14:paraId="10983D41" w14:textId="77777777" w:rsidR="00201141" w:rsidRPr="00E62CEE" w:rsidRDefault="00201141" w:rsidP="00E62CEE">
      <w:pPr>
        <w:widowControl w:val="0"/>
        <w:tabs>
          <w:tab w:val="left" w:pos="1440"/>
          <w:tab w:val="left" w:pos="2160"/>
          <w:tab w:val="left" w:pos="2880"/>
        </w:tabs>
        <w:autoSpaceDE w:val="0"/>
        <w:autoSpaceDN w:val="0"/>
        <w:adjustRightInd w:val="0"/>
        <w:rPr>
          <w:rFonts w:ascii="Times New Roman" w:hAnsi="Times New Roman"/>
          <w:sz w:val="18"/>
          <w:szCs w:val="18"/>
        </w:rPr>
      </w:pPr>
      <w:r w:rsidRPr="00E62CEE">
        <w:rPr>
          <w:rFonts w:ascii="Times New Roman" w:hAnsi="Times New Roman"/>
          <w:sz w:val="18"/>
          <w:szCs w:val="18"/>
          <w:vertAlign w:val="superscript"/>
        </w:rPr>
        <w:footnoteRef/>
      </w:r>
      <w:r w:rsidRPr="00E62CEE">
        <w:rPr>
          <w:rFonts w:ascii="Times New Roman" w:hAnsi="Times New Roman"/>
          <w:sz w:val="18"/>
          <w:szCs w:val="18"/>
        </w:rPr>
        <w:t xml:space="preserve"> Biographer John McCormick promotes such an assessment, that “</w:t>
      </w:r>
      <w:r w:rsidRPr="00E62CEE">
        <w:rPr>
          <w:rFonts w:ascii="Times New Roman" w:hAnsi="Times New Roman"/>
          <w:i/>
          <w:sz w:val="18"/>
          <w:szCs w:val="18"/>
        </w:rPr>
        <w:t>Scepticism and Animal Faith</w:t>
      </w:r>
      <w:r w:rsidRPr="00E62CEE">
        <w:rPr>
          <w:rFonts w:ascii="Times New Roman" w:hAnsi="Times New Roman"/>
          <w:sz w:val="18"/>
          <w:szCs w:val="18"/>
        </w:rPr>
        <w:t xml:space="preserve"> is packed with good things. It completes and fulfills </w:t>
      </w:r>
      <w:r w:rsidRPr="00E62CEE">
        <w:rPr>
          <w:rFonts w:ascii="Times New Roman" w:hAnsi="Times New Roman"/>
          <w:i/>
          <w:sz w:val="18"/>
          <w:szCs w:val="18"/>
        </w:rPr>
        <w:t>The Life of Reason</w:t>
      </w:r>
      <w:r w:rsidRPr="00E62CEE">
        <w:rPr>
          <w:rFonts w:ascii="Times New Roman" w:hAnsi="Times New Roman"/>
          <w:sz w:val="18"/>
          <w:szCs w:val="18"/>
        </w:rPr>
        <w:t xml:space="preserve"> and advances from it”</w:t>
      </w:r>
      <w:r w:rsidRPr="00E62CEE">
        <w:rPr>
          <w:rFonts w:ascii="Times New Roman" w:hAnsi="Times New Roman"/>
          <w:color w:val="AA1FEA"/>
          <w:sz w:val="18"/>
          <w:szCs w:val="18"/>
        </w:rPr>
        <w:t xml:space="preserve"> </w:t>
      </w:r>
      <w:r w:rsidRPr="00E62CEE">
        <w:rPr>
          <w:rFonts w:ascii="Times New Roman" w:hAnsi="Times New Roman"/>
          <w:color w:val="000000"/>
          <w:sz w:val="18"/>
          <w:szCs w:val="18"/>
        </w:rPr>
        <w:t>and also “summarize</w:t>
      </w:r>
      <w:r w:rsidRPr="00E62CEE">
        <w:rPr>
          <w:rFonts w:ascii="Times New Roman" w:hAnsi="Times New Roman"/>
          <w:sz w:val="18"/>
          <w:szCs w:val="18"/>
        </w:rPr>
        <w:t xml:space="preserve">s the philosophical work to come” (1987, 262). To this same end Herman Saatkamp cites Santayana’s own words from </w:t>
      </w:r>
      <w:r w:rsidRPr="00E62CEE">
        <w:rPr>
          <w:rFonts w:ascii="Times New Roman" w:hAnsi="Times New Roman"/>
          <w:i/>
          <w:sz w:val="18"/>
          <w:szCs w:val="18"/>
        </w:rPr>
        <w:t xml:space="preserve">Persons and Places </w:t>
      </w:r>
      <w:r w:rsidRPr="00E62CEE">
        <w:rPr>
          <w:rFonts w:ascii="Times New Roman" w:hAnsi="Times New Roman"/>
          <w:sz w:val="18"/>
          <w:szCs w:val="18"/>
        </w:rPr>
        <w:t>(Saatkamp, 2021, 66).</w:t>
      </w:r>
    </w:p>
  </w:footnote>
  <w:footnote w:id="5">
    <w:p w14:paraId="10983D42" w14:textId="540CF205" w:rsidR="00201141" w:rsidRPr="00E62CEE" w:rsidRDefault="00201141" w:rsidP="00E62CEE">
      <w:pPr>
        <w:widowControl w:val="0"/>
        <w:tabs>
          <w:tab w:val="left" w:pos="1440"/>
          <w:tab w:val="left" w:pos="2160"/>
          <w:tab w:val="left" w:pos="2880"/>
        </w:tabs>
        <w:autoSpaceDE w:val="0"/>
        <w:autoSpaceDN w:val="0"/>
        <w:adjustRightInd w:val="0"/>
        <w:rPr>
          <w:rFonts w:ascii="Times New Roman" w:hAnsi="Times New Roman"/>
          <w:sz w:val="18"/>
          <w:szCs w:val="18"/>
        </w:rPr>
      </w:pPr>
      <w:r w:rsidRPr="00E62CEE">
        <w:rPr>
          <w:rFonts w:ascii="Times New Roman" w:hAnsi="Times New Roman"/>
          <w:sz w:val="18"/>
          <w:szCs w:val="18"/>
          <w:vertAlign w:val="superscript"/>
        </w:rPr>
        <w:footnoteRef/>
      </w:r>
      <w:r w:rsidRPr="00E62CEE">
        <w:rPr>
          <w:rFonts w:ascii="Times New Roman" w:hAnsi="Times New Roman"/>
          <w:sz w:val="18"/>
          <w:szCs w:val="18"/>
        </w:rPr>
        <w:t xml:space="preserve"> </w:t>
      </w:r>
      <w:r w:rsidR="00A35286" w:rsidRPr="00E62CEE">
        <w:rPr>
          <w:rFonts w:ascii="Times New Roman" w:hAnsi="Times New Roman"/>
          <w:sz w:val="18"/>
          <w:szCs w:val="18"/>
        </w:rPr>
        <w:t>In this autobiography Santayana himself insisted that “my philosophy has never changed” (PP 167). So is this declaration sufficient? Perhaps. There he did give a story that traces continuity. Still, we might well wonder how accurate his autobiography really is.</w:t>
      </w:r>
      <w:r w:rsidR="00970F8D" w:rsidRPr="00E62CEE">
        <w:rPr>
          <w:rFonts w:ascii="Times New Roman" w:hAnsi="Times New Roman"/>
          <w:sz w:val="18"/>
          <w:szCs w:val="18"/>
        </w:rPr>
        <w:t xml:space="preserve"> </w:t>
      </w:r>
      <w:r w:rsidRPr="00E62CEE">
        <w:rPr>
          <w:rFonts w:ascii="Times New Roman" w:hAnsi="Times New Roman"/>
          <w:sz w:val="18"/>
          <w:szCs w:val="18"/>
        </w:rPr>
        <w:t xml:space="preserve">In the late 50s Herbert Schneider remarked that “his memory was certainly going” by the time he wrote </w:t>
      </w:r>
      <w:r w:rsidRPr="00E62CEE">
        <w:rPr>
          <w:rFonts w:ascii="Times New Roman" w:hAnsi="Times New Roman"/>
          <w:i/>
          <w:sz w:val="18"/>
          <w:szCs w:val="18"/>
        </w:rPr>
        <w:t>Persons and Places</w:t>
      </w:r>
      <w:r w:rsidRPr="00E62CEE">
        <w:rPr>
          <w:rFonts w:ascii="Times New Roman" w:hAnsi="Times New Roman"/>
          <w:sz w:val="18"/>
          <w:szCs w:val="18"/>
        </w:rPr>
        <w:t>.  John Herman Randall and Horace Kallen agreed. All had visited Santayana during his later years in Rome (Lamont, 1959, 62). But more to the point perhaps is Santayana’s intent in compiling and polishing (and publishing!) his journal notes: was this not one more exercise in self-definition? I address this issue below.</w:t>
      </w:r>
    </w:p>
  </w:footnote>
  <w:footnote w:id="6">
    <w:p w14:paraId="10983D43" w14:textId="77777777" w:rsidR="00201141" w:rsidRPr="00E62CEE" w:rsidRDefault="00201141" w:rsidP="00E62CEE">
      <w:pPr>
        <w:widowControl w:val="0"/>
        <w:tabs>
          <w:tab w:val="left" w:pos="1440"/>
          <w:tab w:val="left" w:pos="2160"/>
          <w:tab w:val="left" w:pos="2880"/>
        </w:tabs>
        <w:autoSpaceDE w:val="0"/>
        <w:autoSpaceDN w:val="0"/>
        <w:adjustRightInd w:val="0"/>
        <w:rPr>
          <w:rFonts w:ascii="Times New Roman" w:hAnsi="Times New Roman"/>
          <w:sz w:val="18"/>
          <w:szCs w:val="18"/>
        </w:rPr>
      </w:pPr>
      <w:r w:rsidRPr="00E62CEE">
        <w:rPr>
          <w:rFonts w:ascii="Times New Roman" w:hAnsi="Times New Roman"/>
          <w:sz w:val="18"/>
          <w:szCs w:val="18"/>
          <w:vertAlign w:val="superscript"/>
        </w:rPr>
        <w:footnoteRef/>
      </w:r>
      <w:r w:rsidRPr="00E62CEE">
        <w:rPr>
          <w:rFonts w:ascii="Times New Roman" w:hAnsi="Times New Roman"/>
          <w:sz w:val="18"/>
          <w:szCs w:val="18"/>
        </w:rPr>
        <w:t xml:space="preserve"> These were the ones who “feel that I have deserted the truth for the very errors that I denounced when I was a good humanist” (Schilpp,1940, 560]. Among those, Santayana refers specifically to Irwin Edman and Milton Munitz, whose critical essays appear earlier in the same volume.</w:t>
      </w:r>
    </w:p>
  </w:footnote>
  <w:footnote w:id="7">
    <w:p w14:paraId="45A59365" w14:textId="77777777" w:rsidR="000F5887" w:rsidRPr="00E62CEE" w:rsidRDefault="000F5887" w:rsidP="00E62CEE">
      <w:pPr>
        <w:widowControl w:val="0"/>
        <w:tabs>
          <w:tab w:val="left" w:pos="1440"/>
          <w:tab w:val="left" w:pos="2160"/>
          <w:tab w:val="left" w:pos="2880"/>
        </w:tabs>
        <w:autoSpaceDE w:val="0"/>
        <w:autoSpaceDN w:val="0"/>
        <w:adjustRightInd w:val="0"/>
        <w:rPr>
          <w:rFonts w:ascii="Times New Roman" w:hAnsi="Times New Roman"/>
          <w:sz w:val="18"/>
          <w:szCs w:val="18"/>
        </w:rPr>
      </w:pPr>
      <w:r w:rsidRPr="00E62CEE">
        <w:rPr>
          <w:rFonts w:ascii="Times New Roman" w:hAnsi="Times New Roman"/>
          <w:sz w:val="18"/>
          <w:szCs w:val="18"/>
          <w:vertAlign w:val="superscript"/>
        </w:rPr>
        <w:footnoteRef/>
      </w:r>
      <w:r w:rsidRPr="00E62CEE">
        <w:rPr>
          <w:rFonts w:ascii="Times New Roman" w:hAnsi="Times New Roman"/>
          <w:sz w:val="18"/>
          <w:szCs w:val="18"/>
        </w:rPr>
        <w:t xml:space="preserve"> Rational ethics remained the major concern of a great many of his pragmatist colleagues, and the loudest reminder of this was probably Sidney Hook. In his review or </w:t>
      </w:r>
      <w:r w:rsidRPr="00E62CEE">
        <w:rPr>
          <w:rFonts w:ascii="Times New Roman" w:hAnsi="Times New Roman"/>
          <w:i/>
          <w:sz w:val="18"/>
          <w:szCs w:val="18"/>
        </w:rPr>
        <w:t xml:space="preserve">The Realm of Spirit, </w:t>
      </w:r>
      <w:r w:rsidRPr="00E62CEE">
        <w:rPr>
          <w:rFonts w:ascii="Times New Roman" w:hAnsi="Times New Roman"/>
          <w:sz w:val="18"/>
          <w:szCs w:val="18"/>
        </w:rPr>
        <w:t>Hook wrote that “the most effective answer to the Santayana of the ‘Realms of Being’ is the Santayana of the ‘Life of Reason,’ with its sane moral economy in which security is not a blessing which descends upon us as we rise to eternity but something to be achieved by intelligent social action and rational personal discipline” (Hook,1940, 423). Hook had studied under Dewey at Columbia in the 1920s, and his dogged devotion to his teacher’s social program earned him the title of “Dewey’s Bulldog” (Jessup (1974).</w:t>
      </w:r>
    </w:p>
  </w:footnote>
  <w:footnote w:id="8">
    <w:p w14:paraId="10983D45" w14:textId="5DF08F2E" w:rsidR="00201141" w:rsidRPr="00E62CEE" w:rsidRDefault="00201141" w:rsidP="00E62CEE">
      <w:pPr>
        <w:widowControl w:val="0"/>
        <w:tabs>
          <w:tab w:val="left" w:pos="1440"/>
          <w:tab w:val="left" w:pos="2160"/>
          <w:tab w:val="left" w:pos="2880"/>
        </w:tabs>
        <w:autoSpaceDE w:val="0"/>
        <w:autoSpaceDN w:val="0"/>
        <w:adjustRightInd w:val="0"/>
        <w:rPr>
          <w:rFonts w:ascii="Times New Roman" w:hAnsi="Times New Roman"/>
          <w:sz w:val="18"/>
          <w:szCs w:val="18"/>
        </w:rPr>
      </w:pPr>
      <w:r w:rsidRPr="00E62CEE">
        <w:rPr>
          <w:rFonts w:ascii="Times New Roman" w:hAnsi="Times New Roman"/>
          <w:sz w:val="18"/>
          <w:szCs w:val="18"/>
          <w:vertAlign w:val="superscript"/>
        </w:rPr>
        <w:footnoteRef/>
      </w:r>
      <w:r w:rsidRPr="00E62CEE">
        <w:rPr>
          <w:rFonts w:ascii="Times New Roman" w:hAnsi="Times New Roman"/>
          <w:sz w:val="18"/>
          <w:szCs w:val="18"/>
        </w:rPr>
        <w:t xml:space="preserve"> At least one early reviewer of the </w:t>
      </w:r>
      <w:r w:rsidRPr="00E62CEE">
        <w:rPr>
          <w:rFonts w:ascii="Times New Roman" w:hAnsi="Times New Roman"/>
          <w:i/>
          <w:sz w:val="18"/>
          <w:szCs w:val="18"/>
        </w:rPr>
        <w:t>Life of Reason</w:t>
      </w:r>
      <w:r w:rsidRPr="00E62CEE">
        <w:rPr>
          <w:rFonts w:ascii="Times New Roman" w:hAnsi="Times New Roman"/>
          <w:sz w:val="18"/>
          <w:szCs w:val="18"/>
        </w:rPr>
        <w:t xml:space="preserve"> had remarked on </w:t>
      </w:r>
      <w:r w:rsidR="006F3236" w:rsidRPr="00E62CEE">
        <w:rPr>
          <w:rFonts w:ascii="Times New Roman" w:hAnsi="Times New Roman"/>
          <w:sz w:val="18"/>
          <w:szCs w:val="18"/>
        </w:rPr>
        <w:t xml:space="preserve">the </w:t>
      </w:r>
      <w:r w:rsidR="00900998" w:rsidRPr="00E62CEE">
        <w:rPr>
          <w:rFonts w:ascii="Times New Roman" w:hAnsi="Times New Roman"/>
          <w:sz w:val="18"/>
          <w:szCs w:val="18"/>
        </w:rPr>
        <w:t xml:space="preserve">common endeavor </w:t>
      </w:r>
      <w:r w:rsidR="004F782B" w:rsidRPr="00E62CEE">
        <w:rPr>
          <w:rFonts w:ascii="Times New Roman" w:hAnsi="Times New Roman"/>
          <w:sz w:val="18"/>
          <w:szCs w:val="18"/>
        </w:rPr>
        <w:t>envisioned by the rising stars of philosophy</w:t>
      </w:r>
      <w:r w:rsidRPr="00E62CEE">
        <w:rPr>
          <w:rFonts w:ascii="Times New Roman" w:hAnsi="Times New Roman"/>
          <w:sz w:val="18"/>
          <w:szCs w:val="18"/>
        </w:rPr>
        <w:t>: “Most fortunately philosophy, like natural science, has become largely a matter of methods, inviting cooperation, instead of a collection of more or less mutually exclusive system” (Albee, 1905, 603). See also the anonymous reviewer of Scepticism and Animal Faith (1923, 572).</w:t>
      </w:r>
    </w:p>
  </w:footnote>
  <w:footnote w:id="9">
    <w:p w14:paraId="10983D48" w14:textId="3654C41C" w:rsidR="00201141" w:rsidRPr="00E62CEE" w:rsidRDefault="00201141" w:rsidP="00E62CEE">
      <w:pPr>
        <w:widowControl w:val="0"/>
        <w:tabs>
          <w:tab w:val="left" w:pos="1440"/>
          <w:tab w:val="left" w:pos="2160"/>
          <w:tab w:val="left" w:pos="2880"/>
        </w:tabs>
        <w:autoSpaceDE w:val="0"/>
        <w:autoSpaceDN w:val="0"/>
        <w:adjustRightInd w:val="0"/>
        <w:rPr>
          <w:rFonts w:ascii="Times New Roman" w:hAnsi="Times New Roman"/>
          <w:sz w:val="18"/>
          <w:szCs w:val="18"/>
        </w:rPr>
      </w:pPr>
      <w:r w:rsidRPr="00E62CEE">
        <w:rPr>
          <w:rFonts w:ascii="Times New Roman" w:hAnsi="Times New Roman"/>
          <w:sz w:val="18"/>
          <w:szCs w:val="18"/>
          <w:vertAlign w:val="superscript"/>
        </w:rPr>
        <w:footnoteRef/>
      </w:r>
      <w:r w:rsidRPr="00E62CEE">
        <w:rPr>
          <w:rFonts w:ascii="Times New Roman" w:hAnsi="Times New Roman"/>
          <w:sz w:val="18"/>
          <w:szCs w:val="18"/>
        </w:rPr>
        <w:t xml:space="preserve"> Seiple, “Some Thoughts on Santayana at Harvard” (</w:t>
      </w:r>
      <w:r w:rsidR="00E113D3">
        <w:rPr>
          <w:rFonts w:ascii="Times New Roman" w:hAnsi="Times New Roman"/>
          <w:color w:val="FF0000"/>
          <w:sz w:val="18"/>
          <w:szCs w:val="18"/>
        </w:rPr>
        <w:t>this Bulletin</w:t>
      </w:r>
      <w:r w:rsidRPr="00E62CEE">
        <w:rPr>
          <w:rFonts w:ascii="Times New Roman" w:hAnsi="Times New Roman"/>
          <w:sz w:val="18"/>
          <w:szCs w:val="18"/>
        </w:rPr>
        <w:t>).</w:t>
      </w:r>
    </w:p>
  </w:footnote>
  <w:footnote w:id="10">
    <w:p w14:paraId="10983D49" w14:textId="64583D24" w:rsidR="00201141" w:rsidRPr="00E62CEE" w:rsidRDefault="00201141" w:rsidP="00E62CEE">
      <w:pPr>
        <w:widowControl w:val="0"/>
        <w:tabs>
          <w:tab w:val="left" w:pos="1440"/>
          <w:tab w:val="left" w:pos="2160"/>
          <w:tab w:val="left" w:pos="2880"/>
        </w:tabs>
        <w:autoSpaceDE w:val="0"/>
        <w:autoSpaceDN w:val="0"/>
        <w:adjustRightInd w:val="0"/>
        <w:rPr>
          <w:rFonts w:ascii="Times New Roman" w:hAnsi="Times New Roman"/>
          <w:sz w:val="18"/>
          <w:szCs w:val="18"/>
        </w:rPr>
      </w:pPr>
      <w:r w:rsidRPr="00E62CEE">
        <w:rPr>
          <w:rFonts w:ascii="Times New Roman" w:hAnsi="Times New Roman"/>
          <w:sz w:val="18"/>
          <w:szCs w:val="18"/>
          <w:vertAlign w:val="superscript"/>
        </w:rPr>
        <w:footnoteRef/>
      </w:r>
      <w:r w:rsidRPr="00E62CEE">
        <w:rPr>
          <w:rFonts w:ascii="Times New Roman" w:hAnsi="Times New Roman"/>
          <w:sz w:val="18"/>
          <w:szCs w:val="18"/>
        </w:rPr>
        <w:t xml:space="preserve"> His mother left him together with his sister Susana to “pick our way through the world by our native wits, without adequate means or preparation, and without any sympathy on her side” (PP 33). </w:t>
      </w:r>
      <w:r w:rsidRPr="00E62CEE">
        <w:rPr>
          <w:rFonts w:ascii="Times New Roman" w:hAnsi="Times New Roman"/>
          <w:color w:val="000000"/>
          <w:sz w:val="18"/>
          <w:szCs w:val="18"/>
        </w:rPr>
        <w:t>His father, largely absent except for summer visits from George, became “a hypochondriac, always watching his symptoms, and fearing that death was at hand” (PP 27)</w:t>
      </w:r>
      <w:r w:rsidR="003B3DE1" w:rsidRPr="00E62CEE">
        <w:rPr>
          <w:rFonts w:ascii="Times New Roman" w:hAnsi="Times New Roman"/>
          <w:color w:val="000000"/>
          <w:sz w:val="18"/>
          <w:szCs w:val="18"/>
        </w:rPr>
        <w:t>.</w:t>
      </w:r>
    </w:p>
  </w:footnote>
  <w:footnote w:id="11">
    <w:p w14:paraId="10983D4A" w14:textId="77777777" w:rsidR="00201141" w:rsidRPr="00E62CEE" w:rsidRDefault="00201141" w:rsidP="00E62CEE">
      <w:pPr>
        <w:widowControl w:val="0"/>
        <w:tabs>
          <w:tab w:val="left" w:pos="1440"/>
          <w:tab w:val="left" w:pos="2160"/>
          <w:tab w:val="left" w:pos="2880"/>
        </w:tabs>
        <w:autoSpaceDE w:val="0"/>
        <w:autoSpaceDN w:val="0"/>
        <w:adjustRightInd w:val="0"/>
        <w:rPr>
          <w:rFonts w:ascii="Times New Roman" w:hAnsi="Times New Roman"/>
          <w:sz w:val="18"/>
          <w:szCs w:val="18"/>
        </w:rPr>
      </w:pPr>
      <w:r w:rsidRPr="00E62CEE">
        <w:rPr>
          <w:rFonts w:ascii="Times New Roman" w:hAnsi="Times New Roman"/>
          <w:color w:val="000000"/>
          <w:sz w:val="18"/>
          <w:szCs w:val="18"/>
          <w:vertAlign w:val="superscript"/>
        </w:rPr>
        <w:footnoteRef/>
      </w:r>
      <w:r w:rsidRPr="00E62CEE">
        <w:rPr>
          <w:rFonts w:ascii="Times New Roman" w:hAnsi="Times New Roman"/>
          <w:sz w:val="18"/>
          <w:szCs w:val="18"/>
        </w:rPr>
        <w:t xml:space="preserve"> </w:t>
      </w:r>
      <w:r w:rsidRPr="00E62CEE">
        <w:rPr>
          <w:rFonts w:ascii="Times New Roman" w:hAnsi="Times New Roman"/>
          <w:color w:val="000000"/>
          <w:sz w:val="18"/>
          <w:szCs w:val="18"/>
        </w:rPr>
        <w:t>“In respect to both my parents, whom I am proud of as persons of marked character and philosophic conformity with fate, I feel a certain strange distance, as if my bond with them had not been close and physical, but somehow accidental and merely social or economic, as with a schoolmaster or a school matron….A real father in my case was lacking, and the real mother was my sister Susana” (PP 248).  And when Susana decided to marry (the “third event” of his awakened metanoia), this “struck perhaps even deeper into my conscience” than the death of either his father or Warwick Potter. This he saw as “an act of desperation on her part, a redoubled proof of her weakness” and showed that “she, who had given the first impulse to my speculative life, had never had any speculative or mystical insight. …This was a sad disillusion for me in regard to the person to whom I was most attached” (PP 424-25). The world had fooled him for the very last time.</w:t>
      </w:r>
    </w:p>
  </w:footnote>
  <w:footnote w:id="12">
    <w:p w14:paraId="2E899DC0" w14:textId="1DA91F39" w:rsidR="00514917" w:rsidRPr="00E62CEE" w:rsidRDefault="00514917" w:rsidP="00E62CEE">
      <w:pPr>
        <w:pStyle w:val="FootnoteText"/>
        <w:rPr>
          <w:rFonts w:ascii="Times New Roman" w:hAnsi="Times New Roman"/>
          <w:sz w:val="18"/>
          <w:szCs w:val="18"/>
        </w:rPr>
      </w:pPr>
      <w:r w:rsidRPr="00E62CEE">
        <w:rPr>
          <w:rStyle w:val="FootnoteReference"/>
          <w:rFonts w:ascii="Times New Roman" w:hAnsi="Times New Roman"/>
          <w:sz w:val="18"/>
          <w:szCs w:val="18"/>
        </w:rPr>
        <w:footnoteRef/>
      </w:r>
      <w:r w:rsidRPr="00E62CEE">
        <w:rPr>
          <w:rFonts w:ascii="Times New Roman" w:hAnsi="Times New Roman"/>
          <w:sz w:val="18"/>
          <w:szCs w:val="18"/>
        </w:rPr>
        <w:t xml:space="preserve"> Seiple, “Some Thoughts on Santayana at Harvard” (</w:t>
      </w:r>
      <w:r w:rsidR="007A3D50">
        <w:rPr>
          <w:rFonts w:ascii="Times New Roman" w:hAnsi="Times New Roman"/>
          <w:color w:val="FF0000"/>
          <w:sz w:val="18"/>
          <w:szCs w:val="18"/>
        </w:rPr>
        <w:t>this Bulletin</w:t>
      </w:r>
      <w:r w:rsidRPr="00E62CEE">
        <w:rPr>
          <w:rFonts w:ascii="Times New Roman" w:hAnsi="Times New Roman"/>
          <w:sz w:val="18"/>
          <w:szCs w:val="18"/>
        </w:rPr>
        <w:t>).</w:t>
      </w:r>
    </w:p>
  </w:footnote>
  <w:footnote w:id="13">
    <w:p w14:paraId="10983D4C" w14:textId="0F05B88A" w:rsidR="00201141" w:rsidRPr="00E62CEE" w:rsidRDefault="00201141" w:rsidP="00E62CEE">
      <w:pPr>
        <w:widowControl w:val="0"/>
        <w:tabs>
          <w:tab w:val="left" w:pos="1440"/>
          <w:tab w:val="left" w:pos="2160"/>
          <w:tab w:val="left" w:pos="2880"/>
        </w:tabs>
        <w:autoSpaceDE w:val="0"/>
        <w:autoSpaceDN w:val="0"/>
        <w:adjustRightInd w:val="0"/>
        <w:rPr>
          <w:rFonts w:ascii="Times New Roman" w:hAnsi="Times New Roman"/>
        </w:rPr>
      </w:pPr>
      <w:r w:rsidRPr="00E62CEE">
        <w:rPr>
          <w:rFonts w:ascii="Times New Roman" w:hAnsi="Times New Roman"/>
          <w:sz w:val="18"/>
          <w:szCs w:val="18"/>
          <w:vertAlign w:val="superscript"/>
        </w:rPr>
        <w:footnoteRef/>
      </w:r>
      <w:r w:rsidRPr="00E62CEE">
        <w:rPr>
          <w:rFonts w:ascii="Times New Roman" w:hAnsi="Times New Roman"/>
          <w:sz w:val="18"/>
          <w:szCs w:val="18"/>
        </w:rPr>
        <w:t xml:space="preserve"> Even in an intellectual setting — at least according to Ernest Nagel — he seemed “not very effective in the sort of give-and-take discussion where the two people pretty much are equal and trying to understand an issue or to clarify a point.” Horace Kallen remarked that </w:t>
      </w:r>
      <w:r w:rsidR="00545536" w:rsidRPr="00E62CEE">
        <w:rPr>
          <w:rFonts w:ascii="Times New Roman" w:hAnsi="Times New Roman"/>
          <w:sz w:val="18"/>
          <w:szCs w:val="18"/>
        </w:rPr>
        <w:t>Santayana</w:t>
      </w:r>
      <w:r w:rsidR="003903AD" w:rsidRPr="00E62CEE">
        <w:rPr>
          <w:rFonts w:ascii="Times New Roman" w:hAnsi="Times New Roman"/>
          <w:sz w:val="18"/>
          <w:szCs w:val="18"/>
        </w:rPr>
        <w:t xml:space="preserve"> did not like being subjected to “</w:t>
      </w:r>
      <w:r w:rsidRPr="00E62CEE">
        <w:rPr>
          <w:rFonts w:ascii="Times New Roman" w:hAnsi="Times New Roman"/>
          <w:sz w:val="18"/>
          <w:szCs w:val="18"/>
        </w:rPr>
        <w:t>sermons</w:t>
      </w:r>
      <w:r w:rsidR="00201F06" w:rsidRPr="00E62CEE">
        <w:rPr>
          <w:rFonts w:ascii="Times New Roman" w:hAnsi="Times New Roman"/>
          <w:sz w:val="18"/>
          <w:szCs w:val="18"/>
        </w:rPr>
        <w:t>.</w:t>
      </w:r>
      <w:r w:rsidRPr="00E62CEE">
        <w:rPr>
          <w:rFonts w:ascii="Times New Roman" w:hAnsi="Times New Roman"/>
          <w:sz w:val="18"/>
          <w:szCs w:val="18"/>
        </w:rPr>
        <w:t>”</w:t>
      </w:r>
      <w:r w:rsidR="00545536" w:rsidRPr="00E62CEE">
        <w:rPr>
          <w:rFonts w:ascii="Times New Roman" w:hAnsi="Times New Roman"/>
          <w:sz w:val="18"/>
          <w:szCs w:val="18"/>
        </w:rPr>
        <w:t xml:space="preserve"> </w:t>
      </w:r>
      <w:r w:rsidR="00201F06" w:rsidRPr="00E62CEE">
        <w:rPr>
          <w:rFonts w:ascii="Times New Roman" w:hAnsi="Times New Roman"/>
          <w:sz w:val="18"/>
          <w:szCs w:val="18"/>
        </w:rPr>
        <w:t>But it seems that</w:t>
      </w:r>
      <w:r w:rsidRPr="00E62CEE">
        <w:rPr>
          <w:rFonts w:ascii="Times New Roman" w:hAnsi="Times New Roman"/>
          <w:sz w:val="18"/>
          <w:szCs w:val="18"/>
        </w:rPr>
        <w:t xml:space="preserve"> he rather liked delivering them, expostulating on his own finely discerned insights. Kallen described this as “a kind of soliloquy out loud” (Lamont, 1959, 49, 65-66,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83D3C" w14:textId="0A597C03" w:rsidR="006D74FB" w:rsidRPr="007A453B" w:rsidRDefault="00475210" w:rsidP="00484ADD">
    <w:pPr>
      <w:widowControl w:val="0"/>
      <w:tabs>
        <w:tab w:val="left" w:pos="2786"/>
        <w:tab w:val="right" w:pos="10710"/>
      </w:tabs>
      <w:autoSpaceDE w:val="0"/>
      <w:autoSpaceDN w:val="0"/>
      <w:adjustRightInd w:val="0"/>
      <w:jc w:val="right"/>
      <w:rPr>
        <w:rFonts w:ascii="Courier New" w:hAnsi="Courier New" w:cs="Courier New"/>
        <w:sz w:val="18"/>
        <w:szCs w:val="18"/>
      </w:rPr>
    </w:pPr>
    <w:r w:rsidRPr="007A453B">
      <w:rPr>
        <w:rFonts w:ascii="Courier New" w:hAnsi="Courier New" w:cs="Courier New"/>
        <w:sz w:val="18"/>
        <w:szCs w:val="18"/>
      </w:rPr>
      <w:tab/>
    </w:r>
    <w:r w:rsidR="00623CCC" w:rsidRPr="007A453B">
      <w:rPr>
        <w:rFonts w:ascii="Courier New" w:hAnsi="Courier New" w:cs="Courier New"/>
        <w:sz w:val="18"/>
        <w:szCs w:val="18"/>
      </w:rPr>
      <w:fldChar w:fldCharType="begin"/>
    </w:r>
    <w:r w:rsidR="00623CCC" w:rsidRPr="007A453B">
      <w:rPr>
        <w:rFonts w:ascii="Courier New" w:hAnsi="Courier New" w:cs="Courier New"/>
        <w:sz w:val="18"/>
        <w:szCs w:val="18"/>
      </w:rPr>
      <w:instrText>PAGE</w:instrText>
    </w:r>
    <w:r w:rsidR="00623CCC" w:rsidRPr="007A453B">
      <w:rPr>
        <w:rFonts w:ascii="Courier New" w:hAnsi="Courier New" w:cs="Courier New"/>
        <w:sz w:val="18"/>
        <w:szCs w:val="18"/>
      </w:rPr>
      <w:fldChar w:fldCharType="separate"/>
    </w:r>
    <w:r w:rsidR="00623CCC" w:rsidRPr="007A453B">
      <w:rPr>
        <w:rFonts w:ascii="Courier New" w:hAnsi="Courier New" w:cs="Courier New"/>
        <w:sz w:val="18"/>
        <w:szCs w:val="18"/>
      </w:rPr>
      <w:t>XXX</w:t>
    </w:r>
    <w:r w:rsidR="00623CCC" w:rsidRPr="007A453B">
      <w:rPr>
        <w:rFonts w:ascii="Courier New" w:hAnsi="Courier New" w:cs="Courier New"/>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1200"/>
  <w:doNotShadeFormData/>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FB"/>
    <w:rsid w:val="00007054"/>
    <w:rsid w:val="00012D8F"/>
    <w:rsid w:val="00014DEA"/>
    <w:rsid w:val="00020072"/>
    <w:rsid w:val="00024B17"/>
    <w:rsid w:val="000271B7"/>
    <w:rsid w:val="000363BE"/>
    <w:rsid w:val="00045D07"/>
    <w:rsid w:val="000471E3"/>
    <w:rsid w:val="00055A3E"/>
    <w:rsid w:val="000565AF"/>
    <w:rsid w:val="00070179"/>
    <w:rsid w:val="00070580"/>
    <w:rsid w:val="000730FA"/>
    <w:rsid w:val="000776DF"/>
    <w:rsid w:val="000811E5"/>
    <w:rsid w:val="00091B3F"/>
    <w:rsid w:val="000B19FD"/>
    <w:rsid w:val="000B20C1"/>
    <w:rsid w:val="000B2251"/>
    <w:rsid w:val="000B7693"/>
    <w:rsid w:val="000C0FEC"/>
    <w:rsid w:val="000C6F20"/>
    <w:rsid w:val="000E1232"/>
    <w:rsid w:val="000E13AA"/>
    <w:rsid w:val="000E725B"/>
    <w:rsid w:val="000F5887"/>
    <w:rsid w:val="000F6DC8"/>
    <w:rsid w:val="000F7DB3"/>
    <w:rsid w:val="0010525D"/>
    <w:rsid w:val="00110336"/>
    <w:rsid w:val="00116D9E"/>
    <w:rsid w:val="0012531D"/>
    <w:rsid w:val="0013081A"/>
    <w:rsid w:val="00147E84"/>
    <w:rsid w:val="001663C4"/>
    <w:rsid w:val="0017585E"/>
    <w:rsid w:val="00176335"/>
    <w:rsid w:val="001773A9"/>
    <w:rsid w:val="001C3136"/>
    <w:rsid w:val="001C31A4"/>
    <w:rsid w:val="001D610C"/>
    <w:rsid w:val="001E250D"/>
    <w:rsid w:val="001E7A3A"/>
    <w:rsid w:val="001F321B"/>
    <w:rsid w:val="00201141"/>
    <w:rsid w:val="00201563"/>
    <w:rsid w:val="00201F06"/>
    <w:rsid w:val="00204C26"/>
    <w:rsid w:val="00213D3E"/>
    <w:rsid w:val="002149FB"/>
    <w:rsid w:val="00217143"/>
    <w:rsid w:val="00217875"/>
    <w:rsid w:val="00221E23"/>
    <w:rsid w:val="00224C0E"/>
    <w:rsid w:val="00224FE2"/>
    <w:rsid w:val="0022551E"/>
    <w:rsid w:val="00240A08"/>
    <w:rsid w:val="00242EE6"/>
    <w:rsid w:val="00245742"/>
    <w:rsid w:val="002473F4"/>
    <w:rsid w:val="00251853"/>
    <w:rsid w:val="002521AB"/>
    <w:rsid w:val="002537FB"/>
    <w:rsid w:val="00256E24"/>
    <w:rsid w:val="002647C1"/>
    <w:rsid w:val="00265524"/>
    <w:rsid w:val="0027025A"/>
    <w:rsid w:val="002771B1"/>
    <w:rsid w:val="0028687E"/>
    <w:rsid w:val="002871F1"/>
    <w:rsid w:val="00294E49"/>
    <w:rsid w:val="002B1403"/>
    <w:rsid w:val="002B5335"/>
    <w:rsid w:val="002C2889"/>
    <w:rsid w:val="002D0B32"/>
    <w:rsid w:val="002D0F92"/>
    <w:rsid w:val="002D1603"/>
    <w:rsid w:val="002D23E3"/>
    <w:rsid w:val="002D4D0C"/>
    <w:rsid w:val="002E7FEB"/>
    <w:rsid w:val="002F0CBE"/>
    <w:rsid w:val="002F2D69"/>
    <w:rsid w:val="002F54B8"/>
    <w:rsid w:val="00301B14"/>
    <w:rsid w:val="00305600"/>
    <w:rsid w:val="00311E54"/>
    <w:rsid w:val="00313324"/>
    <w:rsid w:val="00313704"/>
    <w:rsid w:val="00322A25"/>
    <w:rsid w:val="0032490A"/>
    <w:rsid w:val="00325859"/>
    <w:rsid w:val="00363F3A"/>
    <w:rsid w:val="003653A6"/>
    <w:rsid w:val="003672AF"/>
    <w:rsid w:val="00371233"/>
    <w:rsid w:val="003766C4"/>
    <w:rsid w:val="00382E73"/>
    <w:rsid w:val="00384191"/>
    <w:rsid w:val="003903AD"/>
    <w:rsid w:val="003A257F"/>
    <w:rsid w:val="003A4354"/>
    <w:rsid w:val="003A4E6E"/>
    <w:rsid w:val="003B3154"/>
    <w:rsid w:val="003B3DE1"/>
    <w:rsid w:val="003C1EB5"/>
    <w:rsid w:val="003C34AC"/>
    <w:rsid w:val="003D5313"/>
    <w:rsid w:val="003E3ECB"/>
    <w:rsid w:val="003F13A8"/>
    <w:rsid w:val="003F1DF8"/>
    <w:rsid w:val="003F33B6"/>
    <w:rsid w:val="003F7A91"/>
    <w:rsid w:val="004007DB"/>
    <w:rsid w:val="00400EC1"/>
    <w:rsid w:val="00407C0B"/>
    <w:rsid w:val="00414250"/>
    <w:rsid w:val="00414409"/>
    <w:rsid w:val="00417F62"/>
    <w:rsid w:val="00423F50"/>
    <w:rsid w:val="00424228"/>
    <w:rsid w:val="00424C6E"/>
    <w:rsid w:val="0042748C"/>
    <w:rsid w:val="00436593"/>
    <w:rsid w:val="00436F10"/>
    <w:rsid w:val="004639CB"/>
    <w:rsid w:val="00466AEF"/>
    <w:rsid w:val="00471E00"/>
    <w:rsid w:val="004724D9"/>
    <w:rsid w:val="00475210"/>
    <w:rsid w:val="00484ADD"/>
    <w:rsid w:val="00486D64"/>
    <w:rsid w:val="00497410"/>
    <w:rsid w:val="004A0EB5"/>
    <w:rsid w:val="004B3829"/>
    <w:rsid w:val="004C091D"/>
    <w:rsid w:val="004D2037"/>
    <w:rsid w:val="004D4475"/>
    <w:rsid w:val="004D482A"/>
    <w:rsid w:val="004E30E3"/>
    <w:rsid w:val="004E62A2"/>
    <w:rsid w:val="004F379F"/>
    <w:rsid w:val="004F782B"/>
    <w:rsid w:val="005037F2"/>
    <w:rsid w:val="00505F3A"/>
    <w:rsid w:val="00511FB2"/>
    <w:rsid w:val="00514917"/>
    <w:rsid w:val="00514B87"/>
    <w:rsid w:val="005249F9"/>
    <w:rsid w:val="00534396"/>
    <w:rsid w:val="00535C35"/>
    <w:rsid w:val="00542F31"/>
    <w:rsid w:val="00545536"/>
    <w:rsid w:val="00546C6D"/>
    <w:rsid w:val="00554188"/>
    <w:rsid w:val="00557D71"/>
    <w:rsid w:val="0056295F"/>
    <w:rsid w:val="00577853"/>
    <w:rsid w:val="0058155C"/>
    <w:rsid w:val="00593A85"/>
    <w:rsid w:val="005956EE"/>
    <w:rsid w:val="005A4385"/>
    <w:rsid w:val="005A710C"/>
    <w:rsid w:val="005B198E"/>
    <w:rsid w:val="005B2FCF"/>
    <w:rsid w:val="005B30B6"/>
    <w:rsid w:val="005C00DA"/>
    <w:rsid w:val="005C12A1"/>
    <w:rsid w:val="005C1667"/>
    <w:rsid w:val="005D2176"/>
    <w:rsid w:val="005D290E"/>
    <w:rsid w:val="005D29CE"/>
    <w:rsid w:val="005E0ABA"/>
    <w:rsid w:val="005E252F"/>
    <w:rsid w:val="005E2C26"/>
    <w:rsid w:val="005E53BB"/>
    <w:rsid w:val="005F0616"/>
    <w:rsid w:val="005F3565"/>
    <w:rsid w:val="00600638"/>
    <w:rsid w:val="00600F48"/>
    <w:rsid w:val="006066BA"/>
    <w:rsid w:val="00615543"/>
    <w:rsid w:val="00623CCC"/>
    <w:rsid w:val="00626F8A"/>
    <w:rsid w:val="00636F54"/>
    <w:rsid w:val="00653B6F"/>
    <w:rsid w:val="00655594"/>
    <w:rsid w:val="00665599"/>
    <w:rsid w:val="00674D3A"/>
    <w:rsid w:val="00676205"/>
    <w:rsid w:val="006A1016"/>
    <w:rsid w:val="006A2715"/>
    <w:rsid w:val="006B06B7"/>
    <w:rsid w:val="006B42DC"/>
    <w:rsid w:val="006C330B"/>
    <w:rsid w:val="006C6477"/>
    <w:rsid w:val="006C742A"/>
    <w:rsid w:val="006D45D5"/>
    <w:rsid w:val="006D74FB"/>
    <w:rsid w:val="006E06D1"/>
    <w:rsid w:val="006E3FE3"/>
    <w:rsid w:val="006F3236"/>
    <w:rsid w:val="006F6140"/>
    <w:rsid w:val="006F657F"/>
    <w:rsid w:val="006F7540"/>
    <w:rsid w:val="00701BFB"/>
    <w:rsid w:val="00705759"/>
    <w:rsid w:val="00712A7B"/>
    <w:rsid w:val="007143E7"/>
    <w:rsid w:val="00722B49"/>
    <w:rsid w:val="00724F4C"/>
    <w:rsid w:val="00725A45"/>
    <w:rsid w:val="00726284"/>
    <w:rsid w:val="007302D4"/>
    <w:rsid w:val="0073425A"/>
    <w:rsid w:val="007449D0"/>
    <w:rsid w:val="0076527C"/>
    <w:rsid w:val="00767385"/>
    <w:rsid w:val="0077119B"/>
    <w:rsid w:val="00773AB2"/>
    <w:rsid w:val="00776B6C"/>
    <w:rsid w:val="007800B9"/>
    <w:rsid w:val="00781B6D"/>
    <w:rsid w:val="007861DB"/>
    <w:rsid w:val="00786EB6"/>
    <w:rsid w:val="0079255B"/>
    <w:rsid w:val="0079417F"/>
    <w:rsid w:val="007948E2"/>
    <w:rsid w:val="007A3916"/>
    <w:rsid w:val="007A3D50"/>
    <w:rsid w:val="007A453B"/>
    <w:rsid w:val="007D1A88"/>
    <w:rsid w:val="007D39B9"/>
    <w:rsid w:val="007D499E"/>
    <w:rsid w:val="007F36F4"/>
    <w:rsid w:val="007F534B"/>
    <w:rsid w:val="007F7239"/>
    <w:rsid w:val="0080086E"/>
    <w:rsid w:val="008066F3"/>
    <w:rsid w:val="008111DC"/>
    <w:rsid w:val="00811420"/>
    <w:rsid w:val="00812FFF"/>
    <w:rsid w:val="00823C19"/>
    <w:rsid w:val="008279BC"/>
    <w:rsid w:val="0083204C"/>
    <w:rsid w:val="00844A07"/>
    <w:rsid w:val="00850B60"/>
    <w:rsid w:val="00866C29"/>
    <w:rsid w:val="0087421F"/>
    <w:rsid w:val="00877F80"/>
    <w:rsid w:val="008A61B2"/>
    <w:rsid w:val="008A69C8"/>
    <w:rsid w:val="008B59FB"/>
    <w:rsid w:val="008B5B1E"/>
    <w:rsid w:val="008C0691"/>
    <w:rsid w:val="008C37F7"/>
    <w:rsid w:val="008D2AEB"/>
    <w:rsid w:val="008D3556"/>
    <w:rsid w:val="008D38D2"/>
    <w:rsid w:val="008D46F0"/>
    <w:rsid w:val="008E03BD"/>
    <w:rsid w:val="008E472A"/>
    <w:rsid w:val="008E5DDE"/>
    <w:rsid w:val="008F1D74"/>
    <w:rsid w:val="008F3281"/>
    <w:rsid w:val="008F3E9B"/>
    <w:rsid w:val="008F4F47"/>
    <w:rsid w:val="008F6BE3"/>
    <w:rsid w:val="00900998"/>
    <w:rsid w:val="00905951"/>
    <w:rsid w:val="0091255D"/>
    <w:rsid w:val="00914C22"/>
    <w:rsid w:val="0092052E"/>
    <w:rsid w:val="00920AEB"/>
    <w:rsid w:val="0093270E"/>
    <w:rsid w:val="00941C62"/>
    <w:rsid w:val="00943FE6"/>
    <w:rsid w:val="009443B6"/>
    <w:rsid w:val="009465D6"/>
    <w:rsid w:val="0094752E"/>
    <w:rsid w:val="00956682"/>
    <w:rsid w:val="00962AAB"/>
    <w:rsid w:val="00970F37"/>
    <w:rsid w:val="00970F8D"/>
    <w:rsid w:val="00975D4B"/>
    <w:rsid w:val="00977D49"/>
    <w:rsid w:val="00980A7F"/>
    <w:rsid w:val="00990B26"/>
    <w:rsid w:val="00994332"/>
    <w:rsid w:val="00996B2D"/>
    <w:rsid w:val="009A29F7"/>
    <w:rsid w:val="009A5776"/>
    <w:rsid w:val="009A7966"/>
    <w:rsid w:val="009B36E7"/>
    <w:rsid w:val="009B3CD6"/>
    <w:rsid w:val="009B533D"/>
    <w:rsid w:val="009C03BB"/>
    <w:rsid w:val="009C0F8E"/>
    <w:rsid w:val="009C1A83"/>
    <w:rsid w:val="009C6C05"/>
    <w:rsid w:val="009C767A"/>
    <w:rsid w:val="009D37C7"/>
    <w:rsid w:val="009D4CD7"/>
    <w:rsid w:val="009D7181"/>
    <w:rsid w:val="009E0891"/>
    <w:rsid w:val="009E1735"/>
    <w:rsid w:val="009F30CD"/>
    <w:rsid w:val="00A00202"/>
    <w:rsid w:val="00A0033F"/>
    <w:rsid w:val="00A00BAF"/>
    <w:rsid w:val="00A03535"/>
    <w:rsid w:val="00A053E9"/>
    <w:rsid w:val="00A1238B"/>
    <w:rsid w:val="00A2135E"/>
    <w:rsid w:val="00A21FEA"/>
    <w:rsid w:val="00A248F6"/>
    <w:rsid w:val="00A25FBC"/>
    <w:rsid w:val="00A27E3F"/>
    <w:rsid w:val="00A34A51"/>
    <w:rsid w:val="00A35286"/>
    <w:rsid w:val="00A352E0"/>
    <w:rsid w:val="00A42B06"/>
    <w:rsid w:val="00A51AAA"/>
    <w:rsid w:val="00A53B95"/>
    <w:rsid w:val="00A56956"/>
    <w:rsid w:val="00A56989"/>
    <w:rsid w:val="00A57A50"/>
    <w:rsid w:val="00A60083"/>
    <w:rsid w:val="00A61115"/>
    <w:rsid w:val="00A61F6B"/>
    <w:rsid w:val="00A6335F"/>
    <w:rsid w:val="00A64F29"/>
    <w:rsid w:val="00A66EC4"/>
    <w:rsid w:val="00A73183"/>
    <w:rsid w:val="00A734D7"/>
    <w:rsid w:val="00A774D4"/>
    <w:rsid w:val="00A85866"/>
    <w:rsid w:val="00A8722F"/>
    <w:rsid w:val="00A92628"/>
    <w:rsid w:val="00A94391"/>
    <w:rsid w:val="00AA00A5"/>
    <w:rsid w:val="00AA676F"/>
    <w:rsid w:val="00AA73CF"/>
    <w:rsid w:val="00AB0EB5"/>
    <w:rsid w:val="00AB4D51"/>
    <w:rsid w:val="00AC0048"/>
    <w:rsid w:val="00AC2118"/>
    <w:rsid w:val="00AC487C"/>
    <w:rsid w:val="00AD4CC7"/>
    <w:rsid w:val="00AF5F4F"/>
    <w:rsid w:val="00AF70FF"/>
    <w:rsid w:val="00B013AE"/>
    <w:rsid w:val="00B02EB9"/>
    <w:rsid w:val="00B03D32"/>
    <w:rsid w:val="00B074CD"/>
    <w:rsid w:val="00B15553"/>
    <w:rsid w:val="00B1638C"/>
    <w:rsid w:val="00B17153"/>
    <w:rsid w:val="00B21F23"/>
    <w:rsid w:val="00B226A9"/>
    <w:rsid w:val="00B228AA"/>
    <w:rsid w:val="00B22AD7"/>
    <w:rsid w:val="00B2342B"/>
    <w:rsid w:val="00B2799D"/>
    <w:rsid w:val="00B3037F"/>
    <w:rsid w:val="00B31216"/>
    <w:rsid w:val="00B36D22"/>
    <w:rsid w:val="00B42CCE"/>
    <w:rsid w:val="00B5219C"/>
    <w:rsid w:val="00B54CAB"/>
    <w:rsid w:val="00B55336"/>
    <w:rsid w:val="00B55CE0"/>
    <w:rsid w:val="00B5606C"/>
    <w:rsid w:val="00B7392B"/>
    <w:rsid w:val="00B832D7"/>
    <w:rsid w:val="00B85EF7"/>
    <w:rsid w:val="00B86F84"/>
    <w:rsid w:val="00BA4601"/>
    <w:rsid w:val="00BA6384"/>
    <w:rsid w:val="00BA77A7"/>
    <w:rsid w:val="00BC1597"/>
    <w:rsid w:val="00BC15E9"/>
    <w:rsid w:val="00BD5C92"/>
    <w:rsid w:val="00BF0D37"/>
    <w:rsid w:val="00BF226F"/>
    <w:rsid w:val="00C20D97"/>
    <w:rsid w:val="00C256B9"/>
    <w:rsid w:val="00C33F8C"/>
    <w:rsid w:val="00C36C41"/>
    <w:rsid w:val="00C4073F"/>
    <w:rsid w:val="00C41DDD"/>
    <w:rsid w:val="00C43F43"/>
    <w:rsid w:val="00C500BF"/>
    <w:rsid w:val="00C50560"/>
    <w:rsid w:val="00C5430C"/>
    <w:rsid w:val="00C639C1"/>
    <w:rsid w:val="00C66B66"/>
    <w:rsid w:val="00C7300E"/>
    <w:rsid w:val="00C76CA3"/>
    <w:rsid w:val="00C801A6"/>
    <w:rsid w:val="00C9148B"/>
    <w:rsid w:val="00CA6665"/>
    <w:rsid w:val="00CB2D7D"/>
    <w:rsid w:val="00CB6009"/>
    <w:rsid w:val="00CC04A5"/>
    <w:rsid w:val="00CC42E1"/>
    <w:rsid w:val="00CD1BBE"/>
    <w:rsid w:val="00CD212B"/>
    <w:rsid w:val="00CD571E"/>
    <w:rsid w:val="00CD7448"/>
    <w:rsid w:val="00CE1A7B"/>
    <w:rsid w:val="00CE6473"/>
    <w:rsid w:val="00D017D6"/>
    <w:rsid w:val="00D055F3"/>
    <w:rsid w:val="00D07DDF"/>
    <w:rsid w:val="00D161C9"/>
    <w:rsid w:val="00D17E16"/>
    <w:rsid w:val="00D20DD7"/>
    <w:rsid w:val="00D45FB5"/>
    <w:rsid w:val="00D51BED"/>
    <w:rsid w:val="00D572F8"/>
    <w:rsid w:val="00D6479B"/>
    <w:rsid w:val="00D65CC8"/>
    <w:rsid w:val="00D67733"/>
    <w:rsid w:val="00D73284"/>
    <w:rsid w:val="00D773EA"/>
    <w:rsid w:val="00D866B7"/>
    <w:rsid w:val="00D90B47"/>
    <w:rsid w:val="00D911D7"/>
    <w:rsid w:val="00D93580"/>
    <w:rsid w:val="00DA345B"/>
    <w:rsid w:val="00DA4959"/>
    <w:rsid w:val="00DB2148"/>
    <w:rsid w:val="00DD09EF"/>
    <w:rsid w:val="00DE000E"/>
    <w:rsid w:val="00E078CE"/>
    <w:rsid w:val="00E10033"/>
    <w:rsid w:val="00E113D3"/>
    <w:rsid w:val="00E14CF3"/>
    <w:rsid w:val="00E30256"/>
    <w:rsid w:val="00E42F68"/>
    <w:rsid w:val="00E462F0"/>
    <w:rsid w:val="00E51974"/>
    <w:rsid w:val="00E601F9"/>
    <w:rsid w:val="00E62CEE"/>
    <w:rsid w:val="00E63558"/>
    <w:rsid w:val="00E64F4E"/>
    <w:rsid w:val="00E66D04"/>
    <w:rsid w:val="00E706A4"/>
    <w:rsid w:val="00E726B3"/>
    <w:rsid w:val="00E7487C"/>
    <w:rsid w:val="00E74A5D"/>
    <w:rsid w:val="00E75DBA"/>
    <w:rsid w:val="00E807E1"/>
    <w:rsid w:val="00E86B5E"/>
    <w:rsid w:val="00E907FE"/>
    <w:rsid w:val="00E929FF"/>
    <w:rsid w:val="00E94B6D"/>
    <w:rsid w:val="00EA01FC"/>
    <w:rsid w:val="00EA5360"/>
    <w:rsid w:val="00EB17E3"/>
    <w:rsid w:val="00EC1E5B"/>
    <w:rsid w:val="00EC53D0"/>
    <w:rsid w:val="00EC5C76"/>
    <w:rsid w:val="00ED2536"/>
    <w:rsid w:val="00EF13B3"/>
    <w:rsid w:val="00EF1C46"/>
    <w:rsid w:val="00EF7E3E"/>
    <w:rsid w:val="00F01E51"/>
    <w:rsid w:val="00F02FA1"/>
    <w:rsid w:val="00F11574"/>
    <w:rsid w:val="00F1172E"/>
    <w:rsid w:val="00F15166"/>
    <w:rsid w:val="00F26977"/>
    <w:rsid w:val="00F330D4"/>
    <w:rsid w:val="00F33A08"/>
    <w:rsid w:val="00F47056"/>
    <w:rsid w:val="00F473CF"/>
    <w:rsid w:val="00F647E2"/>
    <w:rsid w:val="00F715BF"/>
    <w:rsid w:val="00F735B0"/>
    <w:rsid w:val="00F766BE"/>
    <w:rsid w:val="00F76874"/>
    <w:rsid w:val="00F77B14"/>
    <w:rsid w:val="00F871C4"/>
    <w:rsid w:val="00F90492"/>
    <w:rsid w:val="00FA73BD"/>
    <w:rsid w:val="00FB1DE5"/>
    <w:rsid w:val="00FC141C"/>
    <w:rsid w:val="00FC7D88"/>
    <w:rsid w:val="00FD426A"/>
    <w:rsid w:val="00FE7A33"/>
    <w:rsid w:val="00FF1065"/>
    <w:rsid w:val="00FF3E6E"/>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83D1F"/>
  <w15:docId w15:val="{2872F418-A2AB-4C6F-ABAA-9E14394C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1141"/>
    <w:rPr>
      <w:sz w:val="20"/>
      <w:szCs w:val="20"/>
    </w:rPr>
  </w:style>
  <w:style w:type="character" w:customStyle="1" w:styleId="FootnoteTextChar">
    <w:name w:val="Footnote Text Char"/>
    <w:basedOn w:val="DefaultParagraphFont"/>
    <w:link w:val="FootnoteText"/>
    <w:uiPriority w:val="99"/>
    <w:semiHidden/>
    <w:rsid w:val="00201141"/>
  </w:style>
  <w:style w:type="paragraph" w:styleId="EndnoteText">
    <w:name w:val="endnote text"/>
    <w:basedOn w:val="Normal"/>
    <w:link w:val="EndnoteTextChar"/>
    <w:uiPriority w:val="99"/>
    <w:semiHidden/>
    <w:unhideWhenUsed/>
    <w:rsid w:val="00201141"/>
    <w:rPr>
      <w:sz w:val="20"/>
      <w:szCs w:val="20"/>
    </w:rPr>
  </w:style>
  <w:style w:type="character" w:customStyle="1" w:styleId="EndnoteTextChar">
    <w:name w:val="Endnote Text Char"/>
    <w:basedOn w:val="DefaultParagraphFont"/>
    <w:link w:val="EndnoteText"/>
    <w:uiPriority w:val="99"/>
    <w:semiHidden/>
    <w:rsid w:val="00201141"/>
  </w:style>
  <w:style w:type="character" w:styleId="FootnoteReference">
    <w:name w:val="footnote reference"/>
    <w:uiPriority w:val="99"/>
    <w:semiHidden/>
    <w:unhideWhenUsed/>
    <w:rsid w:val="00201141"/>
    <w:rPr>
      <w:vertAlign w:val="superscript"/>
    </w:rPr>
  </w:style>
  <w:style w:type="character" w:styleId="EndnoteReference">
    <w:name w:val="endnote reference"/>
    <w:uiPriority w:val="99"/>
    <w:semiHidden/>
    <w:unhideWhenUsed/>
    <w:rsid w:val="00201141"/>
    <w:rPr>
      <w:vertAlign w:val="superscript"/>
    </w:rPr>
  </w:style>
  <w:style w:type="paragraph" w:styleId="Header">
    <w:name w:val="header"/>
    <w:basedOn w:val="Normal"/>
    <w:link w:val="HeaderChar"/>
    <w:uiPriority w:val="99"/>
    <w:unhideWhenUsed/>
    <w:rsid w:val="00475210"/>
    <w:pPr>
      <w:tabs>
        <w:tab w:val="center" w:pos="4680"/>
        <w:tab w:val="right" w:pos="9360"/>
      </w:tabs>
    </w:pPr>
  </w:style>
  <w:style w:type="character" w:customStyle="1" w:styleId="HeaderChar">
    <w:name w:val="Header Char"/>
    <w:link w:val="Header"/>
    <w:uiPriority w:val="99"/>
    <w:rsid w:val="00475210"/>
    <w:rPr>
      <w:sz w:val="24"/>
      <w:szCs w:val="24"/>
    </w:rPr>
  </w:style>
  <w:style w:type="paragraph" w:styleId="Footer">
    <w:name w:val="footer"/>
    <w:basedOn w:val="Normal"/>
    <w:link w:val="FooterChar"/>
    <w:uiPriority w:val="99"/>
    <w:unhideWhenUsed/>
    <w:rsid w:val="00475210"/>
    <w:pPr>
      <w:tabs>
        <w:tab w:val="center" w:pos="4680"/>
        <w:tab w:val="right" w:pos="9360"/>
      </w:tabs>
    </w:pPr>
  </w:style>
  <w:style w:type="character" w:customStyle="1" w:styleId="FooterChar">
    <w:name w:val="Footer Char"/>
    <w:link w:val="Footer"/>
    <w:uiPriority w:val="99"/>
    <w:rsid w:val="00475210"/>
    <w:rPr>
      <w:sz w:val="24"/>
      <w:szCs w:val="24"/>
    </w:rPr>
  </w:style>
  <w:style w:type="character" w:styleId="Hyperlink">
    <w:name w:val="Hyperlink"/>
    <w:uiPriority w:val="99"/>
    <w:unhideWhenUsed/>
    <w:rsid w:val="005E0ABA"/>
    <w:rPr>
      <w:color w:val="0000FF"/>
      <w:u w:val="single"/>
    </w:rPr>
  </w:style>
  <w:style w:type="character" w:styleId="UnresolvedMention">
    <w:name w:val="Unresolved Mention"/>
    <w:uiPriority w:val="99"/>
    <w:semiHidden/>
    <w:unhideWhenUsed/>
    <w:rsid w:val="005E0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578182">
      <w:bodyDiv w:val="1"/>
      <w:marLeft w:val="0"/>
      <w:marRight w:val="0"/>
      <w:marTop w:val="0"/>
      <w:marBottom w:val="0"/>
      <w:divBdr>
        <w:top w:val="none" w:sz="0" w:space="0" w:color="auto"/>
        <w:left w:val="none" w:sz="0" w:space="0" w:color="auto"/>
        <w:bottom w:val="none" w:sz="0" w:space="0" w:color="auto"/>
        <w:right w:val="none" w:sz="0" w:space="0" w:color="auto"/>
      </w:divBdr>
      <w:divsChild>
        <w:div w:id="2109496942">
          <w:marLeft w:val="0"/>
          <w:marRight w:val="0"/>
          <w:marTop w:val="0"/>
          <w:marBottom w:val="0"/>
          <w:divBdr>
            <w:top w:val="none" w:sz="0" w:space="0" w:color="auto"/>
            <w:left w:val="none" w:sz="0" w:space="0" w:color="auto"/>
            <w:bottom w:val="none" w:sz="0" w:space="0" w:color="auto"/>
            <w:right w:val="none" w:sz="0" w:space="0" w:color="auto"/>
          </w:divBdr>
        </w:div>
        <w:div w:id="1197504298">
          <w:marLeft w:val="0"/>
          <w:marRight w:val="0"/>
          <w:marTop w:val="0"/>
          <w:marBottom w:val="0"/>
          <w:divBdr>
            <w:top w:val="none" w:sz="0" w:space="0" w:color="auto"/>
            <w:left w:val="none" w:sz="0" w:space="0" w:color="auto"/>
            <w:bottom w:val="none" w:sz="0" w:space="0" w:color="auto"/>
            <w:right w:val="none" w:sz="0" w:space="0" w:color="auto"/>
          </w:divBdr>
        </w:div>
        <w:div w:id="537552964">
          <w:marLeft w:val="0"/>
          <w:marRight w:val="0"/>
          <w:marTop w:val="0"/>
          <w:marBottom w:val="0"/>
          <w:divBdr>
            <w:top w:val="none" w:sz="0" w:space="0" w:color="auto"/>
            <w:left w:val="none" w:sz="0" w:space="0" w:color="auto"/>
            <w:bottom w:val="none" w:sz="0" w:space="0" w:color="auto"/>
            <w:right w:val="none" w:sz="0" w:space="0" w:color="auto"/>
          </w:divBdr>
        </w:div>
        <w:div w:id="821039613">
          <w:marLeft w:val="0"/>
          <w:marRight w:val="0"/>
          <w:marTop w:val="0"/>
          <w:marBottom w:val="0"/>
          <w:divBdr>
            <w:top w:val="none" w:sz="0" w:space="0" w:color="auto"/>
            <w:left w:val="none" w:sz="0" w:space="0" w:color="auto"/>
            <w:bottom w:val="none" w:sz="0" w:space="0" w:color="auto"/>
            <w:right w:val="none" w:sz="0" w:space="0" w:color="auto"/>
          </w:divBdr>
        </w:div>
        <w:div w:id="431633817">
          <w:marLeft w:val="0"/>
          <w:marRight w:val="0"/>
          <w:marTop w:val="0"/>
          <w:marBottom w:val="0"/>
          <w:divBdr>
            <w:top w:val="none" w:sz="0" w:space="0" w:color="auto"/>
            <w:left w:val="none" w:sz="0" w:space="0" w:color="auto"/>
            <w:bottom w:val="none" w:sz="0" w:space="0" w:color="auto"/>
            <w:right w:val="none" w:sz="0" w:space="0" w:color="auto"/>
          </w:divBdr>
        </w:div>
        <w:div w:id="1302350308">
          <w:marLeft w:val="0"/>
          <w:marRight w:val="0"/>
          <w:marTop w:val="0"/>
          <w:marBottom w:val="0"/>
          <w:divBdr>
            <w:top w:val="none" w:sz="0" w:space="0" w:color="auto"/>
            <w:left w:val="none" w:sz="0" w:space="0" w:color="auto"/>
            <w:bottom w:val="none" w:sz="0" w:space="0" w:color="auto"/>
            <w:right w:val="none" w:sz="0" w:space="0" w:color="auto"/>
          </w:divBdr>
        </w:div>
        <w:div w:id="1149437952">
          <w:marLeft w:val="0"/>
          <w:marRight w:val="0"/>
          <w:marTop w:val="0"/>
          <w:marBottom w:val="0"/>
          <w:divBdr>
            <w:top w:val="none" w:sz="0" w:space="0" w:color="auto"/>
            <w:left w:val="none" w:sz="0" w:space="0" w:color="auto"/>
            <w:bottom w:val="none" w:sz="0" w:space="0" w:color="auto"/>
            <w:right w:val="none" w:sz="0" w:space="0" w:color="auto"/>
          </w:divBdr>
        </w:div>
        <w:div w:id="1914972736">
          <w:marLeft w:val="0"/>
          <w:marRight w:val="0"/>
          <w:marTop w:val="0"/>
          <w:marBottom w:val="0"/>
          <w:divBdr>
            <w:top w:val="none" w:sz="0" w:space="0" w:color="auto"/>
            <w:left w:val="none" w:sz="0" w:space="0" w:color="auto"/>
            <w:bottom w:val="none" w:sz="0" w:space="0" w:color="auto"/>
            <w:right w:val="none" w:sz="0" w:space="0" w:color="auto"/>
          </w:divBdr>
        </w:div>
        <w:div w:id="1910454727">
          <w:marLeft w:val="0"/>
          <w:marRight w:val="0"/>
          <w:marTop w:val="0"/>
          <w:marBottom w:val="0"/>
          <w:divBdr>
            <w:top w:val="none" w:sz="0" w:space="0" w:color="auto"/>
            <w:left w:val="none" w:sz="0" w:space="0" w:color="auto"/>
            <w:bottom w:val="none" w:sz="0" w:space="0" w:color="auto"/>
            <w:right w:val="none" w:sz="0" w:space="0" w:color="auto"/>
          </w:divBdr>
        </w:div>
        <w:div w:id="859396215">
          <w:marLeft w:val="0"/>
          <w:marRight w:val="0"/>
          <w:marTop w:val="0"/>
          <w:marBottom w:val="0"/>
          <w:divBdr>
            <w:top w:val="none" w:sz="0" w:space="0" w:color="auto"/>
            <w:left w:val="none" w:sz="0" w:space="0" w:color="auto"/>
            <w:bottom w:val="none" w:sz="0" w:space="0" w:color="auto"/>
            <w:right w:val="none" w:sz="0" w:space="0" w:color="auto"/>
          </w:divBdr>
        </w:div>
        <w:div w:id="1827164112">
          <w:marLeft w:val="0"/>
          <w:marRight w:val="0"/>
          <w:marTop w:val="0"/>
          <w:marBottom w:val="0"/>
          <w:divBdr>
            <w:top w:val="none" w:sz="0" w:space="0" w:color="auto"/>
            <w:left w:val="none" w:sz="0" w:space="0" w:color="auto"/>
            <w:bottom w:val="none" w:sz="0" w:space="0" w:color="auto"/>
            <w:right w:val="none" w:sz="0" w:space="0" w:color="auto"/>
          </w:divBdr>
        </w:div>
        <w:div w:id="1990867628">
          <w:marLeft w:val="0"/>
          <w:marRight w:val="0"/>
          <w:marTop w:val="0"/>
          <w:marBottom w:val="0"/>
          <w:divBdr>
            <w:top w:val="none" w:sz="0" w:space="0" w:color="auto"/>
            <w:left w:val="none" w:sz="0" w:space="0" w:color="auto"/>
            <w:bottom w:val="none" w:sz="0" w:space="0" w:color="auto"/>
            <w:right w:val="none" w:sz="0" w:space="0" w:color="auto"/>
          </w:divBdr>
        </w:div>
        <w:div w:id="1620525194">
          <w:marLeft w:val="0"/>
          <w:marRight w:val="0"/>
          <w:marTop w:val="0"/>
          <w:marBottom w:val="0"/>
          <w:divBdr>
            <w:top w:val="none" w:sz="0" w:space="0" w:color="auto"/>
            <w:left w:val="none" w:sz="0" w:space="0" w:color="auto"/>
            <w:bottom w:val="none" w:sz="0" w:space="0" w:color="auto"/>
            <w:right w:val="none" w:sz="0" w:space="0" w:color="auto"/>
          </w:divBdr>
        </w:div>
        <w:div w:id="2006780155">
          <w:marLeft w:val="0"/>
          <w:marRight w:val="0"/>
          <w:marTop w:val="0"/>
          <w:marBottom w:val="0"/>
          <w:divBdr>
            <w:top w:val="none" w:sz="0" w:space="0" w:color="auto"/>
            <w:left w:val="none" w:sz="0" w:space="0" w:color="auto"/>
            <w:bottom w:val="none" w:sz="0" w:space="0" w:color="auto"/>
            <w:right w:val="none" w:sz="0" w:space="0" w:color="auto"/>
          </w:divBdr>
        </w:div>
        <w:div w:id="164322949">
          <w:marLeft w:val="0"/>
          <w:marRight w:val="0"/>
          <w:marTop w:val="0"/>
          <w:marBottom w:val="0"/>
          <w:divBdr>
            <w:top w:val="none" w:sz="0" w:space="0" w:color="auto"/>
            <w:left w:val="none" w:sz="0" w:space="0" w:color="auto"/>
            <w:bottom w:val="none" w:sz="0" w:space="0" w:color="auto"/>
            <w:right w:val="none" w:sz="0" w:space="0" w:color="auto"/>
          </w:divBdr>
        </w:div>
        <w:div w:id="1189493123">
          <w:marLeft w:val="0"/>
          <w:marRight w:val="0"/>
          <w:marTop w:val="0"/>
          <w:marBottom w:val="0"/>
          <w:divBdr>
            <w:top w:val="none" w:sz="0" w:space="0" w:color="auto"/>
            <w:left w:val="none" w:sz="0" w:space="0" w:color="auto"/>
            <w:bottom w:val="none" w:sz="0" w:space="0" w:color="auto"/>
            <w:right w:val="none" w:sz="0" w:space="0" w:color="auto"/>
          </w:divBdr>
        </w:div>
        <w:div w:id="20867174">
          <w:marLeft w:val="0"/>
          <w:marRight w:val="0"/>
          <w:marTop w:val="0"/>
          <w:marBottom w:val="0"/>
          <w:divBdr>
            <w:top w:val="none" w:sz="0" w:space="0" w:color="auto"/>
            <w:left w:val="none" w:sz="0" w:space="0" w:color="auto"/>
            <w:bottom w:val="none" w:sz="0" w:space="0" w:color="auto"/>
            <w:right w:val="none" w:sz="0" w:space="0" w:color="auto"/>
          </w:divBdr>
        </w:div>
      </w:divsChild>
    </w:div>
    <w:div w:id="1809974564">
      <w:bodyDiv w:val="1"/>
      <w:marLeft w:val="0"/>
      <w:marRight w:val="0"/>
      <w:marTop w:val="0"/>
      <w:marBottom w:val="0"/>
      <w:divBdr>
        <w:top w:val="none" w:sz="0" w:space="0" w:color="auto"/>
        <w:left w:val="none" w:sz="0" w:space="0" w:color="auto"/>
        <w:bottom w:val="none" w:sz="0" w:space="0" w:color="auto"/>
        <w:right w:val="none" w:sz="0" w:space="0" w:color="auto"/>
      </w:divBdr>
      <w:divsChild>
        <w:div w:id="1344090130">
          <w:marLeft w:val="0"/>
          <w:marRight w:val="0"/>
          <w:marTop w:val="0"/>
          <w:marBottom w:val="0"/>
          <w:divBdr>
            <w:top w:val="none" w:sz="0" w:space="0" w:color="auto"/>
            <w:left w:val="none" w:sz="0" w:space="0" w:color="auto"/>
            <w:bottom w:val="none" w:sz="0" w:space="0" w:color="auto"/>
            <w:right w:val="none" w:sz="0" w:space="0" w:color="auto"/>
          </w:divBdr>
        </w:div>
        <w:div w:id="768933965">
          <w:marLeft w:val="0"/>
          <w:marRight w:val="0"/>
          <w:marTop w:val="0"/>
          <w:marBottom w:val="0"/>
          <w:divBdr>
            <w:top w:val="none" w:sz="0" w:space="0" w:color="auto"/>
            <w:left w:val="none" w:sz="0" w:space="0" w:color="auto"/>
            <w:bottom w:val="none" w:sz="0" w:space="0" w:color="auto"/>
            <w:right w:val="none" w:sz="0" w:space="0" w:color="auto"/>
          </w:divBdr>
        </w:div>
        <w:div w:id="572277693">
          <w:marLeft w:val="0"/>
          <w:marRight w:val="0"/>
          <w:marTop w:val="0"/>
          <w:marBottom w:val="0"/>
          <w:divBdr>
            <w:top w:val="none" w:sz="0" w:space="0" w:color="auto"/>
            <w:left w:val="none" w:sz="0" w:space="0" w:color="auto"/>
            <w:bottom w:val="none" w:sz="0" w:space="0" w:color="auto"/>
            <w:right w:val="none" w:sz="0" w:space="0" w:color="auto"/>
          </w:divBdr>
        </w:div>
        <w:div w:id="1022365261">
          <w:marLeft w:val="0"/>
          <w:marRight w:val="0"/>
          <w:marTop w:val="0"/>
          <w:marBottom w:val="0"/>
          <w:divBdr>
            <w:top w:val="none" w:sz="0" w:space="0" w:color="auto"/>
            <w:left w:val="none" w:sz="0" w:space="0" w:color="auto"/>
            <w:bottom w:val="none" w:sz="0" w:space="0" w:color="auto"/>
            <w:right w:val="none" w:sz="0" w:space="0" w:color="auto"/>
          </w:divBdr>
        </w:div>
        <w:div w:id="865486044">
          <w:marLeft w:val="0"/>
          <w:marRight w:val="0"/>
          <w:marTop w:val="0"/>
          <w:marBottom w:val="0"/>
          <w:divBdr>
            <w:top w:val="none" w:sz="0" w:space="0" w:color="auto"/>
            <w:left w:val="none" w:sz="0" w:space="0" w:color="auto"/>
            <w:bottom w:val="none" w:sz="0" w:space="0" w:color="auto"/>
            <w:right w:val="none" w:sz="0" w:space="0" w:color="auto"/>
          </w:divBdr>
        </w:div>
        <w:div w:id="1492525699">
          <w:marLeft w:val="0"/>
          <w:marRight w:val="0"/>
          <w:marTop w:val="0"/>
          <w:marBottom w:val="0"/>
          <w:divBdr>
            <w:top w:val="none" w:sz="0" w:space="0" w:color="auto"/>
            <w:left w:val="none" w:sz="0" w:space="0" w:color="auto"/>
            <w:bottom w:val="none" w:sz="0" w:space="0" w:color="auto"/>
            <w:right w:val="none" w:sz="0" w:space="0" w:color="auto"/>
          </w:divBdr>
        </w:div>
        <w:div w:id="2061132547">
          <w:marLeft w:val="0"/>
          <w:marRight w:val="0"/>
          <w:marTop w:val="0"/>
          <w:marBottom w:val="0"/>
          <w:divBdr>
            <w:top w:val="none" w:sz="0" w:space="0" w:color="auto"/>
            <w:left w:val="none" w:sz="0" w:space="0" w:color="auto"/>
            <w:bottom w:val="none" w:sz="0" w:space="0" w:color="auto"/>
            <w:right w:val="none" w:sz="0" w:space="0" w:color="auto"/>
          </w:divBdr>
        </w:div>
        <w:div w:id="2140220189">
          <w:marLeft w:val="0"/>
          <w:marRight w:val="0"/>
          <w:marTop w:val="0"/>
          <w:marBottom w:val="0"/>
          <w:divBdr>
            <w:top w:val="none" w:sz="0" w:space="0" w:color="auto"/>
            <w:left w:val="none" w:sz="0" w:space="0" w:color="auto"/>
            <w:bottom w:val="none" w:sz="0" w:space="0" w:color="auto"/>
            <w:right w:val="none" w:sz="0" w:space="0" w:color="auto"/>
          </w:divBdr>
        </w:div>
        <w:div w:id="209653373">
          <w:marLeft w:val="0"/>
          <w:marRight w:val="0"/>
          <w:marTop w:val="0"/>
          <w:marBottom w:val="0"/>
          <w:divBdr>
            <w:top w:val="none" w:sz="0" w:space="0" w:color="auto"/>
            <w:left w:val="none" w:sz="0" w:space="0" w:color="auto"/>
            <w:bottom w:val="none" w:sz="0" w:space="0" w:color="auto"/>
            <w:right w:val="none" w:sz="0" w:space="0" w:color="auto"/>
          </w:divBdr>
        </w:div>
        <w:div w:id="1659529794">
          <w:marLeft w:val="0"/>
          <w:marRight w:val="0"/>
          <w:marTop w:val="0"/>
          <w:marBottom w:val="0"/>
          <w:divBdr>
            <w:top w:val="none" w:sz="0" w:space="0" w:color="auto"/>
            <w:left w:val="none" w:sz="0" w:space="0" w:color="auto"/>
            <w:bottom w:val="none" w:sz="0" w:space="0" w:color="auto"/>
            <w:right w:val="none" w:sz="0" w:space="0" w:color="auto"/>
          </w:divBdr>
        </w:div>
        <w:div w:id="60249535">
          <w:marLeft w:val="0"/>
          <w:marRight w:val="0"/>
          <w:marTop w:val="0"/>
          <w:marBottom w:val="0"/>
          <w:divBdr>
            <w:top w:val="none" w:sz="0" w:space="0" w:color="auto"/>
            <w:left w:val="none" w:sz="0" w:space="0" w:color="auto"/>
            <w:bottom w:val="none" w:sz="0" w:space="0" w:color="auto"/>
            <w:right w:val="none" w:sz="0" w:space="0" w:color="auto"/>
          </w:divBdr>
        </w:div>
        <w:div w:id="287974070">
          <w:marLeft w:val="0"/>
          <w:marRight w:val="0"/>
          <w:marTop w:val="0"/>
          <w:marBottom w:val="0"/>
          <w:divBdr>
            <w:top w:val="none" w:sz="0" w:space="0" w:color="auto"/>
            <w:left w:val="none" w:sz="0" w:space="0" w:color="auto"/>
            <w:bottom w:val="none" w:sz="0" w:space="0" w:color="auto"/>
            <w:right w:val="none" w:sz="0" w:space="0" w:color="auto"/>
          </w:divBdr>
        </w:div>
        <w:div w:id="695080535">
          <w:marLeft w:val="0"/>
          <w:marRight w:val="0"/>
          <w:marTop w:val="0"/>
          <w:marBottom w:val="0"/>
          <w:divBdr>
            <w:top w:val="none" w:sz="0" w:space="0" w:color="auto"/>
            <w:left w:val="none" w:sz="0" w:space="0" w:color="auto"/>
            <w:bottom w:val="none" w:sz="0" w:space="0" w:color="auto"/>
            <w:right w:val="none" w:sz="0" w:space="0" w:color="auto"/>
          </w:divBdr>
        </w:div>
        <w:div w:id="692803924">
          <w:marLeft w:val="0"/>
          <w:marRight w:val="0"/>
          <w:marTop w:val="0"/>
          <w:marBottom w:val="0"/>
          <w:divBdr>
            <w:top w:val="none" w:sz="0" w:space="0" w:color="auto"/>
            <w:left w:val="none" w:sz="0" w:space="0" w:color="auto"/>
            <w:bottom w:val="none" w:sz="0" w:space="0" w:color="auto"/>
            <w:right w:val="none" w:sz="0" w:space="0" w:color="auto"/>
          </w:divBdr>
        </w:div>
        <w:div w:id="519205126">
          <w:marLeft w:val="0"/>
          <w:marRight w:val="0"/>
          <w:marTop w:val="0"/>
          <w:marBottom w:val="0"/>
          <w:divBdr>
            <w:top w:val="none" w:sz="0" w:space="0" w:color="auto"/>
            <w:left w:val="none" w:sz="0" w:space="0" w:color="auto"/>
            <w:bottom w:val="none" w:sz="0" w:space="0" w:color="auto"/>
            <w:right w:val="none" w:sz="0" w:space="0" w:color="auto"/>
          </w:divBdr>
        </w:div>
        <w:div w:id="363485291">
          <w:marLeft w:val="0"/>
          <w:marRight w:val="0"/>
          <w:marTop w:val="0"/>
          <w:marBottom w:val="0"/>
          <w:divBdr>
            <w:top w:val="none" w:sz="0" w:space="0" w:color="auto"/>
            <w:left w:val="none" w:sz="0" w:space="0" w:color="auto"/>
            <w:bottom w:val="none" w:sz="0" w:space="0" w:color="auto"/>
            <w:right w:val="none" w:sz="0" w:space="0" w:color="auto"/>
          </w:divBdr>
        </w:div>
        <w:div w:id="2991898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2435D-9C5D-4D08-A215-FB974AC7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2251</Words>
  <Characters>12835</Characters>
  <Application>Microsoft Office Word</Application>
  <DocSecurity>0</DocSecurity>
  <Lines>106</Lines>
  <Paragraphs>30</Paragraphs>
  <ScaleCrop>false</ScaleCrop>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Santayana's Christianity CURRENT</dc:title>
  <dc:creator>D. Seiple</dc:creator>
  <cp:lastModifiedBy>D. Seiple</cp:lastModifiedBy>
  <cp:revision>47</cp:revision>
  <cp:lastPrinted>2024-07-15T20:29:00Z</cp:lastPrinted>
  <dcterms:created xsi:type="dcterms:W3CDTF">2024-09-05T23:22:00Z</dcterms:created>
  <dcterms:modified xsi:type="dcterms:W3CDTF">2024-09-11T16:50:00Z</dcterms:modified>
</cp:coreProperties>
</file>