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C642E" w14:textId="77777777" w:rsidR="008B0626" w:rsidRDefault="008B0626" w:rsidP="00235817">
      <w:pPr>
        <w:spacing w:line="240" w:lineRule="auto"/>
        <w:rPr>
          <w:b/>
          <w:sz w:val="28"/>
        </w:rPr>
      </w:pPr>
    </w:p>
    <w:p w14:paraId="1AAC3039" w14:textId="105CFB52" w:rsidR="00DA5159" w:rsidRDefault="0051467C" w:rsidP="00235817">
      <w:pPr>
        <w:spacing w:line="240" w:lineRule="auto"/>
        <w:jc w:val="center"/>
        <w:rPr>
          <w:rFonts w:cs="Times New Roman (Body CS)"/>
          <w:bCs/>
          <w:smallCaps/>
          <w:sz w:val="28"/>
        </w:rPr>
      </w:pPr>
      <w:r w:rsidRPr="00E45BED">
        <w:rPr>
          <w:rFonts w:cs="Times New Roman (Body CS)"/>
          <w:b/>
          <w:smallCaps/>
          <w:sz w:val="28"/>
        </w:rPr>
        <w:t>Philosophical Speech Acts</w:t>
      </w:r>
    </w:p>
    <w:p w14:paraId="5A22243F" w14:textId="6AD56C36" w:rsidR="00E45BED" w:rsidRDefault="00E45BED" w:rsidP="00235817">
      <w:pPr>
        <w:spacing w:line="240" w:lineRule="auto"/>
        <w:jc w:val="center"/>
        <w:rPr>
          <w:rFonts w:cs="Times New Roman (Body CS)"/>
          <w:bCs/>
          <w:smallCaps/>
          <w:sz w:val="28"/>
        </w:rPr>
      </w:pPr>
    </w:p>
    <w:p w14:paraId="18A53FF7" w14:textId="740DC4C7" w:rsidR="00E45BED" w:rsidRDefault="00E45BED" w:rsidP="00235817">
      <w:pPr>
        <w:spacing w:line="240" w:lineRule="auto"/>
        <w:jc w:val="center"/>
        <w:rPr>
          <w:rFonts w:cs="Times New Roman (Body CS)"/>
          <w:bCs/>
          <w:szCs w:val="24"/>
        </w:rPr>
      </w:pPr>
      <w:r w:rsidRPr="00E45BED">
        <w:rPr>
          <w:rFonts w:cs="Times New Roman (Body CS)"/>
          <w:bCs/>
          <w:szCs w:val="24"/>
        </w:rPr>
        <w:t>This is a pre-print. Please cite from the published version:</w:t>
      </w:r>
      <w:r w:rsidR="00235817">
        <w:rPr>
          <w:rFonts w:cs="Times New Roman (Body CS)"/>
          <w:bCs/>
          <w:szCs w:val="24"/>
        </w:rPr>
        <w:t xml:space="preserve"> </w:t>
      </w:r>
      <w:hyperlink r:id="rId8" w:history="1">
        <w:r w:rsidR="00235817" w:rsidRPr="0021414F">
          <w:rPr>
            <w:rStyle w:val="Hyperlink"/>
            <w:rFonts w:cs="Times New Roman (Body CS)"/>
            <w:bCs/>
            <w:szCs w:val="24"/>
          </w:rPr>
          <w:t>https://www.cambridge.org/core/journals/philosophy/article/abs/philosophical-speech-acts/65448CF004F469688759B8FB063D3731</w:t>
        </w:r>
      </w:hyperlink>
    </w:p>
    <w:p w14:paraId="4740F8FB" w14:textId="77777777" w:rsidR="00235817" w:rsidRPr="00E45BED" w:rsidRDefault="00235817" w:rsidP="00235817">
      <w:pPr>
        <w:spacing w:line="240" w:lineRule="auto"/>
        <w:rPr>
          <w:rFonts w:cs="Times New Roman (Body CS)"/>
          <w:bCs/>
          <w:szCs w:val="24"/>
        </w:rPr>
      </w:pPr>
    </w:p>
    <w:p w14:paraId="38913A8A" w14:textId="77777777" w:rsidR="006E4825" w:rsidRDefault="00926476" w:rsidP="00235817">
      <w:pPr>
        <w:spacing w:line="240" w:lineRule="auto"/>
      </w:pPr>
      <w:r>
        <w:rPr>
          <w:noProof/>
        </w:rPr>
        <w:pict w14:anchorId="1E79993A">
          <v:rect id="_x0000_i1026" alt="" style="width:468pt;height:.05pt;mso-width-percent:0;mso-height-percent:0;mso-width-percent:0;mso-height-percent:0" o:hralign="center" o:hrstd="t" o:hr="t" fillcolor="#a0a0a0" stroked="f"/>
        </w:pict>
      </w:r>
    </w:p>
    <w:p w14:paraId="367FA536" w14:textId="77777777" w:rsidR="006E4825" w:rsidRDefault="006E4825" w:rsidP="00235817">
      <w:pPr>
        <w:spacing w:line="240" w:lineRule="auto"/>
      </w:pPr>
      <w:r>
        <w:rPr>
          <w:u w:val="single"/>
        </w:rPr>
        <w:t>Abstract</w:t>
      </w:r>
      <w:r>
        <w:t xml:space="preserve">: The prevailing view among contemporary analytic philosophers </w:t>
      </w:r>
      <w:r w:rsidR="009C4312">
        <w:t>seems to be</w:t>
      </w:r>
      <w:r>
        <w:t xml:space="preserve"> that, as philosophers, we primarily issue assertions. Following certain suggestions from the work of Rudolf Carnap and Sally Haslanger, I argue that the non-assertoric speech act of stipulation plays a key role in philosophical inquiry. I give a detailed account of the pragmatic structure of stipulations and argue that they are best analyzed as generating a shared inferential entitlement for speaker and audience, a license to censure those who give uptake to the stipulation but do not abide by this </w:t>
      </w:r>
      <w:proofErr w:type="gramStart"/>
      <w:r>
        <w:t>entitlement, and</w:t>
      </w:r>
      <w:proofErr w:type="gramEnd"/>
      <w:r>
        <w:t xml:space="preserve"> are taken to be justified on the basis of speaker and audience’s shared ends. In presenting this account, I develop a novel taxonomy for making sense of criticisms of speech act performances </w:t>
      </w:r>
      <w:proofErr w:type="gramStart"/>
      <w:r>
        <w:t>generally</w:t>
      </w:r>
      <w:proofErr w:type="gramEnd"/>
      <w:r>
        <w:t xml:space="preserve"> and clarify the notions of successful speech act performance and uptake. To demonstrate the fruitfulness of this view of stipulation for recasting and advancing philosophical disputes, I apply my account to two case studies – the first concerns Iris Marion Young’s analysis of the concept of oppression and the second involves Saul Kripke’s and Hilary Putnam’s accounts of the concept of reference.</w:t>
      </w:r>
    </w:p>
    <w:p w14:paraId="59F1E3BB" w14:textId="77777777" w:rsidR="006E4825" w:rsidRDefault="00926476" w:rsidP="00235817">
      <w:pPr>
        <w:spacing w:line="240" w:lineRule="auto"/>
      </w:pPr>
      <w:r>
        <w:rPr>
          <w:noProof/>
        </w:rPr>
        <w:pict w14:anchorId="7A94915D">
          <v:rect id="_x0000_i1025" alt="" style="width:468pt;height:.05pt;mso-width-percent:0;mso-height-percent:0;mso-width-percent:0;mso-height-percent:0" o:hralign="center" o:hrstd="t" o:hr="t" fillcolor="#a0a0a0" stroked="f"/>
        </w:pict>
      </w:r>
    </w:p>
    <w:p w14:paraId="2FBA51FB" w14:textId="77777777" w:rsidR="006E4825" w:rsidRPr="00A317AA" w:rsidRDefault="006E4825" w:rsidP="00235817">
      <w:pPr>
        <w:spacing w:line="240" w:lineRule="auto"/>
      </w:pPr>
    </w:p>
    <w:p w14:paraId="19E7C3E2" w14:textId="77777777" w:rsidR="001C7AAA" w:rsidRPr="00AF6FFA" w:rsidRDefault="003D571F" w:rsidP="00235817">
      <w:pPr>
        <w:spacing w:line="240" w:lineRule="auto"/>
        <w:ind w:firstLine="720"/>
        <w:rPr>
          <w:szCs w:val="24"/>
        </w:rPr>
      </w:pPr>
      <w:r>
        <w:rPr>
          <w:szCs w:val="24"/>
        </w:rPr>
        <w:t>What do</w:t>
      </w:r>
      <w:r w:rsidR="006E0703" w:rsidRPr="00DC38A3">
        <w:rPr>
          <w:szCs w:val="24"/>
        </w:rPr>
        <w:t xml:space="preserve"> we do </w:t>
      </w:r>
      <w:r w:rsidR="00B34ABB">
        <w:rPr>
          <w:szCs w:val="24"/>
        </w:rPr>
        <w:t>with our words as philosophers?</w:t>
      </w:r>
      <w:r w:rsidR="006E0703" w:rsidRPr="00DC38A3">
        <w:rPr>
          <w:szCs w:val="24"/>
        </w:rPr>
        <w:t xml:space="preserve"> </w:t>
      </w:r>
      <w:r w:rsidR="00B34ABB">
        <w:rPr>
          <w:szCs w:val="24"/>
        </w:rPr>
        <w:t>W</w:t>
      </w:r>
      <w:r>
        <w:rPr>
          <w:szCs w:val="24"/>
        </w:rPr>
        <w:t>hat kind</w:t>
      </w:r>
      <w:r w:rsidR="009C4312">
        <w:rPr>
          <w:szCs w:val="24"/>
        </w:rPr>
        <w:t>s</w:t>
      </w:r>
      <w:r w:rsidR="006E0703">
        <w:rPr>
          <w:szCs w:val="24"/>
        </w:rPr>
        <w:t xml:space="preserve"> of speech acts </w:t>
      </w:r>
      <w:r>
        <w:rPr>
          <w:szCs w:val="24"/>
        </w:rPr>
        <w:t xml:space="preserve">do </w:t>
      </w:r>
      <w:r w:rsidR="006E0703">
        <w:rPr>
          <w:szCs w:val="24"/>
        </w:rPr>
        <w:t>we perform?</w:t>
      </w:r>
      <w:r w:rsidR="001702F6" w:rsidRPr="00DC38A3">
        <w:rPr>
          <w:szCs w:val="24"/>
        </w:rPr>
        <w:t xml:space="preserve"> </w:t>
      </w:r>
      <w:r w:rsidR="00566768" w:rsidRPr="00DC38A3">
        <w:rPr>
          <w:szCs w:val="24"/>
        </w:rPr>
        <w:t>O</w:t>
      </w:r>
      <w:r w:rsidR="000C5FDD" w:rsidRPr="00DC38A3">
        <w:rPr>
          <w:szCs w:val="24"/>
        </w:rPr>
        <w:t>ur</w:t>
      </w:r>
      <w:r w:rsidR="005F4A64">
        <w:rPr>
          <w:szCs w:val="24"/>
        </w:rPr>
        <w:t xml:space="preserve"> answer to th</w:t>
      </w:r>
      <w:r w:rsidR="001C448A">
        <w:rPr>
          <w:szCs w:val="24"/>
        </w:rPr>
        <w:t>is</w:t>
      </w:r>
      <w:r w:rsidR="006F5785" w:rsidRPr="00DC38A3">
        <w:rPr>
          <w:szCs w:val="24"/>
        </w:rPr>
        <w:t xml:space="preserve"> question will </w:t>
      </w:r>
      <w:r w:rsidR="00DA5159" w:rsidRPr="00DC38A3">
        <w:rPr>
          <w:szCs w:val="24"/>
        </w:rPr>
        <w:t>depend</w:t>
      </w:r>
      <w:r w:rsidR="0036527B">
        <w:rPr>
          <w:szCs w:val="24"/>
        </w:rPr>
        <w:t xml:space="preserve"> </w:t>
      </w:r>
      <w:r w:rsidR="00566768" w:rsidRPr="00DC38A3">
        <w:rPr>
          <w:szCs w:val="24"/>
        </w:rPr>
        <w:t xml:space="preserve">on </w:t>
      </w:r>
      <w:r w:rsidR="006F5785" w:rsidRPr="00DC38A3">
        <w:rPr>
          <w:szCs w:val="24"/>
        </w:rPr>
        <w:t>our view of what philosophy is, and philosophers tend to be</w:t>
      </w:r>
      <w:r w:rsidR="00E17B39" w:rsidRPr="00DC38A3">
        <w:rPr>
          <w:szCs w:val="24"/>
        </w:rPr>
        <w:t xml:space="preserve"> just</w:t>
      </w:r>
      <w:r w:rsidR="006F5785" w:rsidRPr="00DC38A3">
        <w:rPr>
          <w:szCs w:val="24"/>
        </w:rPr>
        <w:t xml:space="preserve"> as divided on this question as they are </w:t>
      </w:r>
      <w:r w:rsidR="000C5FA3" w:rsidRPr="00DC38A3">
        <w:rPr>
          <w:szCs w:val="24"/>
        </w:rPr>
        <w:t>on</w:t>
      </w:r>
      <w:r w:rsidR="006F5785" w:rsidRPr="00DC38A3">
        <w:rPr>
          <w:szCs w:val="24"/>
        </w:rPr>
        <w:t xml:space="preserve"> any </w:t>
      </w:r>
      <w:r w:rsidR="004D7E23" w:rsidRPr="00DC38A3">
        <w:rPr>
          <w:szCs w:val="24"/>
        </w:rPr>
        <w:t>other</w:t>
      </w:r>
      <w:r w:rsidR="007060C2">
        <w:rPr>
          <w:szCs w:val="24"/>
        </w:rPr>
        <w:t xml:space="preserve"> philosophical question</w:t>
      </w:r>
      <w:r w:rsidR="006F5785" w:rsidRPr="00DC38A3">
        <w:rPr>
          <w:szCs w:val="24"/>
        </w:rPr>
        <w:t>.</w:t>
      </w:r>
      <w:r w:rsidR="000C5FDD" w:rsidRPr="00DC38A3">
        <w:rPr>
          <w:szCs w:val="24"/>
        </w:rPr>
        <w:t xml:space="preserve"> But </w:t>
      </w:r>
      <w:r w:rsidR="00B41D96" w:rsidRPr="00DC38A3">
        <w:rPr>
          <w:szCs w:val="24"/>
        </w:rPr>
        <w:t>let’s</w:t>
      </w:r>
      <w:r w:rsidR="000C5FDD" w:rsidRPr="00DC38A3">
        <w:rPr>
          <w:szCs w:val="24"/>
        </w:rPr>
        <w:t xml:space="preserve"> start with what</w:t>
      </w:r>
      <w:r w:rsidR="00566768" w:rsidRPr="00DC38A3">
        <w:rPr>
          <w:szCs w:val="24"/>
        </w:rPr>
        <w:t xml:space="preserve"> </w:t>
      </w:r>
      <w:r w:rsidR="00B41D96" w:rsidRPr="00DC38A3">
        <w:rPr>
          <w:szCs w:val="24"/>
        </w:rPr>
        <w:t xml:space="preserve">at least </w:t>
      </w:r>
      <w:r w:rsidR="00566768" w:rsidRPr="00DC38A3">
        <w:rPr>
          <w:szCs w:val="24"/>
        </w:rPr>
        <w:t xml:space="preserve">seems to be </w:t>
      </w:r>
      <w:r w:rsidR="00DE7AB9" w:rsidRPr="00DC38A3">
        <w:rPr>
          <w:szCs w:val="24"/>
        </w:rPr>
        <w:t>the prevailing</w:t>
      </w:r>
      <w:r w:rsidR="00BD1E5B" w:rsidRPr="00DC38A3">
        <w:rPr>
          <w:szCs w:val="24"/>
        </w:rPr>
        <w:t xml:space="preserve"> </w:t>
      </w:r>
      <w:r w:rsidR="00EE05D5" w:rsidRPr="00DC38A3">
        <w:rPr>
          <w:szCs w:val="24"/>
        </w:rPr>
        <w:t xml:space="preserve">and, on the face of it, rather innocuous view </w:t>
      </w:r>
      <w:r w:rsidR="000C5FDD" w:rsidRPr="00DC38A3">
        <w:rPr>
          <w:szCs w:val="24"/>
        </w:rPr>
        <w:t xml:space="preserve">– </w:t>
      </w:r>
      <w:proofErr w:type="gramStart"/>
      <w:r w:rsidR="000C5FDD" w:rsidRPr="00DC38A3">
        <w:rPr>
          <w:szCs w:val="24"/>
        </w:rPr>
        <w:t>that philosophers</w:t>
      </w:r>
      <w:proofErr w:type="gramEnd"/>
      <w:r w:rsidR="00DE7AB9" w:rsidRPr="00DC38A3">
        <w:rPr>
          <w:szCs w:val="24"/>
        </w:rPr>
        <w:t>, like any serious inquirer,</w:t>
      </w:r>
      <w:r w:rsidR="000C5FDD" w:rsidRPr="00DC38A3">
        <w:rPr>
          <w:szCs w:val="24"/>
        </w:rPr>
        <w:t xml:space="preserve"> aim to </w:t>
      </w:r>
      <w:r w:rsidR="00BD1E5B" w:rsidRPr="00DC38A3">
        <w:rPr>
          <w:szCs w:val="24"/>
        </w:rPr>
        <w:t>say something true about the world.</w:t>
      </w:r>
      <w:r w:rsidR="003A6946" w:rsidRPr="00DC38A3">
        <w:rPr>
          <w:szCs w:val="24"/>
        </w:rPr>
        <w:t xml:space="preserve"> </w:t>
      </w:r>
      <w:r w:rsidR="001C7AAA">
        <w:rPr>
          <w:szCs w:val="24"/>
        </w:rPr>
        <w:t>Alice Ambrose</w:t>
      </w:r>
      <w:r w:rsidR="005F156B">
        <w:rPr>
          <w:szCs w:val="24"/>
        </w:rPr>
        <w:t xml:space="preserve"> </w:t>
      </w:r>
      <w:r w:rsidR="001C7AAA">
        <w:rPr>
          <w:szCs w:val="24"/>
        </w:rPr>
        <w:t>labe</w:t>
      </w:r>
      <w:r w:rsidR="008F5692">
        <w:rPr>
          <w:szCs w:val="24"/>
        </w:rPr>
        <w:t>ls</w:t>
      </w:r>
      <w:r w:rsidR="001C7AAA">
        <w:rPr>
          <w:szCs w:val="24"/>
        </w:rPr>
        <w:t xml:space="preserve"> this </w:t>
      </w:r>
      <w:r w:rsidR="009B45D2">
        <w:rPr>
          <w:szCs w:val="24"/>
        </w:rPr>
        <w:t>‘</w:t>
      </w:r>
      <w:r w:rsidR="00530B5A">
        <w:rPr>
          <w:szCs w:val="24"/>
        </w:rPr>
        <w:t>the orthodox position’, which ‘</w:t>
      </w:r>
      <w:r w:rsidR="001C7AAA" w:rsidRPr="00A65965">
        <w:rPr>
          <w:rFonts w:cs="Times New Roman"/>
          <w:szCs w:val="24"/>
        </w:rPr>
        <w:t>describes philosophy as a pursuit o</w:t>
      </w:r>
      <w:r w:rsidR="009B45D2">
        <w:rPr>
          <w:rFonts w:cs="Times New Roman"/>
          <w:szCs w:val="24"/>
        </w:rPr>
        <w:t>f truth, where “pursuit of truth”</w:t>
      </w:r>
      <w:r w:rsidR="001C7AAA" w:rsidRPr="00A65965">
        <w:rPr>
          <w:rFonts w:cs="Times New Roman"/>
          <w:szCs w:val="24"/>
        </w:rPr>
        <w:t xml:space="preserve"> is interpreted in conformity with common usage as the attempt to acquire kno</w:t>
      </w:r>
      <w:r w:rsidR="009B45D2">
        <w:rPr>
          <w:rFonts w:cs="Times New Roman"/>
          <w:szCs w:val="24"/>
        </w:rPr>
        <w:t>wledge about our world’</w:t>
      </w:r>
      <w:r w:rsidR="001D1C6F">
        <w:rPr>
          <w:rFonts w:cs="Times New Roman"/>
          <w:szCs w:val="24"/>
        </w:rPr>
        <w:t xml:space="preserve"> (Ambrose, 1952, </w:t>
      </w:r>
      <w:r w:rsidR="003F682E">
        <w:rPr>
          <w:rFonts w:cs="Times New Roman"/>
          <w:szCs w:val="24"/>
        </w:rPr>
        <w:t xml:space="preserve">p. </w:t>
      </w:r>
      <w:r w:rsidR="001D1C6F">
        <w:rPr>
          <w:rFonts w:cs="Times New Roman"/>
          <w:szCs w:val="24"/>
        </w:rPr>
        <w:t>289)</w:t>
      </w:r>
      <w:r w:rsidR="001C7AAA" w:rsidRPr="00A65965">
        <w:rPr>
          <w:rFonts w:cs="Times New Roman"/>
          <w:szCs w:val="24"/>
        </w:rPr>
        <w:t>.</w:t>
      </w:r>
      <w:r w:rsidR="008F5692">
        <w:rPr>
          <w:rStyle w:val="FootnoteReference"/>
          <w:rFonts w:cs="Times New Roman"/>
          <w:szCs w:val="24"/>
        </w:rPr>
        <w:footnoteReference w:id="1"/>
      </w:r>
      <w:r w:rsidR="008F5692">
        <w:rPr>
          <w:rFonts w:cs="Times New Roman"/>
          <w:szCs w:val="24"/>
        </w:rPr>
        <w:t xml:space="preserve"> This reading of philosophy </w:t>
      </w:r>
      <w:r w:rsidR="001C7AAA">
        <w:rPr>
          <w:rFonts w:cs="MinionPro-Regular"/>
          <w:szCs w:val="24"/>
        </w:rPr>
        <w:t xml:space="preserve">seems to capture how philosophers typically package their utterances. </w:t>
      </w:r>
      <w:r w:rsidR="008F5692">
        <w:rPr>
          <w:rFonts w:cs="MinionPro-Regular"/>
          <w:szCs w:val="24"/>
        </w:rPr>
        <w:t>Ambrose continues</w:t>
      </w:r>
      <w:r w:rsidR="001C7AAA">
        <w:rPr>
          <w:rFonts w:cs="MinionPro-Regular"/>
          <w:szCs w:val="24"/>
        </w:rPr>
        <w:t>: ‘Philosophical views quite clearly…appear to state matters of fact. To take some sample illustrations: a physical object is a bundle of properties…it is impossible to know other people exist, motion is impossible, etc.’</w:t>
      </w:r>
      <w:r w:rsidR="001D1C6F">
        <w:rPr>
          <w:rFonts w:cs="MinionPro-Regular"/>
          <w:szCs w:val="24"/>
        </w:rPr>
        <w:t xml:space="preserve"> (1952, </w:t>
      </w:r>
      <w:r w:rsidR="003F682E">
        <w:rPr>
          <w:rFonts w:cs="MinionPro-Regular"/>
          <w:szCs w:val="24"/>
        </w:rPr>
        <w:t xml:space="preserve">p. </w:t>
      </w:r>
      <w:r w:rsidR="001D1C6F">
        <w:rPr>
          <w:rFonts w:cs="MinionPro-Regular"/>
          <w:szCs w:val="24"/>
        </w:rPr>
        <w:t>290)</w:t>
      </w:r>
      <w:r w:rsidR="001C7AAA">
        <w:rPr>
          <w:rFonts w:cs="MinionPro-Regular"/>
          <w:szCs w:val="24"/>
        </w:rPr>
        <w:t>.</w:t>
      </w:r>
      <w:r w:rsidR="00AF6FFA">
        <w:rPr>
          <w:rFonts w:cs="MinionPro-Regular"/>
          <w:szCs w:val="24"/>
        </w:rPr>
        <w:t xml:space="preserve"> Philosophy is therefore</w:t>
      </w:r>
      <w:r w:rsidR="00AD4580">
        <w:rPr>
          <w:rFonts w:cs="MinionPro-Regular"/>
          <w:szCs w:val="24"/>
        </w:rPr>
        <w:t xml:space="preserve"> typically</w:t>
      </w:r>
      <w:r w:rsidR="00AF6FFA">
        <w:rPr>
          <w:rFonts w:cs="MinionPro-Regular"/>
          <w:szCs w:val="24"/>
        </w:rPr>
        <w:t xml:space="preserve"> </w:t>
      </w:r>
      <w:r w:rsidR="00AF6FFA">
        <w:rPr>
          <w:rFonts w:cs="Times New Roman"/>
          <w:szCs w:val="24"/>
        </w:rPr>
        <w:t>‘</w:t>
      </w:r>
      <w:r w:rsidR="001C7AAA" w:rsidRPr="00A65965">
        <w:rPr>
          <w:rFonts w:cs="Times New Roman"/>
          <w:szCs w:val="24"/>
        </w:rPr>
        <w:t>carried on in the language of assertion, i.e., of truth and falsity</w:t>
      </w:r>
      <w:r w:rsidR="00AF6FFA">
        <w:rPr>
          <w:rFonts w:cs="Times New Roman"/>
          <w:szCs w:val="24"/>
        </w:rPr>
        <w:t>’</w:t>
      </w:r>
      <w:r w:rsidR="009C310A">
        <w:rPr>
          <w:rFonts w:cs="Times New Roman"/>
          <w:szCs w:val="24"/>
        </w:rPr>
        <w:t xml:space="preserve"> (Ambrose, 1966, </w:t>
      </w:r>
      <w:r w:rsidR="003F682E">
        <w:rPr>
          <w:rFonts w:cs="Times New Roman"/>
          <w:szCs w:val="24"/>
        </w:rPr>
        <w:t xml:space="preserve">p. </w:t>
      </w:r>
      <w:r w:rsidR="009C310A">
        <w:rPr>
          <w:rFonts w:cs="Times New Roman"/>
          <w:szCs w:val="24"/>
        </w:rPr>
        <w:t>84)</w:t>
      </w:r>
      <w:r w:rsidR="00AF6FFA">
        <w:rPr>
          <w:rFonts w:cs="Times New Roman"/>
          <w:szCs w:val="24"/>
        </w:rPr>
        <w:t>.</w:t>
      </w:r>
    </w:p>
    <w:p w14:paraId="6B526354" w14:textId="77777777" w:rsidR="0076255F" w:rsidRPr="00344A7F" w:rsidRDefault="00AF6FFA" w:rsidP="00235817">
      <w:pPr>
        <w:spacing w:line="240" w:lineRule="auto"/>
        <w:ind w:firstLine="720"/>
        <w:rPr>
          <w:szCs w:val="24"/>
        </w:rPr>
      </w:pPr>
      <w:r>
        <w:rPr>
          <w:szCs w:val="24"/>
        </w:rPr>
        <w:t xml:space="preserve">Ambrose is hardly alone in this assessment. </w:t>
      </w:r>
      <w:r w:rsidR="003B1620" w:rsidRPr="00DC38A3">
        <w:rPr>
          <w:szCs w:val="24"/>
        </w:rPr>
        <w:t xml:space="preserve">Assertion, Sanford Goldberg contends, is </w:t>
      </w:r>
      <w:r w:rsidR="00191572">
        <w:rPr>
          <w:rFonts w:cs="MinionPro-Regular"/>
          <w:szCs w:val="24"/>
        </w:rPr>
        <w:t>‘</w:t>
      </w:r>
      <w:r w:rsidR="003B1620" w:rsidRPr="00DC38A3">
        <w:rPr>
          <w:rFonts w:cs="MinionPro-Regular"/>
          <w:szCs w:val="24"/>
        </w:rPr>
        <w:t xml:space="preserve">the sort of speech act by which we </w:t>
      </w:r>
      <w:r w:rsidR="003B1620" w:rsidRPr="00DC38A3">
        <w:rPr>
          <w:rFonts w:eastAsia="MinionPro-It" w:cs="MinionPro-It"/>
          <w:i/>
          <w:iCs/>
          <w:szCs w:val="24"/>
        </w:rPr>
        <w:t>state, report, contend</w:t>
      </w:r>
      <w:r w:rsidR="003B1620" w:rsidRPr="00DC38A3">
        <w:rPr>
          <w:rFonts w:cs="MinionPro-Regular"/>
          <w:szCs w:val="24"/>
        </w:rPr>
        <w:t xml:space="preserve">, or </w:t>
      </w:r>
      <w:r w:rsidR="003B1620" w:rsidRPr="00DC38A3">
        <w:rPr>
          <w:rFonts w:eastAsia="MinionPro-It" w:cs="MinionPro-It"/>
          <w:i/>
          <w:iCs/>
          <w:szCs w:val="24"/>
        </w:rPr>
        <w:t xml:space="preserve">claim </w:t>
      </w:r>
      <w:r w:rsidR="00191572">
        <w:rPr>
          <w:rFonts w:cs="MinionPro-Regular"/>
          <w:szCs w:val="24"/>
        </w:rPr>
        <w:t>that such-and-such is the case’</w:t>
      </w:r>
      <w:r w:rsidR="00970C3D">
        <w:rPr>
          <w:rFonts w:cs="MinionPro-Regular"/>
          <w:szCs w:val="24"/>
        </w:rPr>
        <w:t xml:space="preserve"> (Goldberg, 2015, </w:t>
      </w:r>
      <w:r w:rsidR="003F682E">
        <w:rPr>
          <w:rFonts w:cs="MinionPro-Regular"/>
          <w:szCs w:val="24"/>
        </w:rPr>
        <w:t xml:space="preserve">p. </w:t>
      </w:r>
      <w:r w:rsidR="00970C3D">
        <w:rPr>
          <w:rFonts w:cs="MinionPro-Regular"/>
          <w:szCs w:val="24"/>
        </w:rPr>
        <w:t>3)</w:t>
      </w:r>
      <w:r w:rsidR="003B1620" w:rsidRPr="00DC38A3">
        <w:rPr>
          <w:rFonts w:cs="MinionPro-Regular"/>
          <w:szCs w:val="24"/>
        </w:rPr>
        <w:t>.</w:t>
      </w:r>
      <w:r w:rsidR="00F80AA5" w:rsidRPr="00DC38A3">
        <w:rPr>
          <w:rFonts w:cs="MinionPro-Regular"/>
          <w:szCs w:val="24"/>
        </w:rPr>
        <w:t xml:space="preserve"> Goldberg argues that philosophers </w:t>
      </w:r>
      <w:r w:rsidR="00693A6A">
        <w:rPr>
          <w:rFonts w:cs="MinionPro-Regular"/>
          <w:szCs w:val="24"/>
        </w:rPr>
        <w:t xml:space="preserve">not only </w:t>
      </w:r>
      <w:r w:rsidR="00DC38A3" w:rsidRPr="00DC38A3">
        <w:rPr>
          <w:rFonts w:cs="MinionPro-Regular"/>
          <w:szCs w:val="24"/>
        </w:rPr>
        <w:t>issue assertions</w:t>
      </w:r>
      <w:r w:rsidR="00BC0299">
        <w:rPr>
          <w:rFonts w:cs="MinionPro-Regular"/>
          <w:szCs w:val="24"/>
        </w:rPr>
        <w:t>, but also</w:t>
      </w:r>
      <w:r w:rsidR="00693A6A">
        <w:rPr>
          <w:rFonts w:cs="MinionPro-Regular"/>
          <w:szCs w:val="24"/>
        </w:rPr>
        <w:t xml:space="preserve"> </w:t>
      </w:r>
      <w:r w:rsidR="00A310AB">
        <w:rPr>
          <w:rFonts w:cs="MinionPro-Regular"/>
          <w:szCs w:val="24"/>
        </w:rPr>
        <w:t xml:space="preserve">that </w:t>
      </w:r>
      <w:r w:rsidR="00EF293A">
        <w:rPr>
          <w:rFonts w:cs="MinionPro-Regular"/>
          <w:szCs w:val="24"/>
        </w:rPr>
        <w:t xml:space="preserve">philosophy is </w:t>
      </w:r>
      <w:r w:rsidR="00DC38A3" w:rsidRPr="00DC38A3">
        <w:rPr>
          <w:rFonts w:cs="MinionPro-Regular"/>
          <w:szCs w:val="24"/>
        </w:rPr>
        <w:t>the paradigm case of a specific type of asse</w:t>
      </w:r>
      <w:r w:rsidR="00191572">
        <w:rPr>
          <w:rFonts w:cs="MinionPro-Regular"/>
          <w:szCs w:val="24"/>
        </w:rPr>
        <w:t>rtoric practice: philosophy is ‘</w:t>
      </w:r>
      <w:r w:rsidR="00DC38A3" w:rsidRPr="00DC38A3">
        <w:rPr>
          <w:rFonts w:cs="MinionPro-Regular"/>
          <w:szCs w:val="24"/>
        </w:rPr>
        <w:t>the best example of a more general phenomenon, whereby assertoric practice continues unabated even under condit</w:t>
      </w:r>
      <w:r w:rsidR="00191572">
        <w:rPr>
          <w:rFonts w:cs="MinionPro-Regular"/>
          <w:szCs w:val="24"/>
        </w:rPr>
        <w:t>ions of systematic disagreement’</w:t>
      </w:r>
      <w:r w:rsidR="00970C3D">
        <w:rPr>
          <w:rFonts w:cs="MinionPro-Regular"/>
          <w:szCs w:val="24"/>
        </w:rPr>
        <w:t xml:space="preserve"> (2015, </w:t>
      </w:r>
      <w:r w:rsidR="003F682E">
        <w:rPr>
          <w:rFonts w:cs="MinionPro-Regular"/>
          <w:szCs w:val="24"/>
        </w:rPr>
        <w:t xml:space="preserve">p. </w:t>
      </w:r>
      <w:r w:rsidR="00970C3D">
        <w:rPr>
          <w:rFonts w:cs="MinionPro-Regular"/>
          <w:szCs w:val="24"/>
        </w:rPr>
        <w:t xml:space="preserve">245, fn 35). </w:t>
      </w:r>
      <w:r w:rsidR="00AA7FAA">
        <w:rPr>
          <w:rFonts w:cs="MinionPro-Regular"/>
          <w:szCs w:val="24"/>
        </w:rPr>
        <w:t>Not only</w:t>
      </w:r>
      <w:r w:rsidR="004B0D7C">
        <w:rPr>
          <w:rFonts w:cs="MinionPro-Regular"/>
          <w:szCs w:val="24"/>
        </w:rPr>
        <w:t>,</w:t>
      </w:r>
      <w:r w:rsidR="00AA7FAA">
        <w:rPr>
          <w:rFonts w:cs="MinionPro-Regular"/>
          <w:szCs w:val="24"/>
        </w:rPr>
        <w:t xml:space="preserve"> then</w:t>
      </w:r>
      <w:r w:rsidR="004B0D7C">
        <w:rPr>
          <w:rFonts w:cs="MinionPro-Regular"/>
          <w:szCs w:val="24"/>
        </w:rPr>
        <w:t>,</w:t>
      </w:r>
      <w:r w:rsidR="00AA7FAA">
        <w:rPr>
          <w:rFonts w:cs="MinionPro-Regular"/>
          <w:szCs w:val="24"/>
        </w:rPr>
        <w:t xml:space="preserve"> do we primarily issue assertions as philosophers, </w:t>
      </w:r>
      <w:r w:rsidR="008E34A6">
        <w:rPr>
          <w:rFonts w:cs="MinionPro-Regular"/>
          <w:szCs w:val="24"/>
        </w:rPr>
        <w:t xml:space="preserve">but </w:t>
      </w:r>
      <w:r w:rsidR="00AA7FAA">
        <w:rPr>
          <w:rFonts w:cs="MinionPro-Regular"/>
          <w:szCs w:val="24"/>
        </w:rPr>
        <w:t xml:space="preserve">we even persist in </w:t>
      </w:r>
      <w:r w:rsidR="004B0D7C">
        <w:rPr>
          <w:rFonts w:cs="MinionPro-Regular"/>
          <w:szCs w:val="24"/>
        </w:rPr>
        <w:t>performing this speech act in</w:t>
      </w:r>
      <w:r w:rsidR="003D1A72">
        <w:rPr>
          <w:rFonts w:cs="MinionPro-Regular"/>
          <w:szCs w:val="24"/>
        </w:rPr>
        <w:t xml:space="preserve"> the very</w:t>
      </w:r>
      <w:r w:rsidR="00AA7FAA">
        <w:rPr>
          <w:rFonts w:cs="MinionPro-Regular"/>
          <w:szCs w:val="24"/>
        </w:rPr>
        <w:t xml:space="preserve"> circumstances</w:t>
      </w:r>
      <w:r w:rsidR="00A606CA">
        <w:rPr>
          <w:rFonts w:cs="MinionPro-Regular"/>
          <w:szCs w:val="24"/>
        </w:rPr>
        <w:t xml:space="preserve"> </w:t>
      </w:r>
      <w:r w:rsidR="00AA7FAA">
        <w:rPr>
          <w:rFonts w:cs="MinionPro-Regular"/>
          <w:szCs w:val="24"/>
        </w:rPr>
        <w:t>where we might expect speakers to avoid a</w:t>
      </w:r>
      <w:r w:rsidR="00191572">
        <w:rPr>
          <w:rFonts w:cs="MinionPro-Regular"/>
          <w:szCs w:val="24"/>
        </w:rPr>
        <w:t>ssertions altogether</w:t>
      </w:r>
      <w:r w:rsidR="00AA7FAA">
        <w:rPr>
          <w:rFonts w:cs="MinionPro-Regular"/>
          <w:szCs w:val="24"/>
        </w:rPr>
        <w:t>.</w:t>
      </w:r>
      <w:r w:rsidR="004B0D7C">
        <w:rPr>
          <w:rFonts w:cs="MinionPro-Regular"/>
          <w:szCs w:val="24"/>
        </w:rPr>
        <w:t xml:space="preserve"> </w:t>
      </w:r>
    </w:p>
    <w:p w14:paraId="52B9907D" w14:textId="514E923E" w:rsidR="004B0F88" w:rsidRDefault="00DB1C5F" w:rsidP="00235817">
      <w:pPr>
        <w:spacing w:line="240" w:lineRule="auto"/>
        <w:ind w:firstLine="720"/>
      </w:pPr>
      <w:r>
        <w:lastRenderedPageBreak/>
        <w:t>But s</w:t>
      </w:r>
      <w:r w:rsidR="004B0F88">
        <w:t>ome</w:t>
      </w:r>
      <w:r>
        <w:t xml:space="preserve"> philosophers</w:t>
      </w:r>
      <w:r w:rsidR="004B0F88">
        <w:t xml:space="preserve"> have </w:t>
      </w:r>
      <w:r>
        <w:t>argued</w:t>
      </w:r>
      <w:r w:rsidR="004B0F88">
        <w:t xml:space="preserve"> that</w:t>
      </w:r>
      <w:r>
        <w:t>, despite the prevalence of assertion in philosophical discourse,</w:t>
      </w:r>
      <w:r w:rsidR="004B0F88">
        <w:t xml:space="preserve"> </w:t>
      </w:r>
      <w:r>
        <w:t>this speech act should not play such a central role</w:t>
      </w:r>
      <w:r w:rsidR="004B0F88">
        <w:t xml:space="preserve">. Rudolf Carnap, for example, argues that philosophers make a fundamental </w:t>
      </w:r>
      <w:r w:rsidR="004B0F88" w:rsidRPr="00693A6A">
        <w:t xml:space="preserve">mistake </w:t>
      </w:r>
      <w:r w:rsidR="004B0F88">
        <w:t>when they formulate their views in</w:t>
      </w:r>
      <w:r w:rsidR="00C42624">
        <w:t xml:space="preserve"> exclusively</w:t>
      </w:r>
      <w:r w:rsidR="004B0F88">
        <w:t xml:space="preserve"> assertoric terms. Assertions, on Carnap’s view, are meaningful and felicitous only when they are articulated from within a particular ‘linguistic framework’ where the key terms and concepts of that language are defined. Philosophers, however, often </w:t>
      </w:r>
      <w:r w:rsidR="00FF02E6">
        <w:t>make</w:t>
      </w:r>
      <w:r w:rsidR="004B0F88">
        <w:t xml:space="preserve"> assertions without first identifying and articulating the linguist</w:t>
      </w:r>
      <w:r w:rsidR="00C50BF9">
        <w:t>ic framework they are utilizing. T</w:t>
      </w:r>
      <w:r w:rsidR="004B0F88">
        <w:t xml:space="preserve">heir utterances, in turn, risk being meaningless. The proper role for philosophical language is, in Carnap’s view, primarily </w:t>
      </w:r>
      <w:r w:rsidR="004B0F88">
        <w:rPr>
          <w:i/>
        </w:rPr>
        <w:t>non</w:t>
      </w:r>
      <w:r w:rsidR="004B0F88">
        <w:t>-assertoric. Rather than produce infelicitous and meaningless assertions that attempt, in a framework-independent way, to represent what is the case in the world</w:t>
      </w:r>
      <w:r w:rsidR="00806812">
        <w:t>, philosophers should focus on ‘</w:t>
      </w:r>
      <w:r w:rsidR="004B0F88">
        <w:t>introducing</w:t>
      </w:r>
      <w:r w:rsidR="00806812">
        <w:t>’</w:t>
      </w:r>
      <w:r w:rsidR="004B0F88">
        <w:t xml:space="preserve"> novel and useful ways of speaking and thinking:</w:t>
      </w:r>
    </w:p>
    <w:p w14:paraId="4E4D478A" w14:textId="77777777" w:rsidR="00235817" w:rsidRDefault="00235817" w:rsidP="00235817">
      <w:pPr>
        <w:spacing w:line="240" w:lineRule="auto"/>
        <w:ind w:firstLine="720"/>
      </w:pPr>
    </w:p>
    <w:p w14:paraId="33E8F8BB" w14:textId="77777777" w:rsidR="004B0F88" w:rsidRDefault="004A5C7E" w:rsidP="00235817">
      <w:pPr>
        <w:spacing w:line="240" w:lineRule="auto"/>
        <w:ind w:left="720"/>
        <w:rPr>
          <w:sz w:val="22"/>
        </w:rPr>
      </w:pPr>
      <w:r>
        <w:rPr>
          <w:sz w:val="22"/>
        </w:rPr>
        <w:t>[T]he</w:t>
      </w:r>
      <w:r w:rsidR="004B0F88" w:rsidRPr="009C1883">
        <w:rPr>
          <w:sz w:val="22"/>
        </w:rPr>
        <w:t xml:space="preserve"> introduction of the new ways of speaking does not need any theoretical justification because it does not</w:t>
      </w:r>
      <w:r w:rsidR="00614186">
        <w:rPr>
          <w:sz w:val="22"/>
        </w:rPr>
        <w:t xml:space="preserve"> imply any assertion of reality…</w:t>
      </w:r>
      <w:r w:rsidR="004B0F88" w:rsidRPr="009C1883">
        <w:rPr>
          <w:sz w:val="22"/>
        </w:rPr>
        <w:t xml:space="preserve">To be sure, we </w:t>
      </w:r>
      <w:proofErr w:type="gramStart"/>
      <w:r w:rsidR="004B0F88" w:rsidRPr="009C1883">
        <w:rPr>
          <w:sz w:val="22"/>
        </w:rPr>
        <w:t>have to</w:t>
      </w:r>
      <w:proofErr w:type="gramEnd"/>
      <w:r w:rsidR="004B0F88" w:rsidRPr="009C1883">
        <w:rPr>
          <w:sz w:val="22"/>
        </w:rPr>
        <w:t xml:space="preserve"> face at this point an important question; but it is a practical, not a theoretical question; it is the question of whether or not to accept the new linguistic forms. The acceptance cannot be judged as being either true or false because it is not an assertion. It can only be judged as </w:t>
      </w:r>
      <w:proofErr w:type="gramStart"/>
      <w:r w:rsidR="004B0F88" w:rsidRPr="009C1883">
        <w:rPr>
          <w:sz w:val="22"/>
        </w:rPr>
        <w:t>being more or less</w:t>
      </w:r>
      <w:proofErr w:type="gramEnd"/>
      <w:r w:rsidR="004B0F88" w:rsidRPr="009C1883">
        <w:rPr>
          <w:sz w:val="22"/>
        </w:rPr>
        <w:t xml:space="preserve"> expedient, fruitful, conducive to the aim for which the language is intended</w:t>
      </w:r>
      <w:r w:rsidR="00C32A6D">
        <w:rPr>
          <w:sz w:val="22"/>
        </w:rPr>
        <w:t xml:space="preserve"> (Carnap, 1950, </w:t>
      </w:r>
      <w:r w:rsidR="003F682E">
        <w:rPr>
          <w:sz w:val="22"/>
        </w:rPr>
        <w:t xml:space="preserve">p. </w:t>
      </w:r>
      <w:r w:rsidR="00C32A6D">
        <w:rPr>
          <w:sz w:val="22"/>
        </w:rPr>
        <w:t>31)</w:t>
      </w:r>
      <w:r w:rsidR="004B0F88" w:rsidRPr="009C1883">
        <w:rPr>
          <w:sz w:val="22"/>
        </w:rPr>
        <w:t>.</w:t>
      </w:r>
    </w:p>
    <w:p w14:paraId="0B9AF84D" w14:textId="77777777" w:rsidR="004B0F88" w:rsidRPr="00B47DC4" w:rsidRDefault="004B0F88" w:rsidP="00235817">
      <w:pPr>
        <w:spacing w:line="240" w:lineRule="auto"/>
        <w:ind w:left="720"/>
        <w:rPr>
          <w:sz w:val="22"/>
        </w:rPr>
      </w:pPr>
    </w:p>
    <w:p w14:paraId="533457B2" w14:textId="77777777" w:rsidR="002E0197" w:rsidRDefault="004B0F88" w:rsidP="00235817">
      <w:pPr>
        <w:spacing w:line="240" w:lineRule="auto"/>
      </w:pPr>
      <w:r>
        <w:t xml:space="preserve">Now Carnap is not working in the tradition of speech act theory, but his comments are striking for anyone trying to understand what philosophers are </w:t>
      </w:r>
      <w:r w:rsidR="00806812">
        <w:t>or</w:t>
      </w:r>
      <w:r>
        <w:t xml:space="preserve"> should be doing with their words. If he is right, there seems to be a kind of speech act philosophers </w:t>
      </w:r>
      <w:r w:rsidR="00614186">
        <w:t>sometimes do and</w:t>
      </w:r>
      <w:r w:rsidR="00EC3F0B">
        <w:t>, moreover,</w:t>
      </w:r>
      <w:r w:rsidR="00614186">
        <w:t xml:space="preserve"> </w:t>
      </w:r>
      <w:r>
        <w:t xml:space="preserve">ought to perform that is not an assertion and </w:t>
      </w:r>
      <w:r w:rsidR="00DB1C5F">
        <w:t>so</w:t>
      </w:r>
      <w:r>
        <w:t xml:space="preserve"> </w:t>
      </w:r>
      <w:r w:rsidR="00614186">
        <w:t>‘</w:t>
      </w:r>
      <w:r>
        <w:t>cannot be judged as being either true or false</w:t>
      </w:r>
      <w:r w:rsidR="00614186">
        <w:t>’</w:t>
      </w:r>
      <w:r>
        <w:t xml:space="preserve">, but instead involves the </w:t>
      </w:r>
      <w:r w:rsidR="00614186">
        <w:t>‘</w:t>
      </w:r>
      <w:r>
        <w:t>introduction</w:t>
      </w:r>
      <w:r w:rsidR="00614186">
        <w:t>’</w:t>
      </w:r>
      <w:r>
        <w:t xml:space="preserve"> of terms and concepts in a way that is crucially tied to questions of utility.</w:t>
      </w:r>
      <w:r w:rsidR="002E0197">
        <w:t xml:space="preserve"> Carnap</w:t>
      </w:r>
      <w:r>
        <w:t xml:space="preserve"> seems to suggest</w:t>
      </w:r>
      <w:r w:rsidR="002E0197">
        <w:t xml:space="preserve"> elsewhere</w:t>
      </w:r>
      <w:r>
        <w:t xml:space="preserve"> that it is the act of </w:t>
      </w:r>
      <w:r w:rsidR="00614186">
        <w:t>‘</w:t>
      </w:r>
      <w:r>
        <w:t>stipulation</w:t>
      </w:r>
      <w:r w:rsidR="00614186">
        <w:t>’</w:t>
      </w:r>
      <w:r>
        <w:t xml:space="preserve"> that plays this introductory role</w:t>
      </w:r>
      <w:r w:rsidR="00D200B7">
        <w:t xml:space="preserve"> (Carnap, 1959, </w:t>
      </w:r>
      <w:r w:rsidR="003F682E">
        <w:t xml:space="preserve">pp. </w:t>
      </w:r>
      <w:r w:rsidR="00D200B7">
        <w:t>62</w:t>
      </w:r>
      <w:r w:rsidR="00B03C32" w:rsidRPr="00B03C32">
        <w:rPr>
          <w:rFonts w:cs="MinionPro-Regular"/>
          <w:szCs w:val="24"/>
        </w:rPr>
        <w:t>–</w:t>
      </w:r>
      <w:r w:rsidR="00D200B7">
        <w:t>64)</w:t>
      </w:r>
      <w:r>
        <w:t>.</w:t>
      </w:r>
    </w:p>
    <w:p w14:paraId="1A152A92" w14:textId="77777777" w:rsidR="00614186" w:rsidRPr="00AD7511" w:rsidRDefault="00614186" w:rsidP="00235817">
      <w:pPr>
        <w:spacing w:line="240" w:lineRule="auto"/>
        <w:rPr>
          <w:szCs w:val="24"/>
        </w:rPr>
      </w:pPr>
      <w:r w:rsidRPr="002E0197">
        <w:rPr>
          <w:szCs w:val="24"/>
        </w:rPr>
        <w:tab/>
        <w:t>In recent years,</w:t>
      </w:r>
      <w:r w:rsidR="00EA2CC9" w:rsidRPr="002E0197">
        <w:rPr>
          <w:szCs w:val="24"/>
        </w:rPr>
        <w:t xml:space="preserve"> contemporary philosophe</w:t>
      </w:r>
      <w:r w:rsidR="009A01E9" w:rsidRPr="002E0197">
        <w:rPr>
          <w:szCs w:val="24"/>
        </w:rPr>
        <w:t>r</w:t>
      </w:r>
      <w:r w:rsidR="00EA2CC9" w:rsidRPr="002E0197">
        <w:rPr>
          <w:szCs w:val="24"/>
        </w:rPr>
        <w:t>s</w:t>
      </w:r>
      <w:r w:rsidR="00D41980" w:rsidRPr="002E0197">
        <w:rPr>
          <w:szCs w:val="24"/>
        </w:rPr>
        <w:t xml:space="preserve"> interested in the methodology of conceptual engineering</w:t>
      </w:r>
      <w:r w:rsidR="009A01E9" w:rsidRPr="002E0197">
        <w:rPr>
          <w:szCs w:val="24"/>
        </w:rPr>
        <w:t xml:space="preserve"> have turned to</w:t>
      </w:r>
      <w:r w:rsidRPr="002E0197">
        <w:rPr>
          <w:szCs w:val="24"/>
        </w:rPr>
        <w:t xml:space="preserve"> Carnap’s </w:t>
      </w:r>
      <w:r w:rsidR="009A01E9" w:rsidRPr="002E0197">
        <w:rPr>
          <w:szCs w:val="24"/>
        </w:rPr>
        <w:t>meta</w:t>
      </w:r>
      <w:r w:rsidR="00D41980" w:rsidRPr="002E0197">
        <w:rPr>
          <w:szCs w:val="24"/>
        </w:rPr>
        <w:t>philosophical observations.</w:t>
      </w:r>
      <w:r w:rsidR="002E0197" w:rsidRPr="002E0197">
        <w:rPr>
          <w:rStyle w:val="FootnoteReference"/>
          <w:szCs w:val="24"/>
        </w:rPr>
        <w:footnoteReference w:id="2"/>
      </w:r>
      <w:r w:rsidR="00D41980" w:rsidRPr="002E0197">
        <w:rPr>
          <w:szCs w:val="24"/>
        </w:rPr>
        <w:t xml:space="preserve"> </w:t>
      </w:r>
      <w:r w:rsidR="002E0197" w:rsidRPr="002E0197">
        <w:rPr>
          <w:szCs w:val="24"/>
        </w:rPr>
        <w:t>Sally Haslanger, whose work is the catalyst for this contemporary interest in conceptual engineering, notes both the Carnapian heritage of her view and the connection between the kind</w:t>
      </w:r>
      <w:r w:rsidR="00207411">
        <w:rPr>
          <w:szCs w:val="24"/>
        </w:rPr>
        <w:t>s</w:t>
      </w:r>
      <w:r w:rsidR="002E0197" w:rsidRPr="002E0197">
        <w:rPr>
          <w:szCs w:val="24"/>
        </w:rPr>
        <w:t xml:space="preserve"> of philosophical projects she advocates for and the act of stipulation.</w:t>
      </w:r>
      <w:r w:rsidR="002E0197" w:rsidRPr="002E0197">
        <w:rPr>
          <w:rStyle w:val="FootnoteReference"/>
          <w:szCs w:val="24"/>
        </w:rPr>
        <w:footnoteReference w:id="3"/>
      </w:r>
      <w:r w:rsidR="002E0197" w:rsidRPr="002E0197">
        <w:rPr>
          <w:szCs w:val="24"/>
        </w:rPr>
        <w:t xml:space="preserve"> </w:t>
      </w:r>
      <w:r w:rsidR="000E7C7A">
        <w:rPr>
          <w:szCs w:val="24"/>
        </w:rPr>
        <w:t>Haslanger calls ‘ameliorative’ those projects</w:t>
      </w:r>
      <w:r w:rsidR="002E0197">
        <w:rPr>
          <w:szCs w:val="24"/>
        </w:rPr>
        <w:t xml:space="preserve"> where philosophers do not simply represent </w:t>
      </w:r>
      <w:r w:rsidR="002E0197" w:rsidRPr="00AD7511">
        <w:rPr>
          <w:szCs w:val="24"/>
        </w:rPr>
        <w:t xml:space="preserve">existing usage and understanding of certain terms or concepts, but argue for how they </w:t>
      </w:r>
      <w:r w:rsidR="002E0197" w:rsidRPr="00AD7511">
        <w:rPr>
          <w:i/>
          <w:szCs w:val="24"/>
        </w:rPr>
        <w:t xml:space="preserve">ought </w:t>
      </w:r>
      <w:r w:rsidR="002E0197" w:rsidRPr="00AD7511">
        <w:rPr>
          <w:szCs w:val="24"/>
        </w:rPr>
        <w:t>to be used and understood</w:t>
      </w:r>
      <w:r w:rsidR="000E7C7A">
        <w:rPr>
          <w:szCs w:val="24"/>
        </w:rPr>
        <w:t>. She explains that these ameliorative projects</w:t>
      </w:r>
      <w:r w:rsidR="002E0197" w:rsidRPr="00AD7511">
        <w:rPr>
          <w:szCs w:val="24"/>
        </w:rPr>
        <w:t xml:space="preserve"> depend</w:t>
      </w:r>
      <w:r w:rsidR="00326B62">
        <w:rPr>
          <w:szCs w:val="24"/>
        </w:rPr>
        <w:t xml:space="preserve"> on a key ‘stipulative element’: </w:t>
      </w:r>
      <w:r w:rsidR="00B9034F" w:rsidRPr="00AD7511">
        <w:rPr>
          <w:szCs w:val="24"/>
        </w:rPr>
        <w:t xml:space="preserve">we are </w:t>
      </w:r>
      <w:r w:rsidR="00326B62">
        <w:rPr>
          <w:szCs w:val="24"/>
        </w:rPr>
        <w:t xml:space="preserve">not </w:t>
      </w:r>
      <w:r w:rsidR="00B9034F" w:rsidRPr="00AD7511">
        <w:rPr>
          <w:szCs w:val="24"/>
        </w:rPr>
        <w:t>asking</w:t>
      </w:r>
      <w:r w:rsidR="007A414E" w:rsidRPr="00AD7511">
        <w:rPr>
          <w:szCs w:val="24"/>
        </w:rPr>
        <w:t xml:space="preserve"> how the world currently is, but</w:t>
      </w:r>
      <w:r w:rsidR="00B9034F" w:rsidRPr="00AD7511">
        <w:rPr>
          <w:szCs w:val="24"/>
        </w:rPr>
        <w:t xml:space="preserve"> ‘</w:t>
      </w:r>
      <w:r w:rsidR="00267D8C" w:rsidRPr="00AD7511">
        <w:rPr>
          <w:rFonts w:cs="ChaparralPro-Regular"/>
          <w:szCs w:val="24"/>
        </w:rPr>
        <w:t xml:space="preserve">what work we want </w:t>
      </w:r>
      <w:r w:rsidR="00B9034F" w:rsidRPr="00AD7511">
        <w:rPr>
          <w:rFonts w:cs="ChaparralPro-Regular"/>
          <w:szCs w:val="24"/>
        </w:rPr>
        <w:t>these concepts to do for us; why do we need them at all? Th</w:t>
      </w:r>
      <w:r w:rsidR="00267D8C" w:rsidRPr="00AD7511">
        <w:rPr>
          <w:rFonts w:cs="ChaparralPro-Regular"/>
          <w:szCs w:val="24"/>
        </w:rPr>
        <w:t>e</w:t>
      </w:r>
      <w:r w:rsidR="00B9034F" w:rsidRPr="00AD7511">
        <w:rPr>
          <w:rFonts w:cs="ChaparralPro-Regular"/>
          <w:szCs w:val="24"/>
        </w:rPr>
        <w:t xml:space="preserve"> responsibility is ours to defi</w:t>
      </w:r>
      <w:r w:rsidR="00267D8C" w:rsidRPr="00AD7511">
        <w:rPr>
          <w:rFonts w:cs="ChaparralPro-Regular"/>
          <w:szCs w:val="24"/>
        </w:rPr>
        <w:t>ne them for our purpose</w:t>
      </w:r>
      <w:r w:rsidR="00B9034F" w:rsidRPr="00AD7511">
        <w:rPr>
          <w:rFonts w:cs="ChaparralPro-Regular"/>
          <w:szCs w:val="24"/>
        </w:rPr>
        <w:t>s’</w:t>
      </w:r>
      <w:r w:rsidR="00EA1E41">
        <w:rPr>
          <w:rFonts w:cs="ChaparralPro-Regular"/>
          <w:szCs w:val="24"/>
        </w:rPr>
        <w:t xml:space="preserve"> (Haslanger, 2012, p. 224)</w:t>
      </w:r>
      <w:r w:rsidR="002E0197" w:rsidRPr="00AD7511">
        <w:rPr>
          <w:rFonts w:cs="ChaparralPro-Regular"/>
          <w:szCs w:val="24"/>
        </w:rPr>
        <w:t>.</w:t>
      </w:r>
    </w:p>
    <w:p w14:paraId="390EF3E3" w14:textId="77777777" w:rsidR="00884AF2" w:rsidRPr="00AD7511" w:rsidRDefault="00267D8C" w:rsidP="00235817">
      <w:pPr>
        <w:spacing w:line="240" w:lineRule="auto"/>
        <w:rPr>
          <w:rFonts w:cs="MinionPro-Regular"/>
          <w:szCs w:val="24"/>
        </w:rPr>
      </w:pPr>
      <w:r w:rsidRPr="00AD7511">
        <w:rPr>
          <w:rFonts w:cs="MinionPro-Regular"/>
          <w:szCs w:val="24"/>
        </w:rPr>
        <w:tab/>
        <w:t xml:space="preserve">What </w:t>
      </w:r>
      <w:r w:rsidR="007A414E" w:rsidRPr="00AD7511">
        <w:rPr>
          <w:rFonts w:cs="MinionPro-Regular"/>
          <w:szCs w:val="24"/>
        </w:rPr>
        <w:t>these alternative views of philosophical language hint at</w:t>
      </w:r>
      <w:r w:rsidR="00F55F24">
        <w:rPr>
          <w:rFonts w:cs="MinionPro-Regular"/>
          <w:szCs w:val="24"/>
        </w:rPr>
        <w:t xml:space="preserve"> </w:t>
      </w:r>
      <w:r w:rsidRPr="00AD7511">
        <w:rPr>
          <w:rFonts w:cs="MinionPro-Regular"/>
          <w:szCs w:val="24"/>
        </w:rPr>
        <w:t>is a</w:t>
      </w:r>
      <w:r w:rsidR="007A414E" w:rsidRPr="00AD7511">
        <w:rPr>
          <w:rFonts w:cs="MinionPro-Regular"/>
          <w:szCs w:val="24"/>
        </w:rPr>
        <w:t xml:space="preserve"> type of</w:t>
      </w:r>
      <w:r w:rsidRPr="00AD7511">
        <w:rPr>
          <w:rFonts w:cs="MinionPro-Regular"/>
          <w:szCs w:val="24"/>
        </w:rPr>
        <w:t xml:space="preserve"> non-assertoric speech act that is </w:t>
      </w:r>
      <w:r w:rsidR="008C30DD">
        <w:rPr>
          <w:rFonts w:cs="MinionPro-Regular"/>
          <w:szCs w:val="24"/>
        </w:rPr>
        <w:t>importantly</w:t>
      </w:r>
      <w:r w:rsidRPr="00AD7511">
        <w:rPr>
          <w:rFonts w:cs="MinionPro-Regular"/>
          <w:szCs w:val="24"/>
        </w:rPr>
        <w:t xml:space="preserve"> bound up with questions of utility and </w:t>
      </w:r>
      <w:r w:rsidR="008D7180">
        <w:rPr>
          <w:rFonts w:cs="MinionPro-Regular"/>
          <w:szCs w:val="24"/>
        </w:rPr>
        <w:t>that seems to be</w:t>
      </w:r>
      <w:r w:rsidRPr="00AD7511">
        <w:rPr>
          <w:rFonts w:cs="MinionPro-Regular"/>
          <w:szCs w:val="24"/>
        </w:rPr>
        <w:t xml:space="preserve"> crucial for philosophical inquiry</w:t>
      </w:r>
      <w:r w:rsidR="007A414E" w:rsidRPr="00AD7511">
        <w:rPr>
          <w:rFonts w:cs="MinionPro-Regular"/>
          <w:szCs w:val="24"/>
        </w:rPr>
        <w:t>. In this paper, I give a detailed account of this speech act. Following the clues from Carnap and Haslanger, I call this speech act ‘stipulation’. In the first section, I situate my discussion within the landscape of contemporary speech act</w:t>
      </w:r>
      <w:r w:rsidR="00326B62">
        <w:rPr>
          <w:rFonts w:cs="MinionPro-Regular"/>
          <w:szCs w:val="24"/>
        </w:rPr>
        <w:t xml:space="preserve"> theory. In the second section</w:t>
      </w:r>
      <w:r w:rsidR="0005695D" w:rsidRPr="00AD7511">
        <w:rPr>
          <w:rFonts w:cs="MinionPro-Regular"/>
          <w:szCs w:val="24"/>
        </w:rPr>
        <w:t xml:space="preserve">, I introduce a novel </w:t>
      </w:r>
      <w:r w:rsidR="00050FA7" w:rsidRPr="00AD7511">
        <w:rPr>
          <w:szCs w:val="24"/>
        </w:rPr>
        <w:t xml:space="preserve">taxonomy for </w:t>
      </w:r>
      <w:r w:rsidR="00D81202" w:rsidRPr="00AD7511">
        <w:rPr>
          <w:szCs w:val="24"/>
        </w:rPr>
        <w:t>making sense of criticisms of speech act performances generally</w:t>
      </w:r>
      <w:r w:rsidR="00326B62">
        <w:rPr>
          <w:szCs w:val="24"/>
        </w:rPr>
        <w:t xml:space="preserve"> </w:t>
      </w:r>
      <w:proofErr w:type="gramStart"/>
      <w:r w:rsidR="00326B62" w:rsidRPr="00AD7511">
        <w:rPr>
          <w:rFonts w:cs="MinionPro-Regular"/>
          <w:szCs w:val="24"/>
        </w:rPr>
        <w:t>in order to</w:t>
      </w:r>
      <w:proofErr w:type="gramEnd"/>
      <w:r w:rsidR="00326B62" w:rsidRPr="00AD7511">
        <w:rPr>
          <w:rFonts w:cs="MinionPro-Regular"/>
          <w:szCs w:val="24"/>
        </w:rPr>
        <w:t xml:space="preserve"> help individuate the unique features of speech acts of stipulation</w:t>
      </w:r>
      <w:r w:rsidR="00D81202" w:rsidRPr="00AD7511">
        <w:rPr>
          <w:szCs w:val="24"/>
        </w:rPr>
        <w:t>.</w:t>
      </w:r>
      <w:r w:rsidR="00AD7511" w:rsidRPr="00AD7511">
        <w:rPr>
          <w:szCs w:val="24"/>
        </w:rPr>
        <w:t xml:space="preserve"> I then</w:t>
      </w:r>
      <w:r w:rsidR="00326B62">
        <w:rPr>
          <w:szCs w:val="24"/>
        </w:rPr>
        <w:t xml:space="preserve"> introduce</w:t>
      </w:r>
      <w:r w:rsidR="00AD7511" w:rsidRPr="00AD7511">
        <w:rPr>
          <w:szCs w:val="24"/>
        </w:rPr>
        <w:t xml:space="preserve"> my account of stipulation.</w:t>
      </w:r>
      <w:r w:rsidR="00D81202" w:rsidRPr="00AD7511">
        <w:rPr>
          <w:szCs w:val="24"/>
        </w:rPr>
        <w:t xml:space="preserve"> </w:t>
      </w:r>
      <w:r w:rsidR="006372C6" w:rsidRPr="00AD7511">
        <w:rPr>
          <w:szCs w:val="24"/>
        </w:rPr>
        <w:t xml:space="preserve">In the </w:t>
      </w:r>
      <w:r w:rsidR="004A5C7E">
        <w:rPr>
          <w:szCs w:val="24"/>
        </w:rPr>
        <w:t>third</w:t>
      </w:r>
      <w:r w:rsidR="00AD7511" w:rsidRPr="00AD7511">
        <w:rPr>
          <w:szCs w:val="24"/>
        </w:rPr>
        <w:t xml:space="preserve"> section, I apply my account to examples from di</w:t>
      </w:r>
      <w:r w:rsidR="00F921C2">
        <w:rPr>
          <w:szCs w:val="24"/>
        </w:rPr>
        <w:t xml:space="preserve">fferent </w:t>
      </w:r>
      <w:r w:rsidR="00AD7511" w:rsidRPr="00AD7511">
        <w:rPr>
          <w:szCs w:val="24"/>
        </w:rPr>
        <w:t>areas of philosophy –</w:t>
      </w:r>
      <w:r w:rsidR="0074764D">
        <w:rPr>
          <w:szCs w:val="24"/>
        </w:rPr>
        <w:t xml:space="preserve"> to</w:t>
      </w:r>
      <w:r w:rsidR="0036527B">
        <w:rPr>
          <w:szCs w:val="24"/>
        </w:rPr>
        <w:t xml:space="preserve"> </w:t>
      </w:r>
      <w:r w:rsidR="00AD7511" w:rsidRPr="00AD7511">
        <w:rPr>
          <w:szCs w:val="24"/>
        </w:rPr>
        <w:t>case</w:t>
      </w:r>
      <w:r w:rsidR="0036527B">
        <w:rPr>
          <w:szCs w:val="24"/>
        </w:rPr>
        <w:t>s</w:t>
      </w:r>
      <w:r w:rsidR="00AD7511" w:rsidRPr="00AD7511">
        <w:rPr>
          <w:szCs w:val="24"/>
        </w:rPr>
        <w:t xml:space="preserve"> drawn from political philosophy </w:t>
      </w:r>
      <w:r w:rsidR="0036527B">
        <w:rPr>
          <w:szCs w:val="24"/>
        </w:rPr>
        <w:t xml:space="preserve">and philosophy </w:t>
      </w:r>
      <w:r w:rsidR="00AD7511" w:rsidRPr="00AD7511">
        <w:rPr>
          <w:szCs w:val="24"/>
        </w:rPr>
        <w:t>of language.</w:t>
      </w:r>
      <w:r w:rsidR="00BF7B20">
        <w:rPr>
          <w:szCs w:val="24"/>
        </w:rPr>
        <w:t xml:space="preserve"> I show that </w:t>
      </w:r>
      <w:r w:rsidR="00BF7B20">
        <w:rPr>
          <w:szCs w:val="24"/>
        </w:rPr>
        <w:lastRenderedPageBreak/>
        <w:t xml:space="preserve">applying my account of stipulation to specific philosophical disputes helps to clarify </w:t>
      </w:r>
      <w:r w:rsidR="00041F5E">
        <w:rPr>
          <w:szCs w:val="24"/>
        </w:rPr>
        <w:t>key questions and assumptions at stake and offers us novel ways of advancing these discussions.</w:t>
      </w:r>
    </w:p>
    <w:p w14:paraId="0DAF24EF" w14:textId="77777777" w:rsidR="00AD56F7" w:rsidRDefault="00AD56F7" w:rsidP="00235817">
      <w:pPr>
        <w:spacing w:line="240" w:lineRule="auto"/>
        <w:ind w:firstLine="720"/>
      </w:pPr>
    </w:p>
    <w:p w14:paraId="132893A8" w14:textId="77777777" w:rsidR="00AD56F7" w:rsidRPr="00260184" w:rsidRDefault="0005695D" w:rsidP="00235817">
      <w:pPr>
        <w:pStyle w:val="ListParagraph"/>
        <w:numPr>
          <w:ilvl w:val="0"/>
          <w:numId w:val="15"/>
        </w:numPr>
        <w:spacing w:line="240" w:lineRule="auto"/>
        <w:rPr>
          <w:b/>
          <w:i/>
        </w:rPr>
      </w:pPr>
      <w:r w:rsidRPr="00260184">
        <w:rPr>
          <w:b/>
          <w:i/>
        </w:rPr>
        <w:t>Methodological C</w:t>
      </w:r>
      <w:r w:rsidR="00FD1A77" w:rsidRPr="00260184">
        <w:rPr>
          <w:b/>
          <w:i/>
        </w:rPr>
        <w:t>larifications</w:t>
      </w:r>
    </w:p>
    <w:p w14:paraId="16B55BAA" w14:textId="77777777" w:rsidR="00B67787" w:rsidRDefault="00B67787" w:rsidP="00235817">
      <w:pPr>
        <w:spacing w:line="240" w:lineRule="auto"/>
        <w:rPr>
          <w:b/>
          <w:i/>
        </w:rPr>
      </w:pPr>
    </w:p>
    <w:p w14:paraId="468A551C" w14:textId="77777777" w:rsidR="00961988" w:rsidRDefault="00961988" w:rsidP="00235817">
      <w:pPr>
        <w:spacing w:line="240" w:lineRule="auto"/>
        <w:ind w:firstLine="720"/>
      </w:pPr>
      <w:r>
        <w:t xml:space="preserve">The goal of this </w:t>
      </w:r>
      <w:r w:rsidR="00F61CF8">
        <w:t>paper</w:t>
      </w:r>
      <w:r>
        <w:t xml:space="preserve"> is to individuate a </w:t>
      </w:r>
      <w:r w:rsidR="005F156B">
        <w:t xml:space="preserve">type of </w:t>
      </w:r>
      <w:r>
        <w:t xml:space="preserve">non-assertoric speech act that may be </w:t>
      </w:r>
      <w:r w:rsidR="00AE1CC2">
        <w:t>c</w:t>
      </w:r>
      <w:r w:rsidR="004A5C7E">
        <w:t>rucial to philosophical inquiry, and</w:t>
      </w:r>
      <w:r w:rsidR="00AE1CC2">
        <w:t xml:space="preserve"> </w:t>
      </w:r>
      <w:r w:rsidR="004A5C7E">
        <w:t>t</w:t>
      </w:r>
      <w:r w:rsidR="00715B08">
        <w:t>o</w:t>
      </w:r>
      <w:r w:rsidR="00A4373D">
        <w:t xml:space="preserve"> do so, we will need a clear methodology for </w:t>
      </w:r>
      <w:r w:rsidR="005F156B">
        <w:t xml:space="preserve">distinguishing among </w:t>
      </w:r>
      <w:r w:rsidR="00F55F24">
        <w:t>speech act kinds</w:t>
      </w:r>
      <w:r w:rsidR="00B06B85">
        <w:t>. But</w:t>
      </w:r>
      <w:r w:rsidR="00F55F24">
        <w:t xml:space="preserve"> </w:t>
      </w:r>
      <w:r w:rsidR="00AA5D75">
        <w:t>this is</w:t>
      </w:r>
      <w:r w:rsidR="00F55F24">
        <w:t xml:space="preserve"> a difficult task </w:t>
      </w:r>
      <w:r w:rsidR="00FD1A77">
        <w:t>because there is little consensus over key questions – for example, how t</w:t>
      </w:r>
      <w:r w:rsidR="005F156B">
        <w:t>o determine when a speech act counts as</w:t>
      </w:r>
      <w:r w:rsidR="00FD1A77">
        <w:t xml:space="preserve"> </w:t>
      </w:r>
      <w:r w:rsidR="005F156B">
        <w:t>‘</w:t>
      </w:r>
      <w:r w:rsidR="00FD1A77">
        <w:t>successfully</w:t>
      </w:r>
      <w:r w:rsidR="005F156B">
        <w:t>’</w:t>
      </w:r>
      <w:r w:rsidR="00FD1A77">
        <w:t xml:space="preserve"> performed</w:t>
      </w:r>
      <w:r w:rsidR="00F82756">
        <w:t xml:space="preserve"> </w:t>
      </w:r>
      <w:r w:rsidR="00FD1A77">
        <w:t xml:space="preserve">and what it is to give a particular performance </w:t>
      </w:r>
      <w:r w:rsidR="005F156B">
        <w:t>‘</w:t>
      </w:r>
      <w:r w:rsidR="00FD1A77">
        <w:t>uptake</w:t>
      </w:r>
      <w:r w:rsidR="005F156B">
        <w:t>’</w:t>
      </w:r>
      <w:r w:rsidR="00FD1A77">
        <w:t>. In this section, I clarify my position on these questions.</w:t>
      </w:r>
    </w:p>
    <w:p w14:paraId="43EFF088" w14:textId="77777777" w:rsidR="007548D7" w:rsidRPr="00D811E1" w:rsidRDefault="00FD1A77" w:rsidP="00235817">
      <w:pPr>
        <w:spacing w:line="240" w:lineRule="auto"/>
        <w:ind w:firstLine="720"/>
        <w:rPr>
          <w:rFonts w:cs="Times New Roman"/>
          <w:szCs w:val="24"/>
        </w:rPr>
      </w:pPr>
      <w:r>
        <w:t>M</w:t>
      </w:r>
      <w:r w:rsidRPr="00643949">
        <w:rPr>
          <w:rFonts w:cs="Times New Roman"/>
          <w:szCs w:val="24"/>
        </w:rPr>
        <w:t xml:space="preserve">arina Sbisà </w:t>
      </w:r>
      <w:r>
        <w:rPr>
          <w:rFonts w:cs="Times New Roman"/>
          <w:szCs w:val="24"/>
        </w:rPr>
        <w:t xml:space="preserve">has recently defended a tripartite classification of speech act norms that brings some </w:t>
      </w:r>
      <w:proofErr w:type="gramStart"/>
      <w:r>
        <w:rPr>
          <w:rFonts w:cs="Times New Roman"/>
          <w:szCs w:val="24"/>
        </w:rPr>
        <w:t>much needed</w:t>
      </w:r>
      <w:proofErr w:type="gramEnd"/>
      <w:r>
        <w:rPr>
          <w:rFonts w:cs="Times New Roman"/>
          <w:szCs w:val="24"/>
        </w:rPr>
        <w:t xml:space="preserve"> clarity to these discussions. </w:t>
      </w:r>
      <w:r w:rsidRPr="00643949">
        <w:rPr>
          <w:rFonts w:cs="Times New Roman"/>
          <w:szCs w:val="24"/>
        </w:rPr>
        <w:t xml:space="preserve">Sbisà </w:t>
      </w:r>
      <w:r>
        <w:rPr>
          <w:rFonts w:cs="Times New Roman"/>
          <w:szCs w:val="24"/>
        </w:rPr>
        <w:t xml:space="preserve">first </w:t>
      </w:r>
      <w:r w:rsidR="000E2BB5">
        <w:rPr>
          <w:rFonts w:cs="Times New Roman"/>
          <w:szCs w:val="24"/>
        </w:rPr>
        <w:t>distinguishes</w:t>
      </w:r>
      <w:r>
        <w:rPr>
          <w:rFonts w:cs="Times New Roman"/>
          <w:szCs w:val="24"/>
        </w:rPr>
        <w:t xml:space="preserve"> what she calls ‘constitutive’ norms, which refer to those rules or norms that ‘establish how one can do something and thus, in the case of speech acts, when a certain utterance amounts to the performance’ of a </w:t>
      </w:r>
      <w:r w:rsidR="000B03D0">
        <w:rPr>
          <w:rFonts w:cs="Times New Roman"/>
          <w:szCs w:val="24"/>
        </w:rPr>
        <w:t>specific</w:t>
      </w:r>
      <w:r>
        <w:rPr>
          <w:rFonts w:cs="Times New Roman"/>
          <w:szCs w:val="24"/>
        </w:rPr>
        <w:t xml:space="preserve"> act</w:t>
      </w:r>
      <w:r w:rsidR="001D7901">
        <w:rPr>
          <w:rFonts w:cs="Times New Roman"/>
          <w:szCs w:val="24"/>
        </w:rPr>
        <w:t xml:space="preserve"> (</w:t>
      </w:r>
      <w:r w:rsidR="001D7901" w:rsidRPr="00643949">
        <w:rPr>
          <w:rFonts w:cs="Times New Roman"/>
          <w:szCs w:val="24"/>
        </w:rPr>
        <w:t>Sbisà</w:t>
      </w:r>
      <w:r w:rsidR="001D7901">
        <w:rPr>
          <w:rFonts w:cs="Times New Roman"/>
          <w:szCs w:val="24"/>
        </w:rPr>
        <w:t>, 2018, p. 25)</w:t>
      </w:r>
      <w:r>
        <w:rPr>
          <w:rFonts w:cs="Times New Roman"/>
          <w:szCs w:val="24"/>
        </w:rPr>
        <w:t>.</w:t>
      </w:r>
      <w:r w:rsidR="00F72F4E">
        <w:rPr>
          <w:rFonts w:cs="Times New Roman"/>
          <w:szCs w:val="24"/>
        </w:rPr>
        <w:t xml:space="preserve"> The ‘constitutive’ norms for a speech act are therefore </w:t>
      </w:r>
      <w:r w:rsidR="003E08FB">
        <w:rPr>
          <w:rFonts w:cs="Times New Roman"/>
          <w:szCs w:val="24"/>
        </w:rPr>
        <w:t xml:space="preserve">the norms that enable the performance of </w:t>
      </w:r>
      <w:r w:rsidR="00D811E1">
        <w:rPr>
          <w:rFonts w:cs="Times New Roman"/>
          <w:szCs w:val="24"/>
        </w:rPr>
        <w:t>a</w:t>
      </w:r>
      <w:r w:rsidR="003E08FB">
        <w:rPr>
          <w:rFonts w:cs="Times New Roman"/>
          <w:szCs w:val="24"/>
        </w:rPr>
        <w:t xml:space="preserve"> specific speech act </w:t>
      </w:r>
      <w:r w:rsidR="00D811E1">
        <w:rPr>
          <w:rFonts w:cs="Times New Roman"/>
          <w:szCs w:val="24"/>
        </w:rPr>
        <w:t xml:space="preserve">and thereby distinguish it from other speech acts. </w:t>
      </w:r>
      <w:r>
        <w:rPr>
          <w:rFonts w:cs="Times New Roman"/>
          <w:szCs w:val="24"/>
        </w:rPr>
        <w:t>Violation of constitutive norms or rules for a speech act means that ‘its alleged effect may be null and void’</w:t>
      </w:r>
      <w:r w:rsidR="00A9267C">
        <w:rPr>
          <w:rFonts w:cs="Times New Roman"/>
          <w:szCs w:val="24"/>
        </w:rPr>
        <w:t xml:space="preserve"> (2018, p. 45)</w:t>
      </w:r>
      <w:r>
        <w:rPr>
          <w:rFonts w:cs="Times New Roman"/>
          <w:szCs w:val="24"/>
        </w:rPr>
        <w:t xml:space="preserve">. For example, plausibly, a constitutive norm for the speech act of ordering is that I occupy a position of authority over my addressee. </w:t>
      </w:r>
      <w:proofErr w:type="gramStart"/>
      <w:r>
        <w:rPr>
          <w:rFonts w:cs="Times New Roman"/>
          <w:szCs w:val="24"/>
        </w:rPr>
        <w:t>If,</w:t>
      </w:r>
      <w:proofErr w:type="gramEnd"/>
      <w:r>
        <w:rPr>
          <w:rFonts w:cs="Times New Roman"/>
          <w:szCs w:val="24"/>
        </w:rPr>
        <w:t xml:space="preserve"> then, I attempt to issue an order to an addressee over whom I do not have any relevant authority</w:t>
      </w:r>
      <w:r w:rsidR="000E2BB5">
        <w:rPr>
          <w:rFonts w:cs="Times New Roman"/>
          <w:szCs w:val="24"/>
        </w:rPr>
        <w:t xml:space="preserve"> (for example, if I am a private attempting to issue an order to a general)</w:t>
      </w:r>
      <w:r>
        <w:rPr>
          <w:rFonts w:cs="Times New Roman"/>
          <w:szCs w:val="24"/>
        </w:rPr>
        <w:t xml:space="preserve">, I will not have performed this speech act: I will </w:t>
      </w:r>
      <w:r w:rsidR="000E2BB5">
        <w:rPr>
          <w:rFonts w:cs="Times New Roman"/>
          <w:szCs w:val="24"/>
        </w:rPr>
        <w:t xml:space="preserve">have attempted to issue an order, but I will </w:t>
      </w:r>
      <w:r>
        <w:rPr>
          <w:rFonts w:cs="Times New Roman"/>
          <w:szCs w:val="24"/>
        </w:rPr>
        <w:t xml:space="preserve">not have </w:t>
      </w:r>
      <w:r w:rsidR="000E2BB5">
        <w:rPr>
          <w:rFonts w:cs="Times New Roman"/>
          <w:szCs w:val="24"/>
        </w:rPr>
        <w:t>done so</w:t>
      </w:r>
      <w:r>
        <w:rPr>
          <w:rFonts w:cs="Times New Roman"/>
          <w:szCs w:val="24"/>
        </w:rPr>
        <w:t>.</w:t>
      </w:r>
    </w:p>
    <w:p w14:paraId="66EB77AE" w14:textId="77777777" w:rsidR="00AD4C97" w:rsidRPr="00E10F85" w:rsidRDefault="00413E0B" w:rsidP="00235817">
      <w:pPr>
        <w:spacing w:line="240" w:lineRule="auto"/>
        <w:ind w:firstLine="720"/>
        <w:rPr>
          <w:rFonts w:cs="Times New Roman"/>
          <w:szCs w:val="24"/>
        </w:rPr>
      </w:pPr>
      <w:r>
        <w:rPr>
          <w:rFonts w:cs="Times New Roman"/>
          <w:szCs w:val="24"/>
        </w:rPr>
        <w:t xml:space="preserve">There are then two </w:t>
      </w:r>
      <w:r w:rsidR="00AD4C97">
        <w:rPr>
          <w:rFonts w:cs="Times New Roman"/>
          <w:szCs w:val="24"/>
        </w:rPr>
        <w:t xml:space="preserve">further </w:t>
      </w:r>
      <w:r>
        <w:rPr>
          <w:rFonts w:cs="Times New Roman"/>
          <w:szCs w:val="24"/>
        </w:rPr>
        <w:t xml:space="preserve">types of norms </w:t>
      </w:r>
      <w:r w:rsidR="00AD4C97">
        <w:rPr>
          <w:rFonts w:cs="Times New Roman"/>
          <w:szCs w:val="24"/>
        </w:rPr>
        <w:t>relevant</w:t>
      </w:r>
      <w:r w:rsidR="00C338B3">
        <w:rPr>
          <w:rFonts w:cs="Times New Roman"/>
          <w:szCs w:val="24"/>
        </w:rPr>
        <w:t xml:space="preserve"> to speech act performances</w:t>
      </w:r>
      <w:r>
        <w:rPr>
          <w:rFonts w:cs="Times New Roman"/>
          <w:szCs w:val="24"/>
        </w:rPr>
        <w:t xml:space="preserve">. Maxims, </w:t>
      </w:r>
      <w:r w:rsidRPr="00643949">
        <w:rPr>
          <w:rFonts w:cs="Times New Roman"/>
          <w:szCs w:val="24"/>
        </w:rPr>
        <w:t>Sbisà</w:t>
      </w:r>
      <w:r w:rsidR="00C338B3">
        <w:rPr>
          <w:rFonts w:cs="Times New Roman"/>
          <w:szCs w:val="24"/>
        </w:rPr>
        <w:t xml:space="preserve"> </w:t>
      </w:r>
      <w:r w:rsidR="00B41EED">
        <w:rPr>
          <w:rFonts w:cs="Times New Roman"/>
          <w:szCs w:val="24"/>
        </w:rPr>
        <w:t>explain</w:t>
      </w:r>
      <w:r w:rsidR="00A369F6">
        <w:rPr>
          <w:rFonts w:cs="Times New Roman"/>
          <w:szCs w:val="24"/>
        </w:rPr>
        <w:t>s</w:t>
      </w:r>
      <w:r w:rsidR="00C338B3">
        <w:rPr>
          <w:rFonts w:cs="Times New Roman"/>
          <w:szCs w:val="24"/>
        </w:rPr>
        <w:t>,</w:t>
      </w:r>
      <w:r w:rsidR="00AC691A" w:rsidRPr="00643949">
        <w:rPr>
          <w:rFonts w:cs="Times New Roman"/>
          <w:szCs w:val="24"/>
        </w:rPr>
        <w:t xml:space="preserve"> </w:t>
      </w:r>
      <w:r w:rsidR="00AF6C96">
        <w:rPr>
          <w:rFonts w:eastAsia="MinionPro-Regular" w:cs="MinionPro-Regular"/>
          <w:szCs w:val="24"/>
        </w:rPr>
        <w:t>‘</w:t>
      </w:r>
      <w:r w:rsidR="00AC691A" w:rsidRPr="00643949">
        <w:rPr>
          <w:rFonts w:eastAsia="MinionPro-Regular" w:cs="MinionPro-Regular"/>
          <w:szCs w:val="24"/>
        </w:rPr>
        <w:t>encode advice for optimal communicative behavior from the point of view of the subjects</w:t>
      </w:r>
      <w:r w:rsidR="00AC691A">
        <w:rPr>
          <w:rFonts w:eastAsia="MinionPro-Regular" w:cs="MinionPro-Regular"/>
          <w:sz w:val="20"/>
          <w:szCs w:val="20"/>
        </w:rPr>
        <w:t xml:space="preserve"> </w:t>
      </w:r>
      <w:r w:rsidR="00AF6C96">
        <w:rPr>
          <w:rFonts w:eastAsia="MinionPro-Regular" w:cs="MinionPro-Regular"/>
          <w:szCs w:val="24"/>
        </w:rPr>
        <w:t>involved’</w:t>
      </w:r>
      <w:r w:rsidR="003641D3">
        <w:rPr>
          <w:rFonts w:eastAsia="MinionPro-Regular" w:cs="MinionPro-Regular"/>
          <w:szCs w:val="24"/>
        </w:rPr>
        <w:t xml:space="preserve"> (2018, </w:t>
      </w:r>
      <w:r w:rsidR="00444CD3">
        <w:rPr>
          <w:rFonts w:eastAsia="MinionPro-Regular" w:cs="MinionPro-Regular"/>
          <w:szCs w:val="24"/>
        </w:rPr>
        <w:t xml:space="preserve">p. </w:t>
      </w:r>
      <w:r w:rsidR="003641D3">
        <w:rPr>
          <w:rFonts w:eastAsia="MinionPro-Regular" w:cs="MinionPro-Regular"/>
          <w:szCs w:val="24"/>
        </w:rPr>
        <w:t>29)</w:t>
      </w:r>
      <w:r w:rsidR="00AC691A" w:rsidRPr="00643949">
        <w:rPr>
          <w:rFonts w:eastAsia="MinionPro-Regular" w:cs="MinionPro-Regular"/>
          <w:szCs w:val="24"/>
        </w:rPr>
        <w:t xml:space="preserve">. </w:t>
      </w:r>
      <w:r w:rsidR="00C0721C">
        <w:rPr>
          <w:rFonts w:cs="Times New Roman"/>
          <w:szCs w:val="24"/>
        </w:rPr>
        <w:t>Consider, for example, Grice’s conversational maxims</w:t>
      </w:r>
      <w:r w:rsidR="00E10F85">
        <w:rPr>
          <w:rFonts w:cs="Times New Roman"/>
          <w:szCs w:val="24"/>
        </w:rPr>
        <w:t>, such as the maxim of manner that a speaker should ‘make it clear wh</w:t>
      </w:r>
      <w:r w:rsidR="00D811E1">
        <w:rPr>
          <w:rFonts w:cs="Times New Roman"/>
          <w:szCs w:val="24"/>
        </w:rPr>
        <w:t>at contribution he is making’</w:t>
      </w:r>
      <w:r w:rsidR="003641D3">
        <w:rPr>
          <w:rFonts w:cs="Times New Roman"/>
          <w:szCs w:val="24"/>
        </w:rPr>
        <w:t xml:space="preserve"> (Grice 1989, </w:t>
      </w:r>
      <w:r w:rsidR="00444CD3">
        <w:rPr>
          <w:rFonts w:cs="Times New Roman"/>
          <w:szCs w:val="24"/>
        </w:rPr>
        <w:t xml:space="preserve">p. </w:t>
      </w:r>
      <w:r w:rsidR="003641D3">
        <w:rPr>
          <w:rFonts w:cs="Times New Roman"/>
          <w:szCs w:val="24"/>
        </w:rPr>
        <w:t>28)</w:t>
      </w:r>
      <w:r w:rsidR="00D811E1">
        <w:rPr>
          <w:rFonts w:cs="Times New Roman"/>
          <w:szCs w:val="24"/>
        </w:rPr>
        <w:t xml:space="preserve">. </w:t>
      </w:r>
      <w:r w:rsidR="00E10F85">
        <w:rPr>
          <w:rFonts w:cs="Times New Roman"/>
          <w:szCs w:val="24"/>
        </w:rPr>
        <w:t xml:space="preserve">This is </w:t>
      </w:r>
      <w:r w:rsidR="00D811E1">
        <w:rPr>
          <w:rFonts w:cs="Times New Roman"/>
          <w:szCs w:val="24"/>
        </w:rPr>
        <w:t xml:space="preserve">a </w:t>
      </w:r>
      <w:r w:rsidR="00E10F85">
        <w:rPr>
          <w:rFonts w:cs="Times New Roman"/>
          <w:szCs w:val="24"/>
        </w:rPr>
        <w:t>way for</w:t>
      </w:r>
      <w:r w:rsidR="00AC691A" w:rsidRPr="00643949">
        <w:rPr>
          <w:szCs w:val="24"/>
        </w:rPr>
        <w:t xml:space="preserve"> a speaker to</w:t>
      </w:r>
      <w:r w:rsidR="00E10F85">
        <w:rPr>
          <w:szCs w:val="24"/>
        </w:rPr>
        <w:t xml:space="preserve"> maximize the possibility of their </w:t>
      </w:r>
      <w:r w:rsidR="00AC691A" w:rsidRPr="00643949">
        <w:rPr>
          <w:szCs w:val="24"/>
        </w:rPr>
        <w:t>speech act performance</w:t>
      </w:r>
      <w:r w:rsidR="00E10F85">
        <w:rPr>
          <w:szCs w:val="24"/>
        </w:rPr>
        <w:t xml:space="preserve"> being interpreted in the way the speaker </w:t>
      </w:r>
      <w:r w:rsidR="00D811E1">
        <w:rPr>
          <w:szCs w:val="24"/>
        </w:rPr>
        <w:t>intends</w:t>
      </w:r>
      <w:r w:rsidR="00AC691A" w:rsidRPr="00643949">
        <w:rPr>
          <w:szCs w:val="24"/>
        </w:rPr>
        <w:t>. For example, it is not necessary for me to perform the speech act of ordering that I make the order clear and easy-to-</w:t>
      </w:r>
      <w:proofErr w:type="gramStart"/>
      <w:r w:rsidR="00AC691A" w:rsidRPr="00643949">
        <w:rPr>
          <w:szCs w:val="24"/>
        </w:rPr>
        <w:t>follow, but</w:t>
      </w:r>
      <w:proofErr w:type="gramEnd"/>
      <w:r w:rsidR="00AC691A" w:rsidRPr="00643949">
        <w:rPr>
          <w:szCs w:val="24"/>
        </w:rPr>
        <w:t xml:space="preserve"> following this maxim will increase the l</w:t>
      </w:r>
      <w:r w:rsidR="00E10F85">
        <w:rPr>
          <w:szCs w:val="24"/>
        </w:rPr>
        <w:t xml:space="preserve">ikelihood that </w:t>
      </w:r>
      <w:r w:rsidR="00D811E1">
        <w:rPr>
          <w:szCs w:val="24"/>
        </w:rPr>
        <w:t>my utterance</w:t>
      </w:r>
      <w:r w:rsidR="00E10F85">
        <w:rPr>
          <w:szCs w:val="24"/>
        </w:rPr>
        <w:t xml:space="preserve"> </w:t>
      </w:r>
      <w:r w:rsidR="008C3269">
        <w:rPr>
          <w:szCs w:val="24"/>
        </w:rPr>
        <w:t xml:space="preserve">affects the linguistic context in the way </w:t>
      </w:r>
      <w:r w:rsidR="00E10F85">
        <w:rPr>
          <w:szCs w:val="24"/>
        </w:rPr>
        <w:t>I intend</w:t>
      </w:r>
      <w:r w:rsidR="00AD4C97">
        <w:rPr>
          <w:szCs w:val="24"/>
        </w:rPr>
        <w:t>.</w:t>
      </w:r>
    </w:p>
    <w:p w14:paraId="725B4C16" w14:textId="77777777" w:rsidR="00241EFB" w:rsidRDefault="000B03D0" w:rsidP="00235817">
      <w:pPr>
        <w:spacing w:line="240" w:lineRule="auto"/>
        <w:ind w:firstLine="720"/>
        <w:rPr>
          <w:szCs w:val="24"/>
        </w:rPr>
      </w:pPr>
      <w:r>
        <w:rPr>
          <w:szCs w:val="24"/>
        </w:rPr>
        <w:t>There</w:t>
      </w:r>
      <w:r w:rsidR="00413E0B">
        <w:rPr>
          <w:szCs w:val="24"/>
        </w:rPr>
        <w:t xml:space="preserve"> is also the further question of whether</w:t>
      </w:r>
      <w:r w:rsidR="00AF6C96">
        <w:rPr>
          <w:szCs w:val="24"/>
        </w:rPr>
        <w:t xml:space="preserve"> ‘</w:t>
      </w:r>
      <w:r w:rsidR="00AC691A" w:rsidRPr="00643949">
        <w:rPr>
          <w:szCs w:val="24"/>
        </w:rPr>
        <w:t>the speaker was right in performing that speech act for those aims in that context, given how th</w:t>
      </w:r>
      <w:r w:rsidR="00AF6C96">
        <w:rPr>
          <w:szCs w:val="24"/>
        </w:rPr>
        <w:t>ings are in the world’</w:t>
      </w:r>
      <w:r w:rsidR="003641D3">
        <w:rPr>
          <w:szCs w:val="24"/>
        </w:rPr>
        <w:t xml:space="preserve"> (</w:t>
      </w:r>
      <w:r w:rsidR="003641D3" w:rsidRPr="00643949">
        <w:rPr>
          <w:rFonts w:cs="Times New Roman"/>
          <w:szCs w:val="24"/>
        </w:rPr>
        <w:t>Sbisà</w:t>
      </w:r>
      <w:r w:rsidR="003641D3">
        <w:rPr>
          <w:rFonts w:cs="Times New Roman"/>
          <w:szCs w:val="24"/>
        </w:rPr>
        <w:t xml:space="preserve"> 2018, </w:t>
      </w:r>
      <w:r w:rsidR="00444CD3">
        <w:rPr>
          <w:rFonts w:cs="Times New Roman"/>
          <w:szCs w:val="24"/>
        </w:rPr>
        <w:t xml:space="preserve">p. </w:t>
      </w:r>
      <w:r w:rsidR="003641D3">
        <w:rPr>
          <w:rFonts w:cs="Times New Roman"/>
          <w:szCs w:val="24"/>
        </w:rPr>
        <w:t>34)</w:t>
      </w:r>
      <w:r w:rsidR="00AC691A" w:rsidRPr="00643949">
        <w:rPr>
          <w:szCs w:val="24"/>
        </w:rPr>
        <w:t xml:space="preserve">. </w:t>
      </w:r>
      <w:r w:rsidR="00AC691A" w:rsidRPr="00643949">
        <w:rPr>
          <w:rFonts w:cs="Times New Roman"/>
          <w:szCs w:val="24"/>
        </w:rPr>
        <w:t>Sbisà</w:t>
      </w:r>
      <w:r w:rsidR="00413E0B">
        <w:rPr>
          <w:rFonts w:cs="Times New Roman"/>
          <w:szCs w:val="24"/>
        </w:rPr>
        <w:t xml:space="preserve"> calls this third set of norms</w:t>
      </w:r>
      <w:r w:rsidR="00AF6C96">
        <w:rPr>
          <w:rFonts w:cs="Times New Roman"/>
          <w:szCs w:val="24"/>
        </w:rPr>
        <w:t xml:space="preserve"> ‘objective </w:t>
      </w:r>
      <w:proofErr w:type="gramStart"/>
      <w:r w:rsidR="00AF6C96">
        <w:rPr>
          <w:rFonts w:cs="Times New Roman"/>
          <w:szCs w:val="24"/>
        </w:rPr>
        <w:t>requirements’</w:t>
      </w:r>
      <w:proofErr w:type="gramEnd"/>
      <w:r w:rsidR="00D811E1">
        <w:rPr>
          <w:rFonts w:cs="Times New Roman"/>
          <w:szCs w:val="24"/>
        </w:rPr>
        <w:t>.</w:t>
      </w:r>
      <w:r w:rsidR="00241EFB">
        <w:rPr>
          <w:rFonts w:cs="Times New Roman"/>
          <w:szCs w:val="24"/>
        </w:rPr>
        <w:t xml:space="preserve"> </w:t>
      </w:r>
      <w:r w:rsidR="00AC691A" w:rsidRPr="00643949">
        <w:rPr>
          <w:rFonts w:cs="Times New Roman"/>
          <w:szCs w:val="24"/>
        </w:rPr>
        <w:t>For Austinian verdictives, such as es</w:t>
      </w:r>
      <w:r w:rsidR="00241EFB">
        <w:rPr>
          <w:rFonts w:cs="Times New Roman"/>
          <w:szCs w:val="24"/>
        </w:rPr>
        <w:t xml:space="preserve">timates and assessments </w:t>
      </w:r>
      <w:r w:rsidR="00A76925">
        <w:rPr>
          <w:rFonts w:cs="Times New Roman"/>
          <w:szCs w:val="24"/>
        </w:rPr>
        <w:t>(</w:t>
      </w:r>
      <w:r w:rsidR="00241EFB">
        <w:rPr>
          <w:rFonts w:cs="Times New Roman"/>
          <w:szCs w:val="24"/>
        </w:rPr>
        <w:t xml:space="preserve">examples of which include </w:t>
      </w:r>
      <w:r w:rsidR="00D26B19">
        <w:rPr>
          <w:rFonts w:cs="Times New Roman"/>
          <w:szCs w:val="24"/>
        </w:rPr>
        <w:t>the decisions of</w:t>
      </w:r>
      <w:r w:rsidR="004E4235">
        <w:rPr>
          <w:rFonts w:cs="Times New Roman"/>
          <w:szCs w:val="24"/>
        </w:rPr>
        <w:t xml:space="preserve"> umpire</w:t>
      </w:r>
      <w:r w:rsidR="00D26B19">
        <w:rPr>
          <w:rFonts w:cs="Times New Roman"/>
          <w:szCs w:val="24"/>
        </w:rPr>
        <w:t>s and</w:t>
      </w:r>
      <w:r w:rsidR="004E4235">
        <w:rPr>
          <w:rFonts w:cs="Times New Roman"/>
          <w:szCs w:val="24"/>
        </w:rPr>
        <w:t xml:space="preserve"> </w:t>
      </w:r>
      <w:r w:rsidR="00D26B19">
        <w:rPr>
          <w:rFonts w:cs="Times New Roman"/>
          <w:szCs w:val="24"/>
        </w:rPr>
        <w:t>juries</w:t>
      </w:r>
      <w:r w:rsidR="00A76925">
        <w:rPr>
          <w:rFonts w:cs="Times New Roman"/>
          <w:szCs w:val="24"/>
        </w:rPr>
        <w:t>)</w:t>
      </w:r>
      <w:r w:rsidR="00241EFB">
        <w:rPr>
          <w:rFonts w:cs="Times New Roman"/>
          <w:szCs w:val="24"/>
        </w:rPr>
        <w:t xml:space="preserve">, we treat speech act performances </w:t>
      </w:r>
      <w:r w:rsidR="009D7E43">
        <w:rPr>
          <w:rFonts w:cs="Times New Roman"/>
          <w:szCs w:val="24"/>
        </w:rPr>
        <w:t>belonging</w:t>
      </w:r>
      <w:r w:rsidR="00241EFB">
        <w:rPr>
          <w:rFonts w:cs="Times New Roman"/>
          <w:szCs w:val="24"/>
        </w:rPr>
        <w:t xml:space="preserve"> to this class </w:t>
      </w:r>
      <w:r w:rsidR="00AC691A" w:rsidRPr="00643949">
        <w:rPr>
          <w:rFonts w:cs="Times New Roman"/>
          <w:szCs w:val="24"/>
        </w:rPr>
        <w:t xml:space="preserve">as </w:t>
      </w:r>
      <w:r w:rsidR="00AF6C96">
        <w:rPr>
          <w:szCs w:val="24"/>
        </w:rPr>
        <w:t>‘</w:t>
      </w:r>
      <w:r w:rsidR="00AC691A" w:rsidRPr="00643949">
        <w:rPr>
          <w:szCs w:val="24"/>
        </w:rPr>
        <w:t>right or wrong, fair or unfair, [where] we have at least to consider: the speech situation, the situation in the world to which the speech act refers, the pertinent criteria of judgment and their application, possible application precedents and, finally, the aims for which the estimat</w:t>
      </w:r>
      <w:r w:rsidR="00AF6C96">
        <w:rPr>
          <w:szCs w:val="24"/>
        </w:rPr>
        <w:t>e or assessment was contributed’</w:t>
      </w:r>
      <w:r w:rsidR="002E3E4D">
        <w:rPr>
          <w:szCs w:val="24"/>
        </w:rPr>
        <w:t xml:space="preserve"> (</w:t>
      </w:r>
      <w:r w:rsidR="008A3965" w:rsidRPr="00643949">
        <w:rPr>
          <w:rFonts w:cs="Times New Roman"/>
          <w:szCs w:val="24"/>
        </w:rPr>
        <w:t>Sbisà</w:t>
      </w:r>
      <w:r w:rsidR="008A3965">
        <w:rPr>
          <w:szCs w:val="24"/>
        </w:rPr>
        <w:t xml:space="preserve">, </w:t>
      </w:r>
      <w:r w:rsidR="002E3E4D">
        <w:rPr>
          <w:szCs w:val="24"/>
        </w:rPr>
        <w:t>2018, p. 33)</w:t>
      </w:r>
      <w:r w:rsidR="0093703D">
        <w:rPr>
          <w:szCs w:val="24"/>
        </w:rPr>
        <w:t>.</w:t>
      </w:r>
      <w:r w:rsidR="008C3269">
        <w:rPr>
          <w:szCs w:val="24"/>
        </w:rPr>
        <w:t xml:space="preserve"> Similarly,</w:t>
      </w:r>
      <w:r w:rsidR="00241EFB">
        <w:rPr>
          <w:szCs w:val="24"/>
        </w:rPr>
        <w:t xml:space="preserve"> when we distinguish between</w:t>
      </w:r>
      <w:r w:rsidR="008C3269">
        <w:rPr>
          <w:szCs w:val="24"/>
        </w:rPr>
        <w:t xml:space="preserve"> </w:t>
      </w:r>
      <w:r w:rsidR="00AF6C96">
        <w:rPr>
          <w:szCs w:val="24"/>
        </w:rPr>
        <w:t>‘“good” and “bad”</w:t>
      </w:r>
      <w:r w:rsidR="00AC691A" w:rsidRPr="00643949">
        <w:rPr>
          <w:szCs w:val="24"/>
        </w:rPr>
        <w:t xml:space="preserve"> </w:t>
      </w:r>
      <w:r w:rsidR="00AF6C96">
        <w:rPr>
          <w:szCs w:val="24"/>
        </w:rPr>
        <w:t>advice, “merited” and “unmerited”</w:t>
      </w:r>
      <w:r w:rsidR="00AC691A" w:rsidRPr="00A4689A">
        <w:rPr>
          <w:szCs w:val="24"/>
        </w:rPr>
        <w:t xml:space="preserve"> blame and</w:t>
      </w:r>
      <w:proofErr w:type="gramStart"/>
      <w:r w:rsidR="00AD301C">
        <w:rPr>
          <w:szCs w:val="24"/>
        </w:rPr>
        <w:t>…</w:t>
      </w:r>
      <w:r w:rsidR="00AF6C96">
        <w:rPr>
          <w:szCs w:val="24"/>
        </w:rPr>
        <w:t>“</w:t>
      </w:r>
      <w:proofErr w:type="gramEnd"/>
      <w:r w:rsidR="00AF6C96">
        <w:rPr>
          <w:szCs w:val="24"/>
        </w:rPr>
        <w:t>just” or “unjust” orders’</w:t>
      </w:r>
      <w:r w:rsidR="00241EFB">
        <w:rPr>
          <w:szCs w:val="24"/>
        </w:rPr>
        <w:t xml:space="preserve">, we are </w:t>
      </w:r>
      <w:r w:rsidR="001A712C">
        <w:rPr>
          <w:szCs w:val="24"/>
        </w:rPr>
        <w:t>invoking the objective requirements relevant to the speech act</w:t>
      </w:r>
      <w:r w:rsidR="002E3E4D">
        <w:rPr>
          <w:szCs w:val="24"/>
        </w:rPr>
        <w:t xml:space="preserve"> (</w:t>
      </w:r>
      <w:r w:rsidR="008A3965" w:rsidRPr="00643949">
        <w:rPr>
          <w:rFonts w:cs="Times New Roman"/>
          <w:szCs w:val="24"/>
        </w:rPr>
        <w:t>Sbisà</w:t>
      </w:r>
      <w:r w:rsidR="008A3965">
        <w:rPr>
          <w:szCs w:val="24"/>
        </w:rPr>
        <w:t xml:space="preserve">, </w:t>
      </w:r>
      <w:r w:rsidR="002E3E4D">
        <w:rPr>
          <w:szCs w:val="24"/>
        </w:rPr>
        <w:t>2018, p. 33)</w:t>
      </w:r>
      <w:r w:rsidR="001A712C">
        <w:rPr>
          <w:szCs w:val="24"/>
        </w:rPr>
        <w:t>.</w:t>
      </w:r>
      <w:r w:rsidR="006214A0">
        <w:rPr>
          <w:szCs w:val="24"/>
        </w:rPr>
        <w:t xml:space="preserve"> </w:t>
      </w:r>
    </w:p>
    <w:p w14:paraId="3382EE31" w14:textId="77777777" w:rsidR="00687914" w:rsidRPr="003849B1" w:rsidRDefault="007E5A15" w:rsidP="00235817">
      <w:pPr>
        <w:spacing w:line="240" w:lineRule="auto"/>
        <w:ind w:firstLine="720"/>
        <w:rPr>
          <w:rFonts w:cs="Times New Roman"/>
          <w:szCs w:val="24"/>
        </w:rPr>
      </w:pPr>
      <w:r>
        <w:rPr>
          <w:szCs w:val="24"/>
        </w:rPr>
        <w:t>We can use</w:t>
      </w:r>
      <w:r w:rsidR="00952EA4">
        <w:rPr>
          <w:szCs w:val="24"/>
        </w:rPr>
        <w:t xml:space="preserve"> </w:t>
      </w:r>
      <w:r w:rsidR="004E4235" w:rsidRPr="00643949">
        <w:rPr>
          <w:rFonts w:cs="Times New Roman"/>
          <w:szCs w:val="24"/>
        </w:rPr>
        <w:t>Sbisà</w:t>
      </w:r>
      <w:r w:rsidR="00952EA4">
        <w:rPr>
          <w:rFonts w:cs="Times New Roman"/>
          <w:szCs w:val="24"/>
        </w:rPr>
        <w:t>’s</w:t>
      </w:r>
      <w:r>
        <w:rPr>
          <w:rFonts w:cs="Times New Roman"/>
          <w:szCs w:val="24"/>
        </w:rPr>
        <w:t xml:space="preserve"> taxonomy </w:t>
      </w:r>
      <w:r w:rsidR="0013155B">
        <w:rPr>
          <w:rFonts w:cs="Times New Roman"/>
          <w:szCs w:val="24"/>
        </w:rPr>
        <w:t xml:space="preserve">to help </w:t>
      </w:r>
      <w:r w:rsidR="00501585">
        <w:rPr>
          <w:rFonts w:cs="Times New Roman"/>
          <w:szCs w:val="24"/>
        </w:rPr>
        <w:t>formulate</w:t>
      </w:r>
      <w:r w:rsidR="0013155B">
        <w:rPr>
          <w:rFonts w:cs="Times New Roman"/>
          <w:szCs w:val="24"/>
        </w:rPr>
        <w:t xml:space="preserve"> clearer notions</w:t>
      </w:r>
      <w:r w:rsidR="00FE511A">
        <w:rPr>
          <w:rFonts w:cs="Times New Roman"/>
          <w:szCs w:val="24"/>
        </w:rPr>
        <w:t xml:space="preserve"> of a speech act being successfully performed </w:t>
      </w:r>
      <w:r w:rsidR="0013155B">
        <w:rPr>
          <w:rFonts w:cs="Times New Roman"/>
          <w:szCs w:val="24"/>
        </w:rPr>
        <w:t xml:space="preserve">and </w:t>
      </w:r>
      <w:r w:rsidR="00FE511A">
        <w:rPr>
          <w:rFonts w:cs="Times New Roman"/>
          <w:szCs w:val="24"/>
        </w:rPr>
        <w:t>of uptake.</w:t>
      </w:r>
      <w:r w:rsidR="001239A4">
        <w:rPr>
          <w:rStyle w:val="FootnoteReference"/>
          <w:rFonts w:cs="Times New Roman"/>
          <w:szCs w:val="24"/>
        </w:rPr>
        <w:footnoteReference w:id="4"/>
      </w:r>
      <w:r w:rsidR="00FE511A">
        <w:rPr>
          <w:rFonts w:cs="Times New Roman"/>
          <w:szCs w:val="24"/>
        </w:rPr>
        <w:t xml:space="preserve"> </w:t>
      </w:r>
      <w:r w:rsidR="003849B1">
        <w:rPr>
          <w:rFonts w:cs="AdvPSGOD"/>
          <w:szCs w:val="24"/>
        </w:rPr>
        <w:t xml:space="preserve">A ‘successful’ performance of a speech act </w:t>
      </w:r>
      <w:r w:rsidR="00E10F85" w:rsidRPr="00F8643B">
        <w:rPr>
          <w:rStyle w:val="Emphasis"/>
          <w:i w:val="0"/>
        </w:rPr>
        <w:t>should</w:t>
      </w:r>
      <w:r w:rsidR="00E10F85">
        <w:rPr>
          <w:rFonts w:cs="AdvPSGOD"/>
          <w:szCs w:val="24"/>
        </w:rPr>
        <w:t xml:space="preserve"> be taken to occur when the speakers in a context are assessing the utterance exclusively via </w:t>
      </w:r>
      <w:r w:rsidR="00E10F85" w:rsidRPr="00E10F85">
        <w:rPr>
          <w:rFonts w:cs="AdvPSGOD"/>
          <w:i/>
          <w:szCs w:val="24"/>
        </w:rPr>
        <w:t>non</w:t>
      </w:r>
      <w:r w:rsidR="00E10F85">
        <w:rPr>
          <w:rFonts w:cs="AdvPSGOD"/>
          <w:szCs w:val="24"/>
        </w:rPr>
        <w:t xml:space="preserve">-constitutive norms, that is, when speakers are assessing the act exclusively in terms of the maxims and objective </w:t>
      </w:r>
      <w:r w:rsidR="00E10F85">
        <w:rPr>
          <w:rFonts w:cs="AdvPSGOD"/>
          <w:szCs w:val="24"/>
        </w:rPr>
        <w:lastRenderedPageBreak/>
        <w:t>requirements</w:t>
      </w:r>
      <w:r w:rsidR="00687914">
        <w:rPr>
          <w:rFonts w:cs="AdvPSGOD"/>
          <w:szCs w:val="24"/>
        </w:rPr>
        <w:t xml:space="preserve"> relevant to the act</w:t>
      </w:r>
      <w:r w:rsidR="00E10F85">
        <w:rPr>
          <w:rFonts w:cs="AdvPSGOD"/>
          <w:szCs w:val="24"/>
        </w:rPr>
        <w:t>. In such cases, the question of whether the speech act has been performed is treated as settled, and we are now deciding whether the act was performed well or efficiently (or badly or inefficiently), rather than considering whether the</w:t>
      </w:r>
      <w:r w:rsidR="00687914">
        <w:rPr>
          <w:rFonts w:cs="AdvPSGOD"/>
          <w:szCs w:val="24"/>
        </w:rPr>
        <w:t xml:space="preserve"> act has been performed at all.</w:t>
      </w:r>
    </w:p>
    <w:p w14:paraId="40F88D91" w14:textId="77777777" w:rsidR="00F8643B" w:rsidRDefault="00687914" w:rsidP="00235817">
      <w:pPr>
        <w:autoSpaceDE w:val="0"/>
        <w:autoSpaceDN w:val="0"/>
        <w:adjustRightInd w:val="0"/>
        <w:spacing w:line="240" w:lineRule="auto"/>
        <w:ind w:firstLine="720"/>
        <w:rPr>
          <w:rFonts w:cs="AdvPSGOD"/>
          <w:szCs w:val="24"/>
        </w:rPr>
      </w:pPr>
      <w:r>
        <w:rPr>
          <w:rFonts w:cs="AdvPSGOD"/>
          <w:szCs w:val="24"/>
        </w:rPr>
        <w:t>Why</w:t>
      </w:r>
      <w:r w:rsidR="006214A0">
        <w:rPr>
          <w:rFonts w:cs="AdvPSGOD"/>
          <w:szCs w:val="24"/>
        </w:rPr>
        <w:t xml:space="preserve"> opt for this characterization? By </w:t>
      </w:r>
      <w:r w:rsidR="008C30DD">
        <w:rPr>
          <w:rFonts w:cs="AdvPSGOD"/>
          <w:szCs w:val="24"/>
        </w:rPr>
        <w:t>viewing</w:t>
      </w:r>
      <w:r w:rsidR="006214A0">
        <w:rPr>
          <w:rFonts w:cs="AdvPSGOD"/>
          <w:szCs w:val="24"/>
        </w:rPr>
        <w:t xml:space="preserve"> successful speech act performances as those where speakers treat the </w:t>
      </w:r>
      <w:r w:rsidR="00F8643B">
        <w:rPr>
          <w:rFonts w:cs="AdvPSGOD"/>
          <w:szCs w:val="24"/>
        </w:rPr>
        <w:t>performance of</w:t>
      </w:r>
      <w:r w:rsidR="006214A0">
        <w:rPr>
          <w:rFonts w:cs="AdvPSGOD"/>
          <w:szCs w:val="24"/>
        </w:rPr>
        <w:t xml:space="preserve"> the speech act as settled</w:t>
      </w:r>
      <w:r w:rsidR="00706EF1">
        <w:rPr>
          <w:rFonts w:cs="AdvPSGOD"/>
          <w:szCs w:val="24"/>
        </w:rPr>
        <w:t xml:space="preserve"> (</w:t>
      </w:r>
      <w:r w:rsidR="00F82756">
        <w:rPr>
          <w:rFonts w:cs="AdvPSGOD"/>
          <w:szCs w:val="24"/>
        </w:rPr>
        <w:t xml:space="preserve">as </w:t>
      </w:r>
      <w:r w:rsidR="00706EF1">
        <w:rPr>
          <w:rFonts w:cs="AdvPSGOD"/>
          <w:szCs w:val="24"/>
        </w:rPr>
        <w:t xml:space="preserve">indicated by </w:t>
      </w:r>
      <w:r w:rsidR="000262FB">
        <w:rPr>
          <w:rFonts w:cs="AdvPSGOD"/>
          <w:szCs w:val="24"/>
        </w:rPr>
        <w:t>speakers assessing</w:t>
      </w:r>
      <w:r w:rsidR="00706EF1">
        <w:rPr>
          <w:rFonts w:cs="AdvPSGOD"/>
          <w:szCs w:val="24"/>
        </w:rPr>
        <w:t xml:space="preserve"> the performance exclusively via non-constitutive norms)</w:t>
      </w:r>
      <w:r w:rsidR="006214A0">
        <w:rPr>
          <w:rFonts w:cs="AdvPSGOD"/>
          <w:szCs w:val="24"/>
        </w:rPr>
        <w:t>, we can more easily identify the characteristic</w:t>
      </w:r>
      <w:r w:rsidR="00C67117">
        <w:rPr>
          <w:rFonts w:cs="AdvPSGOD"/>
          <w:szCs w:val="24"/>
        </w:rPr>
        <w:t xml:space="preserve"> or constitutive</w:t>
      </w:r>
      <w:r w:rsidR="006214A0">
        <w:rPr>
          <w:rFonts w:cs="AdvPSGOD"/>
          <w:szCs w:val="24"/>
        </w:rPr>
        <w:t xml:space="preserve"> features of different speech act kinds.</w:t>
      </w:r>
      <w:r w:rsidR="00F8643B">
        <w:rPr>
          <w:rFonts w:cs="AdvPSGOD"/>
          <w:szCs w:val="24"/>
        </w:rPr>
        <w:t xml:space="preserve"> </w:t>
      </w:r>
      <w:r w:rsidR="009D7E43">
        <w:rPr>
          <w:rFonts w:cs="AdvPSGOD"/>
          <w:szCs w:val="24"/>
        </w:rPr>
        <w:t xml:space="preserve">Were </w:t>
      </w:r>
      <w:r w:rsidR="00B54436">
        <w:rPr>
          <w:rFonts w:cs="AdvPSGOD"/>
          <w:szCs w:val="24"/>
        </w:rPr>
        <w:t>we</w:t>
      </w:r>
      <w:r w:rsidR="009D7E43">
        <w:rPr>
          <w:rFonts w:cs="AdvPSGOD"/>
          <w:szCs w:val="24"/>
        </w:rPr>
        <w:t xml:space="preserve"> to</w:t>
      </w:r>
      <w:r w:rsidR="00B54436">
        <w:rPr>
          <w:rFonts w:cs="AdvPSGOD"/>
          <w:szCs w:val="24"/>
        </w:rPr>
        <w:t xml:space="preserve"> include</w:t>
      </w:r>
      <w:r w:rsidR="00F8643B">
        <w:rPr>
          <w:rFonts w:cs="AdvPSGOD"/>
          <w:szCs w:val="24"/>
        </w:rPr>
        <w:t xml:space="preserve"> </w:t>
      </w:r>
      <w:r w:rsidR="00706EF1">
        <w:rPr>
          <w:rFonts w:cs="AdvPSGOD"/>
          <w:szCs w:val="24"/>
        </w:rPr>
        <w:t xml:space="preserve">the fulfillment of </w:t>
      </w:r>
      <w:r w:rsidR="00F8643B">
        <w:rPr>
          <w:rFonts w:cs="AdvPSGOD"/>
          <w:szCs w:val="24"/>
        </w:rPr>
        <w:t xml:space="preserve">non-constitutive norms </w:t>
      </w:r>
      <w:r w:rsidR="00706EF1">
        <w:rPr>
          <w:rFonts w:cs="AdvPSGOD"/>
          <w:szCs w:val="24"/>
        </w:rPr>
        <w:t>as a necessary dimension of</w:t>
      </w:r>
      <w:r w:rsidR="00F8643B">
        <w:rPr>
          <w:rFonts w:cs="AdvPSGOD"/>
          <w:szCs w:val="24"/>
        </w:rPr>
        <w:t xml:space="preserve"> successful speech act performanc</w:t>
      </w:r>
      <w:r w:rsidR="00854642">
        <w:rPr>
          <w:rFonts w:cs="AdvPSGOD"/>
          <w:szCs w:val="24"/>
        </w:rPr>
        <w:t>es</w:t>
      </w:r>
      <w:r w:rsidR="000262FB">
        <w:rPr>
          <w:rFonts w:cs="AdvPSGOD"/>
          <w:szCs w:val="24"/>
        </w:rPr>
        <w:t>, then we</w:t>
      </w:r>
      <w:r w:rsidR="009D7E43">
        <w:rPr>
          <w:rFonts w:cs="AdvPSGOD"/>
          <w:szCs w:val="24"/>
        </w:rPr>
        <w:t xml:space="preserve"> would</w:t>
      </w:r>
      <w:r w:rsidR="000262FB">
        <w:rPr>
          <w:rFonts w:cs="AdvPSGOD"/>
          <w:szCs w:val="24"/>
        </w:rPr>
        <w:t xml:space="preserve"> </w:t>
      </w:r>
      <w:r w:rsidR="007E5A15">
        <w:rPr>
          <w:rFonts w:cs="AdvPSGOD"/>
          <w:szCs w:val="24"/>
        </w:rPr>
        <w:t>risk</w:t>
      </w:r>
      <w:r w:rsidR="00F8643B">
        <w:rPr>
          <w:rFonts w:cs="AdvPSGOD"/>
          <w:szCs w:val="24"/>
        </w:rPr>
        <w:t xml:space="preserve"> </w:t>
      </w:r>
      <w:r w:rsidR="00B54436">
        <w:rPr>
          <w:rFonts w:cs="AdvPSGOD"/>
          <w:szCs w:val="24"/>
        </w:rPr>
        <w:t xml:space="preserve">obscuring </w:t>
      </w:r>
      <w:r w:rsidR="00706EF1">
        <w:rPr>
          <w:rFonts w:cs="AdvPSGOD"/>
          <w:szCs w:val="24"/>
        </w:rPr>
        <w:t>these distinguishing</w:t>
      </w:r>
      <w:r w:rsidR="00F8643B">
        <w:rPr>
          <w:rFonts w:cs="AdvPSGOD"/>
          <w:szCs w:val="24"/>
        </w:rPr>
        <w:t xml:space="preserve"> features</w:t>
      </w:r>
      <w:r w:rsidR="00706EF1">
        <w:rPr>
          <w:rFonts w:cs="AdvPSGOD"/>
          <w:szCs w:val="24"/>
        </w:rPr>
        <w:t xml:space="preserve"> of different speech acts</w:t>
      </w:r>
      <w:r w:rsidR="00F8643B">
        <w:rPr>
          <w:rFonts w:cs="AdvPSGOD"/>
          <w:szCs w:val="24"/>
        </w:rPr>
        <w:t xml:space="preserve"> because </w:t>
      </w:r>
      <w:r w:rsidR="00854642">
        <w:rPr>
          <w:rFonts w:cs="AdvPSGOD"/>
          <w:szCs w:val="24"/>
        </w:rPr>
        <w:t xml:space="preserve">many </w:t>
      </w:r>
      <w:r w:rsidR="00706EF1">
        <w:rPr>
          <w:rFonts w:cs="AdvPSGOD"/>
          <w:szCs w:val="24"/>
        </w:rPr>
        <w:t xml:space="preserve">non-constitutive </w:t>
      </w:r>
      <w:r w:rsidR="00854642">
        <w:rPr>
          <w:rFonts w:cs="AdvPSGOD"/>
          <w:szCs w:val="24"/>
        </w:rPr>
        <w:t>norms are</w:t>
      </w:r>
      <w:r w:rsidR="00F55F24">
        <w:rPr>
          <w:rFonts w:cs="AdvPSGOD"/>
          <w:szCs w:val="24"/>
        </w:rPr>
        <w:t xml:space="preserve"> equally</w:t>
      </w:r>
      <w:r w:rsidR="00854642">
        <w:rPr>
          <w:rFonts w:cs="AdvPSGOD"/>
          <w:szCs w:val="24"/>
        </w:rPr>
        <w:t xml:space="preserve"> relevant to a range of acts</w:t>
      </w:r>
      <w:r w:rsidR="00F82756">
        <w:rPr>
          <w:rFonts w:cs="AdvPSGOD"/>
          <w:szCs w:val="24"/>
        </w:rPr>
        <w:t xml:space="preserve"> and </w:t>
      </w:r>
      <w:r w:rsidR="00B54436">
        <w:rPr>
          <w:rFonts w:cs="AdvPSGOD"/>
          <w:szCs w:val="24"/>
        </w:rPr>
        <w:t xml:space="preserve">so </w:t>
      </w:r>
      <w:r w:rsidR="00F82756">
        <w:rPr>
          <w:rFonts w:cs="AdvPSGOD"/>
          <w:szCs w:val="24"/>
        </w:rPr>
        <w:t>do not di</w:t>
      </w:r>
      <w:r w:rsidR="003E1BE9">
        <w:rPr>
          <w:rFonts w:cs="AdvPSGOD"/>
          <w:szCs w:val="24"/>
        </w:rPr>
        <w:t>fferentiate</w:t>
      </w:r>
      <w:r w:rsidR="00F82756">
        <w:rPr>
          <w:rFonts w:cs="AdvPSGOD"/>
          <w:szCs w:val="24"/>
        </w:rPr>
        <w:t xml:space="preserve"> among </w:t>
      </w:r>
      <w:proofErr w:type="gramStart"/>
      <w:r w:rsidR="00F82756">
        <w:rPr>
          <w:rFonts w:cs="AdvPSGOD"/>
          <w:szCs w:val="24"/>
        </w:rPr>
        <w:t>them</w:t>
      </w:r>
      <w:r w:rsidR="00854642">
        <w:rPr>
          <w:rFonts w:cs="AdvPSGOD"/>
          <w:szCs w:val="24"/>
        </w:rPr>
        <w:t>.</w:t>
      </w:r>
      <w:proofErr w:type="gramEnd"/>
      <w:r w:rsidR="00854642">
        <w:rPr>
          <w:rFonts w:cs="AdvPSGOD"/>
          <w:szCs w:val="24"/>
        </w:rPr>
        <w:t xml:space="preserve"> For example, </w:t>
      </w:r>
      <w:r w:rsidR="00706EF1">
        <w:rPr>
          <w:rFonts w:cs="AdvPSGOD"/>
          <w:szCs w:val="24"/>
        </w:rPr>
        <w:t>for most speech acts, maxims encouraging clarity and sin</w:t>
      </w:r>
      <w:r w:rsidR="00E57497">
        <w:rPr>
          <w:rFonts w:cs="AdvPSGOD"/>
          <w:szCs w:val="24"/>
        </w:rPr>
        <w:t>cerity for</w:t>
      </w:r>
      <w:r w:rsidR="00706EF1">
        <w:rPr>
          <w:rFonts w:cs="AdvPSGOD"/>
          <w:szCs w:val="24"/>
        </w:rPr>
        <w:t xml:space="preserve"> the speaker’s </w:t>
      </w:r>
      <w:r w:rsidR="00460B64">
        <w:rPr>
          <w:rFonts w:cs="AdvPSGOD"/>
          <w:szCs w:val="24"/>
        </w:rPr>
        <w:t xml:space="preserve">performance will </w:t>
      </w:r>
      <w:r w:rsidR="000262FB">
        <w:rPr>
          <w:rFonts w:cs="AdvPSGOD"/>
          <w:szCs w:val="24"/>
        </w:rPr>
        <w:t>be relevant</w:t>
      </w:r>
      <w:r w:rsidR="00460B64">
        <w:rPr>
          <w:rFonts w:cs="AdvPSGOD"/>
          <w:szCs w:val="24"/>
        </w:rPr>
        <w:t>.</w:t>
      </w:r>
      <w:r w:rsidR="00E57497">
        <w:rPr>
          <w:rFonts w:cs="AdvPSGOD"/>
          <w:szCs w:val="24"/>
        </w:rPr>
        <w:t xml:space="preserve"> </w:t>
      </w:r>
      <w:r w:rsidR="00F921C2">
        <w:rPr>
          <w:rFonts w:cs="AdvPSGOD"/>
          <w:szCs w:val="24"/>
        </w:rPr>
        <w:t>Similarly, t</w:t>
      </w:r>
      <w:r w:rsidR="00E57497">
        <w:rPr>
          <w:rFonts w:cs="AdvPSGOD"/>
          <w:szCs w:val="24"/>
        </w:rPr>
        <w:t xml:space="preserve">he objective requirement of fairness is plausibly applicable to </w:t>
      </w:r>
      <w:r w:rsidR="00B54436">
        <w:rPr>
          <w:rFonts w:cs="AdvPSGOD"/>
          <w:szCs w:val="24"/>
        </w:rPr>
        <w:t>various</w:t>
      </w:r>
      <w:r w:rsidR="00E57497">
        <w:rPr>
          <w:rFonts w:cs="AdvPSGOD"/>
          <w:szCs w:val="24"/>
        </w:rPr>
        <w:t xml:space="preserve"> acts –</w:t>
      </w:r>
      <w:r w:rsidR="006C1753">
        <w:rPr>
          <w:rFonts w:cs="AdvPSGOD"/>
          <w:szCs w:val="24"/>
        </w:rPr>
        <w:t xml:space="preserve"> render</w:t>
      </w:r>
      <w:r w:rsidR="001239A4">
        <w:rPr>
          <w:rFonts w:cs="AdvPSGOD"/>
          <w:szCs w:val="24"/>
        </w:rPr>
        <w:t>ing verdicts, rankings, orders</w:t>
      </w:r>
      <w:r w:rsidR="00E57497">
        <w:rPr>
          <w:rFonts w:cs="AdvPSGOD"/>
          <w:szCs w:val="24"/>
        </w:rPr>
        <w:t xml:space="preserve">, </w:t>
      </w:r>
      <w:r w:rsidR="000262FB">
        <w:rPr>
          <w:rFonts w:cs="AdvPSGOD"/>
          <w:szCs w:val="24"/>
        </w:rPr>
        <w:t xml:space="preserve">etc. </w:t>
      </w:r>
      <w:r w:rsidR="004A19FA">
        <w:rPr>
          <w:rFonts w:cs="AdvPSGOD"/>
          <w:szCs w:val="24"/>
        </w:rPr>
        <w:t>To</w:t>
      </w:r>
      <w:r w:rsidR="0077145E">
        <w:rPr>
          <w:rFonts w:cs="AdvPSGOD"/>
          <w:szCs w:val="24"/>
        </w:rPr>
        <w:t xml:space="preserve"> identify the characteristic, constitutive features of a particular speech act, we should therefore</w:t>
      </w:r>
      <w:r w:rsidR="00F82756">
        <w:rPr>
          <w:rFonts w:cs="AdvPSGOD"/>
          <w:szCs w:val="24"/>
        </w:rPr>
        <w:t xml:space="preserve"> center</w:t>
      </w:r>
      <w:r w:rsidR="0077145E">
        <w:rPr>
          <w:rFonts w:cs="AdvPSGOD"/>
          <w:szCs w:val="24"/>
        </w:rPr>
        <w:t xml:space="preserve"> cases where it is taken as settled among speakers that the speech has been performed but </w:t>
      </w:r>
      <w:r w:rsidR="00E15A06">
        <w:rPr>
          <w:rFonts w:cs="AdvPSGOD"/>
          <w:szCs w:val="24"/>
        </w:rPr>
        <w:t xml:space="preserve">where it </w:t>
      </w:r>
      <w:r w:rsidR="0077145E">
        <w:rPr>
          <w:rFonts w:cs="AdvPSGOD"/>
          <w:szCs w:val="24"/>
        </w:rPr>
        <w:t xml:space="preserve">remains an open </w:t>
      </w:r>
      <w:r w:rsidR="00E15A06">
        <w:rPr>
          <w:rFonts w:cs="AdvPSGOD"/>
          <w:szCs w:val="24"/>
        </w:rPr>
        <w:t>question among these speakers how the act</w:t>
      </w:r>
      <w:r w:rsidR="0077145E">
        <w:rPr>
          <w:rFonts w:cs="AdvPSGOD"/>
          <w:szCs w:val="24"/>
        </w:rPr>
        <w:t xml:space="preserve"> should be assessed via maxims and objective requirements.</w:t>
      </w:r>
    </w:p>
    <w:p w14:paraId="1A5BBD42" w14:textId="77777777" w:rsidR="00E10F85" w:rsidRDefault="006214A0" w:rsidP="00235817">
      <w:pPr>
        <w:autoSpaceDE w:val="0"/>
        <w:autoSpaceDN w:val="0"/>
        <w:adjustRightInd w:val="0"/>
        <w:spacing w:line="240" w:lineRule="auto"/>
        <w:ind w:firstLine="720"/>
        <w:rPr>
          <w:rFonts w:cs="AdvPSGOD"/>
          <w:szCs w:val="24"/>
        </w:rPr>
      </w:pPr>
      <w:r>
        <w:rPr>
          <w:rFonts w:cs="AdvPSGOD"/>
          <w:szCs w:val="24"/>
        </w:rPr>
        <w:t xml:space="preserve"> </w:t>
      </w:r>
      <w:r w:rsidR="0077145E">
        <w:rPr>
          <w:rFonts w:cs="AdvPSGOD"/>
          <w:szCs w:val="24"/>
        </w:rPr>
        <w:t>Consider</w:t>
      </w:r>
      <w:r w:rsidR="00F96201">
        <w:rPr>
          <w:rFonts w:cs="AdvPSGOD"/>
          <w:szCs w:val="24"/>
        </w:rPr>
        <w:t xml:space="preserve"> </w:t>
      </w:r>
      <w:r w:rsidR="00E10F85">
        <w:rPr>
          <w:rFonts w:cs="AdvPSGOD"/>
          <w:szCs w:val="24"/>
        </w:rPr>
        <w:t>successful orders and requests in this sense. If a general says they are issuing an order to their troops</w:t>
      </w:r>
      <w:r w:rsidR="00F82756">
        <w:rPr>
          <w:rFonts w:cs="AdvPSGOD"/>
          <w:szCs w:val="24"/>
        </w:rPr>
        <w:t xml:space="preserve"> (to play specific music for an attack, say, </w:t>
      </w:r>
      <w:r w:rsidR="00F82756" w:rsidRPr="00F82756">
        <w:rPr>
          <w:rFonts w:cs="AdvPSGOD"/>
          <w:i/>
          <w:szCs w:val="24"/>
        </w:rPr>
        <w:t>à la</w:t>
      </w:r>
      <w:r w:rsidR="00A66BD8">
        <w:rPr>
          <w:rFonts w:cs="AdvPSGOD"/>
          <w:szCs w:val="24"/>
        </w:rPr>
        <w:t xml:space="preserve"> the famous chilling</w:t>
      </w:r>
      <w:r w:rsidR="00F82756">
        <w:rPr>
          <w:rFonts w:cs="AdvPSGOD"/>
          <w:szCs w:val="24"/>
        </w:rPr>
        <w:t xml:space="preserve"> sequence in </w:t>
      </w:r>
      <w:r w:rsidR="00F82756">
        <w:rPr>
          <w:rFonts w:cs="AdvPSGOD"/>
          <w:i/>
          <w:szCs w:val="24"/>
        </w:rPr>
        <w:t>Apocalypse Now</w:t>
      </w:r>
      <w:r w:rsidR="00F82756">
        <w:rPr>
          <w:rFonts w:cs="AdvPSGOD"/>
          <w:szCs w:val="24"/>
        </w:rPr>
        <w:t>)</w:t>
      </w:r>
      <w:r w:rsidR="00E10F85">
        <w:rPr>
          <w:rFonts w:cs="AdvPSGOD"/>
          <w:szCs w:val="24"/>
        </w:rPr>
        <w:t xml:space="preserve">, and it is taken to be settled in the linguistic context that the general has in fact issued this order, then the general’s speech act has given rise to an obligation for those troops: if they do not act in accordance with the order, they can be appropriately held accountable for this failure to act. Why? Because they have failed to meet an obligation that the speech act of ordering institutes. </w:t>
      </w:r>
      <w:r w:rsidR="00B64191">
        <w:rPr>
          <w:rFonts w:cs="AdvPSGOD"/>
          <w:szCs w:val="24"/>
        </w:rPr>
        <w:t>It</w:t>
      </w:r>
      <w:r w:rsidR="00E10F85">
        <w:rPr>
          <w:rFonts w:cs="AdvPSGOD"/>
          <w:szCs w:val="24"/>
        </w:rPr>
        <w:t xml:space="preserve"> may be that the order could have been issued more clearly or that it was ill-advised given the circumstances, etc. But insofar as the order has been successfully issued, an obligation for the addressee is generated. </w:t>
      </w:r>
    </w:p>
    <w:p w14:paraId="4C784EB0" w14:textId="77777777" w:rsidR="00F6332A" w:rsidRDefault="00E10F85" w:rsidP="00235817">
      <w:pPr>
        <w:autoSpaceDE w:val="0"/>
        <w:autoSpaceDN w:val="0"/>
        <w:adjustRightInd w:val="0"/>
        <w:spacing w:line="240" w:lineRule="auto"/>
        <w:ind w:firstLine="720"/>
        <w:rPr>
          <w:rFonts w:cs="AdvPSGOD"/>
          <w:szCs w:val="24"/>
        </w:rPr>
      </w:pPr>
      <w:r>
        <w:rPr>
          <w:rFonts w:cs="AdvPSGOD"/>
          <w:szCs w:val="24"/>
        </w:rPr>
        <w:t xml:space="preserve">Compare this to an instance of a successful request. My friend is playing music and asks if there is anything I would like to hear. I say that I have a request for a specific song, one I know </w:t>
      </w:r>
      <w:r w:rsidR="00587D73">
        <w:rPr>
          <w:rFonts w:cs="AdvPSGOD"/>
          <w:szCs w:val="24"/>
        </w:rPr>
        <w:t>they</w:t>
      </w:r>
      <w:r>
        <w:rPr>
          <w:rFonts w:cs="AdvPSGOD"/>
          <w:szCs w:val="24"/>
        </w:rPr>
        <w:t xml:space="preserve"> can easily access. Suppose, then, it is taken to be settled in this linguistic context that I have in fact made this request. What kind of pragmatic structure does this speech act of requesting have? Does it, for example, generate an obligation for the addressee in the same way an order does? This does not seem to be the case. If my friend says that they will not play the song – because, they say, they are just not in the mood to listen to it – I am not entitled to hold them accountable in the way the general is entitled to hold their troops accountable for disobeying an order. That is, my friend has not violated an obligation that my speech act of requesting institutes. Because I am making a request, my friend instead has the option of appropriately accepting or declining. If they decline, I may be disappointed</w:t>
      </w:r>
      <w:r w:rsidR="00F6332A">
        <w:rPr>
          <w:rFonts w:cs="AdvPSGOD"/>
          <w:szCs w:val="24"/>
        </w:rPr>
        <w:t xml:space="preserve"> or think their behavior was rude, </w:t>
      </w:r>
      <w:r>
        <w:rPr>
          <w:rFonts w:cs="AdvPSGOD"/>
          <w:szCs w:val="24"/>
        </w:rPr>
        <w:t>but I cannot appropriately say that my friend has viola</w:t>
      </w:r>
      <w:r w:rsidRPr="0050420D">
        <w:rPr>
          <w:rFonts w:cs="AdvPSGOD"/>
          <w:szCs w:val="24"/>
        </w:rPr>
        <w:t xml:space="preserve">ted an obligation my request </w:t>
      </w:r>
      <w:r>
        <w:rPr>
          <w:rFonts w:cs="AdvPSGOD"/>
          <w:szCs w:val="24"/>
        </w:rPr>
        <w:t>somehow generates</w:t>
      </w:r>
      <w:r w:rsidRPr="0050420D">
        <w:rPr>
          <w:rFonts w:cs="AdvPSGOD"/>
          <w:szCs w:val="24"/>
        </w:rPr>
        <w:t>.</w:t>
      </w:r>
    </w:p>
    <w:p w14:paraId="3E6F9B3E" w14:textId="77777777" w:rsidR="00E10F85" w:rsidRDefault="00E10F85" w:rsidP="00235817">
      <w:pPr>
        <w:autoSpaceDE w:val="0"/>
        <w:autoSpaceDN w:val="0"/>
        <w:adjustRightInd w:val="0"/>
        <w:spacing w:line="240" w:lineRule="auto"/>
        <w:ind w:firstLine="720"/>
        <w:rPr>
          <w:rFonts w:cs="AdvPSGOD"/>
          <w:szCs w:val="24"/>
        </w:rPr>
      </w:pPr>
      <w:r>
        <w:rPr>
          <w:rFonts w:cs="AdvPSGOD"/>
          <w:szCs w:val="24"/>
        </w:rPr>
        <w:t>By comparing instances of successful orders and requests in this sense, what emerges is that requests – as opposed to orders – generate for the</w:t>
      </w:r>
      <w:r w:rsidRPr="0050420D">
        <w:rPr>
          <w:rFonts w:cs="AdvPSGOD"/>
          <w:szCs w:val="24"/>
        </w:rPr>
        <w:t xml:space="preserve"> addressees a </w:t>
      </w:r>
      <w:r w:rsidRPr="0050420D">
        <w:rPr>
          <w:rFonts w:cs="AdvPSGOD"/>
          <w:i/>
          <w:szCs w:val="24"/>
        </w:rPr>
        <w:t>non</w:t>
      </w:r>
      <w:r w:rsidR="006752A1">
        <w:rPr>
          <w:rFonts w:cs="AdvPSGOD"/>
          <w:szCs w:val="24"/>
        </w:rPr>
        <w:t>-obligatory, ‘petitionary’</w:t>
      </w:r>
      <w:r w:rsidRPr="0050420D">
        <w:rPr>
          <w:rFonts w:cs="AdvPSGOD"/>
          <w:szCs w:val="24"/>
        </w:rPr>
        <w:t xml:space="preserve"> reas</w:t>
      </w:r>
      <w:r>
        <w:rPr>
          <w:rFonts w:cs="AdvPSGOD"/>
          <w:szCs w:val="24"/>
        </w:rPr>
        <w:t>on to carry out a certain action</w:t>
      </w:r>
      <w:r w:rsidRPr="0050420D">
        <w:rPr>
          <w:rFonts w:cs="AdvPSGOD"/>
          <w:szCs w:val="24"/>
        </w:rPr>
        <w:t>,</w:t>
      </w:r>
      <w:r>
        <w:rPr>
          <w:rFonts w:cs="AdvPSGOD"/>
          <w:szCs w:val="24"/>
        </w:rPr>
        <w:t xml:space="preserve"> that is, a reason for acting but o</w:t>
      </w:r>
      <w:r w:rsidR="006752A1">
        <w:rPr>
          <w:rFonts w:cs="AdvPSGOD"/>
          <w:szCs w:val="24"/>
        </w:rPr>
        <w:t>ne the addressee need not act on</w:t>
      </w:r>
      <w:r w:rsidR="00444CD3">
        <w:rPr>
          <w:rFonts w:cs="AdvPSGOD"/>
          <w:szCs w:val="24"/>
        </w:rPr>
        <w:t xml:space="preserve"> (Lance and Kukla, 2013, p. 462)</w:t>
      </w:r>
      <w:r>
        <w:rPr>
          <w:rFonts w:cs="AdvPSGOD"/>
          <w:szCs w:val="24"/>
        </w:rPr>
        <w:t>. An imperative, however,</w:t>
      </w:r>
      <w:r w:rsidR="006752A1">
        <w:rPr>
          <w:rFonts w:cs="AdvPSGOD"/>
          <w:szCs w:val="24"/>
        </w:rPr>
        <w:t xml:space="preserve"> ‘</w:t>
      </w:r>
      <w:r w:rsidRPr="0050420D">
        <w:rPr>
          <w:szCs w:val="24"/>
        </w:rPr>
        <w:t>is structurally incapable of giving its tar</w:t>
      </w:r>
      <w:r w:rsidR="006752A1">
        <w:rPr>
          <w:szCs w:val="24"/>
        </w:rPr>
        <w:t>get a petitionary reason to act’</w:t>
      </w:r>
      <w:r>
        <w:rPr>
          <w:szCs w:val="24"/>
        </w:rPr>
        <w:t xml:space="preserve"> because they generate obligations for their addressees</w:t>
      </w:r>
      <w:r w:rsidR="00444CD3">
        <w:rPr>
          <w:szCs w:val="24"/>
        </w:rPr>
        <w:t xml:space="preserve"> (Lance and Kukla, 2013, p. 462)</w:t>
      </w:r>
      <w:r w:rsidRPr="0050420D">
        <w:rPr>
          <w:rFonts w:cs="AdvPSGOD"/>
          <w:szCs w:val="24"/>
        </w:rPr>
        <w:t>.</w:t>
      </w:r>
    </w:p>
    <w:p w14:paraId="5AA3632D" w14:textId="77777777" w:rsidR="00E10F85" w:rsidRDefault="009D7E43" w:rsidP="00235817">
      <w:pPr>
        <w:autoSpaceDE w:val="0"/>
        <w:autoSpaceDN w:val="0"/>
        <w:adjustRightInd w:val="0"/>
        <w:spacing w:line="240" w:lineRule="auto"/>
        <w:ind w:firstLine="720"/>
        <w:rPr>
          <w:rFonts w:cs="AdvPSGOD"/>
          <w:szCs w:val="24"/>
        </w:rPr>
      </w:pPr>
      <w:r>
        <w:rPr>
          <w:rFonts w:cs="AdvPSGOD"/>
          <w:szCs w:val="24"/>
        </w:rPr>
        <w:t>If</w:t>
      </w:r>
      <w:r w:rsidR="00E10F85">
        <w:rPr>
          <w:rFonts w:cs="AdvPSGOD"/>
          <w:szCs w:val="24"/>
        </w:rPr>
        <w:t>, however</w:t>
      </w:r>
      <w:r>
        <w:rPr>
          <w:rFonts w:cs="AdvPSGOD"/>
          <w:szCs w:val="24"/>
        </w:rPr>
        <w:t>, we analyze</w:t>
      </w:r>
      <w:r w:rsidR="00E10F85">
        <w:rPr>
          <w:rFonts w:cs="AdvPSGOD"/>
          <w:szCs w:val="24"/>
        </w:rPr>
        <w:t xml:space="preserve"> the </w:t>
      </w:r>
      <w:r w:rsidR="006752A1">
        <w:rPr>
          <w:rFonts w:cs="AdvPSGOD"/>
          <w:szCs w:val="24"/>
        </w:rPr>
        <w:t>pragmatic structure of speech ac</w:t>
      </w:r>
      <w:r w:rsidR="00E10F85">
        <w:rPr>
          <w:rFonts w:cs="AdvPSGOD"/>
          <w:szCs w:val="24"/>
        </w:rPr>
        <w:t>ts by considering failed instances or cases where the success of the performance is ambiguous, these differences will likely be obscured. For example, suppose I say to a group of people that I congratulate them or that I am</w:t>
      </w:r>
      <w:r w:rsidR="00F6332A">
        <w:rPr>
          <w:rFonts w:cs="AdvPSGOD"/>
          <w:szCs w:val="24"/>
        </w:rPr>
        <w:t xml:space="preserve"> </w:t>
      </w:r>
      <w:r w:rsidR="00F6332A">
        <w:rPr>
          <w:rFonts w:cs="AdvPSGOD"/>
          <w:szCs w:val="24"/>
        </w:rPr>
        <w:lastRenderedPageBreak/>
        <w:t>advising them. T</w:t>
      </w:r>
      <w:r w:rsidR="00E10F85">
        <w:rPr>
          <w:rFonts w:cs="AdvPSGOD"/>
          <w:szCs w:val="24"/>
        </w:rPr>
        <w:t>his audience assumes</w:t>
      </w:r>
      <w:r w:rsidR="00F6332A">
        <w:rPr>
          <w:rFonts w:cs="AdvPSGOD"/>
          <w:szCs w:val="24"/>
        </w:rPr>
        <w:t>, however,</w:t>
      </w:r>
      <w:r w:rsidR="00E10F85">
        <w:rPr>
          <w:rFonts w:cs="AdvPSGOD"/>
          <w:szCs w:val="24"/>
        </w:rPr>
        <w:t xml:space="preserve"> that I am always surreptitiously condescending towards others</w:t>
      </w:r>
      <w:r w:rsidR="006752A1">
        <w:rPr>
          <w:rFonts w:cs="AdvPSGOD"/>
          <w:szCs w:val="24"/>
        </w:rPr>
        <w:t xml:space="preserve"> and</w:t>
      </w:r>
      <w:r w:rsidR="00E10F85">
        <w:rPr>
          <w:rFonts w:cs="AdvPSGOD"/>
          <w:szCs w:val="24"/>
        </w:rPr>
        <w:t xml:space="preserve"> take my utterances to be insults. Whatever distinguishing features there may be to the speech acts of congratulating or advisin</w:t>
      </w:r>
      <w:r w:rsidR="00F6332A">
        <w:rPr>
          <w:rFonts w:cs="AdvPSGOD"/>
          <w:szCs w:val="24"/>
        </w:rPr>
        <w:t xml:space="preserve">g are obscured in such contexts – </w:t>
      </w:r>
      <w:r w:rsidR="005C4B62">
        <w:rPr>
          <w:rFonts w:cs="AdvPSGOD"/>
          <w:szCs w:val="24"/>
        </w:rPr>
        <w:t>features that are brought to the fore when it</w:t>
      </w:r>
      <w:r w:rsidR="00E10F85">
        <w:rPr>
          <w:rFonts w:cs="AdvPSGOD"/>
          <w:szCs w:val="24"/>
        </w:rPr>
        <w:t xml:space="preserve"> </w:t>
      </w:r>
      <w:r w:rsidR="005C4B62">
        <w:rPr>
          <w:rFonts w:cs="AdvPSGOD"/>
          <w:szCs w:val="24"/>
        </w:rPr>
        <w:t xml:space="preserve">is taken to be settled that the speech act in question has been </w:t>
      </w:r>
      <w:r w:rsidR="008058A2">
        <w:rPr>
          <w:rFonts w:cs="AdvPSGOD"/>
          <w:szCs w:val="24"/>
        </w:rPr>
        <w:t>performed</w:t>
      </w:r>
      <w:r w:rsidR="00E10F85">
        <w:rPr>
          <w:rFonts w:cs="AdvPSGOD"/>
          <w:szCs w:val="24"/>
        </w:rPr>
        <w:t>.</w:t>
      </w:r>
    </w:p>
    <w:p w14:paraId="4920A464" w14:textId="77777777" w:rsidR="00E10F85" w:rsidRPr="00D756A1" w:rsidRDefault="003665F3" w:rsidP="00235817">
      <w:pPr>
        <w:autoSpaceDE w:val="0"/>
        <w:autoSpaceDN w:val="0"/>
        <w:adjustRightInd w:val="0"/>
        <w:spacing w:line="240" w:lineRule="auto"/>
        <w:ind w:firstLine="720"/>
        <w:rPr>
          <w:rFonts w:cs="AdvPSGOD"/>
          <w:szCs w:val="24"/>
        </w:rPr>
      </w:pPr>
      <w:r>
        <w:rPr>
          <w:rFonts w:cs="AdvPSGOD"/>
          <w:szCs w:val="24"/>
        </w:rPr>
        <w:t xml:space="preserve">Against this backdrop, ‘uptake’ should be understood as reactions and behaviors – linguistic or otherwise – on the part of the audience that ensure that the speech act’s characteristic effects are instituted in the relevant linguistic context. In this sense, I give uptake to an order both when I act on it and when I disobey it. In disobeying the order, I nonetheless treat the order as successful, i.e., as generating an obligation for me that I then do not act on. </w:t>
      </w:r>
      <w:proofErr w:type="gramStart"/>
      <w:r>
        <w:rPr>
          <w:rFonts w:cs="AdvPSGOD"/>
          <w:szCs w:val="24"/>
        </w:rPr>
        <w:t>Similar to</w:t>
      </w:r>
      <w:proofErr w:type="gramEnd"/>
      <w:r>
        <w:rPr>
          <w:rFonts w:cs="AdvPSGOD"/>
          <w:szCs w:val="24"/>
        </w:rPr>
        <w:t xml:space="preserve"> the above account of success, </w:t>
      </w:r>
      <w:r w:rsidRPr="00D756A1">
        <w:rPr>
          <w:rFonts w:cs="AdvPSGOD"/>
          <w:szCs w:val="24"/>
        </w:rPr>
        <w:t>‘uptake’ in this sense does not necessarily involve acting on the relevant maxims and objective requirements for the speech act in question. For example, my friend may make a bet with me that I think is extremely risky and so misguided, but I can give it uptake as a bet nevertheless – acknowledging the legitimacy of the demand, for ex</w:t>
      </w:r>
      <w:r w:rsidR="00C67117" w:rsidRPr="00D756A1">
        <w:rPr>
          <w:rFonts w:cs="AdvPSGOD"/>
          <w:szCs w:val="24"/>
        </w:rPr>
        <w:t>ample, that I pay up if I lose.</w:t>
      </w:r>
      <w:r w:rsidR="0026624A" w:rsidRPr="00D756A1">
        <w:rPr>
          <w:rStyle w:val="FootnoteReference"/>
          <w:rFonts w:cs="AdvPSGOD"/>
          <w:szCs w:val="24"/>
        </w:rPr>
        <w:footnoteReference w:id="5"/>
      </w:r>
    </w:p>
    <w:p w14:paraId="044F7184" w14:textId="77777777" w:rsidR="00C67365" w:rsidRPr="00D756A1" w:rsidRDefault="002E78E9" w:rsidP="00235817">
      <w:pPr>
        <w:autoSpaceDE w:val="0"/>
        <w:autoSpaceDN w:val="0"/>
        <w:adjustRightInd w:val="0"/>
        <w:spacing w:line="240" w:lineRule="auto"/>
        <w:ind w:firstLine="720"/>
        <w:rPr>
          <w:rFonts w:cs="AdvPSGOD"/>
          <w:szCs w:val="24"/>
        </w:rPr>
      </w:pPr>
      <w:r>
        <w:rPr>
          <w:rFonts w:cs="AdvPSGOD"/>
          <w:szCs w:val="24"/>
        </w:rPr>
        <w:t>Now it is worth emphasizing</w:t>
      </w:r>
      <w:r w:rsidR="00C67365" w:rsidRPr="00D756A1">
        <w:rPr>
          <w:rFonts w:cs="AdvPSGOD"/>
          <w:szCs w:val="24"/>
        </w:rPr>
        <w:t xml:space="preserve"> that</w:t>
      </w:r>
      <w:r w:rsidR="00C67365" w:rsidRPr="00D756A1">
        <w:rPr>
          <w:rFonts w:cs="OpenSans-Semibold"/>
          <w:szCs w:val="24"/>
        </w:rPr>
        <w:t xml:space="preserve"> when we take </w:t>
      </w:r>
      <w:r w:rsidR="00C67365" w:rsidRPr="00D756A1">
        <w:rPr>
          <w:rFonts w:cs="AdvPSGOD"/>
          <w:szCs w:val="24"/>
        </w:rPr>
        <w:t xml:space="preserve">a speech act to be successfully performed in </w:t>
      </w:r>
      <w:r w:rsidR="00952EA4" w:rsidRPr="00D756A1">
        <w:rPr>
          <w:rFonts w:cs="AdvPSGOD"/>
          <w:szCs w:val="24"/>
        </w:rPr>
        <w:t>this sense</w:t>
      </w:r>
      <w:r w:rsidR="00C67365" w:rsidRPr="00D756A1">
        <w:rPr>
          <w:rFonts w:cs="AdvPSGOD"/>
          <w:szCs w:val="24"/>
        </w:rPr>
        <w:t xml:space="preserve">, </w:t>
      </w:r>
      <w:r w:rsidR="00952EA4" w:rsidRPr="00D756A1">
        <w:rPr>
          <w:rFonts w:cs="AdvPSGOD"/>
          <w:szCs w:val="24"/>
        </w:rPr>
        <w:t>a clear role</w:t>
      </w:r>
      <w:r w:rsidR="0052181E" w:rsidRPr="00D756A1">
        <w:rPr>
          <w:rFonts w:cs="AdvPSGOD"/>
          <w:szCs w:val="24"/>
        </w:rPr>
        <w:t xml:space="preserve"> emerges</w:t>
      </w:r>
      <w:r w:rsidR="00952EA4" w:rsidRPr="00D756A1">
        <w:rPr>
          <w:rFonts w:cs="AdvPSGOD"/>
          <w:szCs w:val="24"/>
        </w:rPr>
        <w:t xml:space="preserve"> for</w:t>
      </w:r>
      <w:r w:rsidR="00C67365" w:rsidRPr="00D756A1">
        <w:rPr>
          <w:rFonts w:cs="AdvPSGOD"/>
          <w:szCs w:val="24"/>
        </w:rPr>
        <w:t xml:space="preserve"> other speakers </w:t>
      </w:r>
      <w:r w:rsidR="00952EA4" w:rsidRPr="00D756A1">
        <w:rPr>
          <w:rFonts w:cs="AdvPSGOD"/>
          <w:szCs w:val="24"/>
        </w:rPr>
        <w:t>in gu</w:t>
      </w:r>
      <w:r w:rsidR="0052181E" w:rsidRPr="00D756A1">
        <w:rPr>
          <w:rFonts w:cs="AdvPSGOD"/>
          <w:szCs w:val="24"/>
        </w:rPr>
        <w:t xml:space="preserve">aranteeing the performance of </w:t>
      </w:r>
      <w:proofErr w:type="gramStart"/>
      <w:r w:rsidR="00952EA4" w:rsidRPr="00D756A1">
        <w:rPr>
          <w:rFonts w:cs="AdvPSGOD"/>
          <w:szCs w:val="24"/>
        </w:rPr>
        <w:t>particular</w:t>
      </w:r>
      <w:r w:rsidR="00C67365" w:rsidRPr="00D756A1">
        <w:rPr>
          <w:rFonts w:cs="AdvPSGOD"/>
          <w:szCs w:val="24"/>
        </w:rPr>
        <w:t xml:space="preserve"> speech</w:t>
      </w:r>
      <w:proofErr w:type="gramEnd"/>
      <w:r w:rsidR="00C67365" w:rsidRPr="00D756A1">
        <w:rPr>
          <w:rFonts w:cs="AdvPSGOD"/>
          <w:szCs w:val="24"/>
        </w:rPr>
        <w:t xml:space="preserve"> act kind</w:t>
      </w:r>
      <w:r w:rsidR="0052181E" w:rsidRPr="00D756A1">
        <w:rPr>
          <w:rFonts w:cs="AdvPSGOD"/>
          <w:szCs w:val="24"/>
        </w:rPr>
        <w:t>s</w:t>
      </w:r>
      <w:r w:rsidR="00C67365" w:rsidRPr="00D756A1">
        <w:rPr>
          <w:rFonts w:cs="AdvPSGOD"/>
          <w:szCs w:val="24"/>
        </w:rPr>
        <w:t>. An order, for example, is successfully performed when it gives rise to an obligation for the addressee and therefore fails when a speaker attempts to issue an order but does not institute this obligation for reasons that may well involve the audience’s reception of the utterance.</w:t>
      </w:r>
      <w:r w:rsidR="00C67365" w:rsidRPr="00D756A1">
        <w:rPr>
          <w:rStyle w:val="FootnoteReference"/>
          <w:rFonts w:cs="AdvPSGOD"/>
          <w:szCs w:val="24"/>
        </w:rPr>
        <w:footnoteReference w:id="6"/>
      </w:r>
      <w:r w:rsidR="00C67365" w:rsidRPr="00D756A1">
        <w:rPr>
          <w:rFonts w:cs="AdvPSGOD"/>
          <w:szCs w:val="24"/>
        </w:rPr>
        <w:t xml:space="preserve"> Similarly, a request is successfully performed when it generates a petitionary reason for the addressee and fails when it does not – again, for reasons that may well involve the audienc</w:t>
      </w:r>
      <w:r w:rsidR="00952EA4" w:rsidRPr="00D756A1">
        <w:rPr>
          <w:rFonts w:cs="AdvPSGOD"/>
          <w:szCs w:val="24"/>
        </w:rPr>
        <w:t>e’s reception of the utterance.</w:t>
      </w:r>
      <w:r w:rsidRPr="002E78E9">
        <w:rPr>
          <w:rStyle w:val="FootnoteReference"/>
        </w:rPr>
        <w:t xml:space="preserve"> </w:t>
      </w:r>
    </w:p>
    <w:p w14:paraId="76C2789E" w14:textId="77777777" w:rsidR="00C67365" w:rsidRPr="00D756A1" w:rsidRDefault="0052181E" w:rsidP="00235817">
      <w:pPr>
        <w:autoSpaceDE w:val="0"/>
        <w:autoSpaceDN w:val="0"/>
        <w:adjustRightInd w:val="0"/>
        <w:spacing w:line="240" w:lineRule="auto"/>
        <w:ind w:firstLine="720"/>
        <w:rPr>
          <w:rFonts w:cs="AdvPSGOD"/>
          <w:szCs w:val="24"/>
        </w:rPr>
      </w:pPr>
      <w:r w:rsidRPr="00D756A1">
        <w:rPr>
          <w:rFonts w:cs="AdvPSGOD"/>
          <w:szCs w:val="24"/>
        </w:rPr>
        <w:t xml:space="preserve">This way of construing </w:t>
      </w:r>
      <w:r w:rsidR="00E60C74">
        <w:rPr>
          <w:rFonts w:cs="AdvPSGOD"/>
          <w:szCs w:val="24"/>
        </w:rPr>
        <w:t xml:space="preserve">speech act </w:t>
      </w:r>
      <w:r w:rsidRPr="00D756A1">
        <w:rPr>
          <w:rFonts w:cs="AdvPSGOD"/>
          <w:szCs w:val="24"/>
        </w:rPr>
        <w:t>success</w:t>
      </w:r>
      <w:r w:rsidR="00E60C74">
        <w:rPr>
          <w:rFonts w:cs="AdvPSGOD"/>
          <w:szCs w:val="24"/>
        </w:rPr>
        <w:t xml:space="preserve"> and audience role</w:t>
      </w:r>
      <w:r w:rsidRPr="00D756A1">
        <w:rPr>
          <w:rFonts w:cs="AdvPSGOD"/>
          <w:szCs w:val="24"/>
        </w:rPr>
        <w:t xml:space="preserve"> cuts against the standard way of construing the illocutionary-perlocutionary distinction, where addressees are typically barred from playing </w:t>
      </w:r>
      <w:r w:rsidR="00E60C74">
        <w:rPr>
          <w:rFonts w:cs="AdvPSGOD"/>
          <w:szCs w:val="24"/>
        </w:rPr>
        <w:t>a</w:t>
      </w:r>
      <w:r w:rsidRPr="00D756A1">
        <w:rPr>
          <w:rFonts w:cs="AdvPSGOD"/>
          <w:szCs w:val="24"/>
        </w:rPr>
        <w:t xml:space="preserve"> constitutive role.</w:t>
      </w:r>
      <w:r w:rsidR="002E78E9">
        <w:rPr>
          <w:rStyle w:val="FootnoteReference"/>
          <w:rFonts w:cs="AdvPSGOD"/>
          <w:szCs w:val="24"/>
        </w:rPr>
        <w:footnoteReference w:id="7"/>
      </w:r>
      <w:r w:rsidRPr="00D756A1">
        <w:rPr>
          <w:rFonts w:cs="AdvPSGOD"/>
          <w:szCs w:val="24"/>
        </w:rPr>
        <w:t xml:space="preserve"> I </w:t>
      </w:r>
      <w:r w:rsidR="008058A2">
        <w:rPr>
          <w:rFonts w:cs="AdvPSGOD"/>
          <w:szCs w:val="24"/>
        </w:rPr>
        <w:t>cannot</w:t>
      </w:r>
      <w:r w:rsidR="00E60C74">
        <w:rPr>
          <w:rFonts w:cs="AdvPSGOD"/>
          <w:szCs w:val="24"/>
        </w:rPr>
        <w:t xml:space="preserve"> delve into a full</w:t>
      </w:r>
      <w:r w:rsidRPr="00D756A1">
        <w:rPr>
          <w:rFonts w:cs="AdvPSGOD"/>
          <w:szCs w:val="24"/>
        </w:rPr>
        <w:t xml:space="preserve"> discussion of the relationship between this distinction and my approach</w:t>
      </w:r>
      <w:r w:rsidR="008058A2">
        <w:rPr>
          <w:rFonts w:cs="AdvPSGOD"/>
          <w:szCs w:val="24"/>
        </w:rPr>
        <w:t xml:space="preserve"> here</w:t>
      </w:r>
      <w:r w:rsidRPr="00D756A1">
        <w:rPr>
          <w:rFonts w:cs="AdvPSGOD"/>
          <w:szCs w:val="24"/>
        </w:rPr>
        <w:t>, but</w:t>
      </w:r>
      <w:r w:rsidR="00E60C74">
        <w:rPr>
          <w:rFonts w:cs="AdvPSGOD"/>
          <w:szCs w:val="24"/>
        </w:rPr>
        <w:t xml:space="preserve"> my </w:t>
      </w:r>
      <w:r w:rsidR="008058A2">
        <w:rPr>
          <w:rFonts w:cs="AdvPSGOD"/>
          <w:szCs w:val="24"/>
        </w:rPr>
        <w:t>view</w:t>
      </w:r>
      <w:r w:rsidR="00E60C74">
        <w:rPr>
          <w:rFonts w:cs="AdvPSGOD"/>
          <w:szCs w:val="24"/>
        </w:rPr>
        <w:t xml:space="preserve"> </w:t>
      </w:r>
      <w:r w:rsidRPr="00D756A1">
        <w:rPr>
          <w:rFonts w:cs="AdvPSGOD"/>
          <w:szCs w:val="24"/>
        </w:rPr>
        <w:t xml:space="preserve">is that rather than shoehorning our analysis of speech act kinds into this distinction, we should instead, in good Wittgensteinian fashion, </w:t>
      </w:r>
      <w:r w:rsidRPr="00D756A1">
        <w:rPr>
          <w:rFonts w:cs="AdvPSGOD"/>
          <w:i/>
          <w:szCs w:val="24"/>
        </w:rPr>
        <w:t>look and see</w:t>
      </w:r>
      <w:r w:rsidRPr="00D756A1">
        <w:rPr>
          <w:rFonts w:cs="AdvPSGOD"/>
          <w:szCs w:val="24"/>
        </w:rPr>
        <w:t xml:space="preserve">. That is, we should consider what successful performances of the speech act in question look like </w:t>
      </w:r>
      <w:proofErr w:type="gramStart"/>
      <w:r w:rsidRPr="00D756A1">
        <w:rPr>
          <w:rFonts w:cs="AdvPSGOD"/>
          <w:szCs w:val="24"/>
        </w:rPr>
        <w:t>in order to</w:t>
      </w:r>
      <w:proofErr w:type="gramEnd"/>
      <w:r w:rsidRPr="00D756A1">
        <w:rPr>
          <w:rFonts w:cs="AdvPSGOD"/>
          <w:szCs w:val="24"/>
        </w:rPr>
        <w:t xml:space="preserve"> determine what role, if any, is played by the audience in constituting this speech act kind</w:t>
      </w:r>
      <w:r w:rsidR="00E60C74">
        <w:rPr>
          <w:rFonts w:cs="AdvPSGOD"/>
          <w:szCs w:val="24"/>
        </w:rPr>
        <w:t>, rather than antecedently ruling out such possibilities</w:t>
      </w:r>
      <w:r w:rsidR="006264D1">
        <w:rPr>
          <w:rFonts w:cs="AdvPSGOD"/>
          <w:szCs w:val="24"/>
        </w:rPr>
        <w:t xml:space="preserve"> as a result of fidelity to this distinction</w:t>
      </w:r>
      <w:r w:rsidRPr="00D756A1">
        <w:rPr>
          <w:rFonts w:cs="AdvPSGOD"/>
          <w:szCs w:val="24"/>
        </w:rPr>
        <w:t>.</w:t>
      </w:r>
      <w:r w:rsidR="00EC59BC">
        <w:rPr>
          <w:rStyle w:val="FootnoteReference"/>
          <w:rFonts w:cs="AdvPSGOD"/>
          <w:szCs w:val="24"/>
        </w:rPr>
        <w:footnoteReference w:id="8"/>
      </w:r>
    </w:p>
    <w:p w14:paraId="1D9A30EC" w14:textId="77777777" w:rsidR="00E10F85" w:rsidRPr="00D756A1" w:rsidRDefault="00E10F85" w:rsidP="00235817">
      <w:pPr>
        <w:spacing w:line="240" w:lineRule="auto"/>
        <w:ind w:firstLine="720"/>
        <w:rPr>
          <w:szCs w:val="24"/>
        </w:rPr>
      </w:pPr>
    </w:p>
    <w:p w14:paraId="3F539A63" w14:textId="540011CA" w:rsidR="00E10F85" w:rsidRDefault="00AD7511" w:rsidP="00235817">
      <w:pPr>
        <w:pStyle w:val="ListParagraph"/>
        <w:numPr>
          <w:ilvl w:val="0"/>
          <w:numId w:val="15"/>
        </w:numPr>
        <w:spacing w:line="240" w:lineRule="auto"/>
        <w:rPr>
          <w:b/>
          <w:i/>
          <w:szCs w:val="24"/>
        </w:rPr>
      </w:pPr>
      <w:r w:rsidRPr="00260184">
        <w:rPr>
          <w:b/>
          <w:i/>
          <w:szCs w:val="24"/>
        </w:rPr>
        <w:t>How to Object to a Speech A</w:t>
      </w:r>
      <w:r w:rsidR="001B68A7" w:rsidRPr="00260184">
        <w:rPr>
          <w:b/>
          <w:i/>
          <w:szCs w:val="24"/>
        </w:rPr>
        <w:t>ct</w:t>
      </w:r>
    </w:p>
    <w:p w14:paraId="21B75105" w14:textId="77777777" w:rsidR="000730FB" w:rsidRPr="00260184" w:rsidRDefault="000730FB" w:rsidP="000730FB">
      <w:pPr>
        <w:pStyle w:val="ListParagraph"/>
        <w:spacing w:line="240" w:lineRule="auto"/>
        <w:ind w:left="1080"/>
        <w:rPr>
          <w:b/>
          <w:i/>
          <w:szCs w:val="24"/>
        </w:rPr>
      </w:pPr>
    </w:p>
    <w:p w14:paraId="05569AD7" w14:textId="77777777" w:rsidR="00413E0B" w:rsidRPr="00B07EEF" w:rsidRDefault="001B68A7" w:rsidP="00235817">
      <w:pPr>
        <w:spacing w:line="240" w:lineRule="auto"/>
        <w:ind w:firstLine="720"/>
        <w:rPr>
          <w:rFonts w:cs="Times New Roman"/>
          <w:szCs w:val="24"/>
        </w:rPr>
      </w:pPr>
      <w:r>
        <w:t xml:space="preserve">With </w:t>
      </w:r>
      <w:r>
        <w:rPr>
          <w:rFonts w:cs="Times New Roman"/>
          <w:szCs w:val="24"/>
        </w:rPr>
        <w:t xml:space="preserve">this </w:t>
      </w:r>
      <w:r w:rsidR="00413E0B">
        <w:rPr>
          <w:rFonts w:cs="Times New Roman"/>
          <w:szCs w:val="24"/>
        </w:rPr>
        <w:t>taxonomy</w:t>
      </w:r>
      <w:r>
        <w:rPr>
          <w:rFonts w:cs="Times New Roman"/>
          <w:szCs w:val="24"/>
        </w:rPr>
        <w:t xml:space="preserve"> in hand, </w:t>
      </w:r>
      <w:r w:rsidR="00F82756">
        <w:rPr>
          <w:rFonts w:cs="Times New Roman"/>
          <w:szCs w:val="24"/>
        </w:rPr>
        <w:t>let’s now</w:t>
      </w:r>
      <w:r w:rsidR="007D0888">
        <w:rPr>
          <w:rFonts w:cs="Times New Roman"/>
          <w:szCs w:val="24"/>
        </w:rPr>
        <w:t xml:space="preserve"> take a closer look at the </w:t>
      </w:r>
      <w:r>
        <w:rPr>
          <w:rFonts w:cs="Times New Roman"/>
          <w:szCs w:val="24"/>
        </w:rPr>
        <w:t xml:space="preserve">distinction between </w:t>
      </w:r>
      <w:r w:rsidR="0002521E">
        <w:rPr>
          <w:rFonts w:cs="Times New Roman"/>
          <w:szCs w:val="24"/>
        </w:rPr>
        <w:t xml:space="preserve">constitutive and non-constitutive norms that </w:t>
      </w:r>
      <w:r w:rsidR="001026E8">
        <w:rPr>
          <w:rFonts w:cs="Times New Roman"/>
          <w:szCs w:val="24"/>
        </w:rPr>
        <w:t>attach to</w:t>
      </w:r>
      <w:r w:rsidR="00687914">
        <w:rPr>
          <w:rFonts w:cs="Times New Roman"/>
          <w:szCs w:val="24"/>
        </w:rPr>
        <w:t xml:space="preserve"> speech acts.</w:t>
      </w:r>
      <w:r w:rsidR="00793B01">
        <w:rPr>
          <w:rFonts w:cs="Times New Roman"/>
          <w:szCs w:val="24"/>
        </w:rPr>
        <w:t xml:space="preserve"> </w:t>
      </w:r>
      <w:r w:rsidR="00F82756">
        <w:rPr>
          <w:rFonts w:cs="Times New Roman"/>
          <w:szCs w:val="24"/>
        </w:rPr>
        <w:t>We need to explore</w:t>
      </w:r>
      <w:r w:rsidR="00ED5638">
        <w:rPr>
          <w:rFonts w:cs="Times New Roman"/>
          <w:szCs w:val="24"/>
        </w:rPr>
        <w:t xml:space="preserve"> this border </w:t>
      </w:r>
      <w:r w:rsidR="00F82756">
        <w:rPr>
          <w:rFonts w:cs="Times New Roman"/>
          <w:szCs w:val="24"/>
        </w:rPr>
        <w:lastRenderedPageBreak/>
        <w:t>more carefully</w:t>
      </w:r>
      <w:r w:rsidR="00FA75CA">
        <w:rPr>
          <w:rFonts w:cs="Times New Roman"/>
          <w:szCs w:val="24"/>
        </w:rPr>
        <w:t xml:space="preserve"> </w:t>
      </w:r>
      <w:r w:rsidR="00751F15">
        <w:rPr>
          <w:rFonts w:cs="Times New Roman"/>
          <w:szCs w:val="24"/>
        </w:rPr>
        <w:t>because</w:t>
      </w:r>
      <w:r w:rsidR="00B07EEF">
        <w:rPr>
          <w:rFonts w:cs="Times New Roman"/>
          <w:szCs w:val="24"/>
        </w:rPr>
        <w:t xml:space="preserve"> stipulation –</w:t>
      </w:r>
      <w:r w:rsidR="007D2023">
        <w:rPr>
          <w:rFonts w:cs="Times New Roman"/>
          <w:szCs w:val="24"/>
        </w:rPr>
        <w:t xml:space="preserve"> </w:t>
      </w:r>
      <w:r w:rsidR="00091E9A">
        <w:rPr>
          <w:rFonts w:cs="Times New Roman"/>
          <w:szCs w:val="24"/>
        </w:rPr>
        <w:t>the speech act</w:t>
      </w:r>
      <w:r w:rsidR="00C67117">
        <w:rPr>
          <w:rFonts w:cs="Times New Roman"/>
          <w:szCs w:val="24"/>
        </w:rPr>
        <w:t xml:space="preserve"> at the center of this discussion</w:t>
      </w:r>
      <w:r w:rsidR="00B07EEF">
        <w:rPr>
          <w:rFonts w:cs="Times New Roman"/>
          <w:szCs w:val="24"/>
        </w:rPr>
        <w:t xml:space="preserve"> –</w:t>
      </w:r>
      <w:r w:rsidR="00C67117">
        <w:rPr>
          <w:rFonts w:cs="Times New Roman"/>
          <w:szCs w:val="24"/>
        </w:rPr>
        <w:t xml:space="preserve"> seems not just incidentally, but in </w:t>
      </w:r>
      <w:r w:rsidR="00BC1734">
        <w:rPr>
          <w:rFonts w:cs="Times New Roman"/>
          <w:szCs w:val="24"/>
        </w:rPr>
        <w:t>a</w:t>
      </w:r>
      <w:r w:rsidR="00A66BD8">
        <w:rPr>
          <w:rFonts w:cs="Times New Roman"/>
          <w:szCs w:val="24"/>
        </w:rPr>
        <w:t xml:space="preserve"> </w:t>
      </w:r>
      <w:r w:rsidR="00C67117">
        <w:rPr>
          <w:rFonts w:cs="Times New Roman"/>
          <w:szCs w:val="24"/>
        </w:rPr>
        <w:t xml:space="preserve">more fundamental </w:t>
      </w:r>
      <w:r w:rsidR="00A66BD8">
        <w:rPr>
          <w:rFonts w:cs="Times New Roman"/>
          <w:szCs w:val="24"/>
        </w:rPr>
        <w:t>way</w:t>
      </w:r>
      <w:r w:rsidR="00C67117">
        <w:rPr>
          <w:rFonts w:cs="Times New Roman"/>
          <w:szCs w:val="24"/>
        </w:rPr>
        <w:t xml:space="preserve"> to aim at promoting </w:t>
      </w:r>
      <w:r w:rsidR="00311605">
        <w:rPr>
          <w:rFonts w:cs="Times New Roman"/>
          <w:szCs w:val="24"/>
        </w:rPr>
        <w:t>the ends of speaker and audience</w:t>
      </w:r>
      <w:r w:rsidR="000B76F6">
        <w:rPr>
          <w:rFonts w:cs="Times New Roman"/>
          <w:szCs w:val="24"/>
        </w:rPr>
        <w:t>, rather than</w:t>
      </w:r>
      <w:r w:rsidR="00C67117">
        <w:rPr>
          <w:rFonts w:cs="Times New Roman"/>
          <w:szCs w:val="24"/>
        </w:rPr>
        <w:t xml:space="preserve"> at truth</w:t>
      </w:r>
      <w:r w:rsidR="00311605">
        <w:rPr>
          <w:rFonts w:cs="Times New Roman"/>
          <w:szCs w:val="24"/>
        </w:rPr>
        <w:t xml:space="preserve">. </w:t>
      </w:r>
      <w:r w:rsidR="00FA75CA">
        <w:rPr>
          <w:rFonts w:cs="Times New Roman"/>
          <w:szCs w:val="24"/>
        </w:rPr>
        <w:t>But i</w:t>
      </w:r>
      <w:r w:rsidR="001026E8">
        <w:rPr>
          <w:rFonts w:cs="Times New Roman"/>
          <w:szCs w:val="24"/>
        </w:rPr>
        <w:t xml:space="preserve">s this </w:t>
      </w:r>
      <w:r w:rsidR="008C3269">
        <w:rPr>
          <w:rFonts w:cs="Times New Roman"/>
          <w:szCs w:val="24"/>
        </w:rPr>
        <w:t xml:space="preserve">best construed as </w:t>
      </w:r>
      <w:r w:rsidR="001026E8">
        <w:rPr>
          <w:rFonts w:cs="Times New Roman"/>
          <w:szCs w:val="24"/>
        </w:rPr>
        <w:t>a constitut</w:t>
      </w:r>
      <w:r w:rsidR="00A3792D">
        <w:rPr>
          <w:rFonts w:cs="Times New Roman"/>
          <w:szCs w:val="24"/>
        </w:rPr>
        <w:t>ive or a non-constitutive norm</w:t>
      </w:r>
      <w:r w:rsidR="00C67117">
        <w:rPr>
          <w:rFonts w:cs="Times New Roman"/>
          <w:szCs w:val="24"/>
        </w:rPr>
        <w:t xml:space="preserve"> for the speech act</w:t>
      </w:r>
      <w:r w:rsidR="001026E8">
        <w:rPr>
          <w:rFonts w:cs="Times New Roman"/>
          <w:szCs w:val="24"/>
        </w:rPr>
        <w:t>?</w:t>
      </w:r>
      <w:r w:rsidR="00A3792D">
        <w:rPr>
          <w:rFonts w:cs="Times New Roman"/>
          <w:szCs w:val="24"/>
        </w:rPr>
        <w:t xml:space="preserve"> </w:t>
      </w:r>
      <w:r w:rsidR="009A03E2">
        <w:rPr>
          <w:rFonts w:cs="Times New Roman"/>
          <w:szCs w:val="24"/>
        </w:rPr>
        <w:t>Is the relevant speech act</w:t>
      </w:r>
      <w:r w:rsidR="00A3792D">
        <w:rPr>
          <w:rFonts w:cs="Times New Roman"/>
          <w:szCs w:val="24"/>
        </w:rPr>
        <w:t xml:space="preserve">, in other words, simply </w:t>
      </w:r>
      <w:r w:rsidR="009A03E2">
        <w:rPr>
          <w:rFonts w:cs="Times New Roman"/>
          <w:szCs w:val="24"/>
        </w:rPr>
        <w:t>an assertion but an assertion subject to specific maxims or objective requirements, or is it an altogether different</w:t>
      </w:r>
      <w:r w:rsidR="00D0162D">
        <w:rPr>
          <w:rFonts w:cs="Times New Roman"/>
          <w:szCs w:val="24"/>
        </w:rPr>
        <w:t>, non-assertoric</w:t>
      </w:r>
      <w:r w:rsidR="009A03E2">
        <w:rPr>
          <w:rFonts w:cs="Times New Roman"/>
          <w:szCs w:val="24"/>
        </w:rPr>
        <w:t xml:space="preserve"> speech act? To answer these</w:t>
      </w:r>
      <w:r w:rsidR="001026E8">
        <w:rPr>
          <w:rFonts w:cs="Times New Roman"/>
          <w:szCs w:val="24"/>
        </w:rPr>
        <w:t xml:space="preserve"> question</w:t>
      </w:r>
      <w:r w:rsidR="009A03E2">
        <w:rPr>
          <w:rFonts w:cs="Times New Roman"/>
          <w:szCs w:val="24"/>
        </w:rPr>
        <w:t>s</w:t>
      </w:r>
      <w:r w:rsidR="001026E8">
        <w:rPr>
          <w:rFonts w:cs="Times New Roman"/>
          <w:szCs w:val="24"/>
        </w:rPr>
        <w:t>,</w:t>
      </w:r>
      <w:r w:rsidR="00855C54">
        <w:rPr>
          <w:rFonts w:cs="Times New Roman"/>
          <w:szCs w:val="24"/>
        </w:rPr>
        <w:t xml:space="preserve"> and to</w:t>
      </w:r>
      <w:r w:rsidR="00751F15">
        <w:rPr>
          <w:rFonts w:cs="Times New Roman"/>
          <w:szCs w:val="24"/>
        </w:rPr>
        <w:t xml:space="preserve"> begin to </w:t>
      </w:r>
      <w:proofErr w:type="gramStart"/>
      <w:r w:rsidR="00751F15">
        <w:rPr>
          <w:rFonts w:cs="Times New Roman"/>
          <w:szCs w:val="24"/>
        </w:rPr>
        <w:t>more</w:t>
      </w:r>
      <w:r w:rsidR="00855C54">
        <w:rPr>
          <w:rFonts w:cs="Times New Roman"/>
          <w:szCs w:val="24"/>
        </w:rPr>
        <w:t xml:space="preserve"> clearly pin down the speech act</w:t>
      </w:r>
      <w:proofErr w:type="gramEnd"/>
      <w:r w:rsidR="00855C54">
        <w:rPr>
          <w:rFonts w:cs="Times New Roman"/>
          <w:szCs w:val="24"/>
        </w:rPr>
        <w:t xml:space="preserve"> at stake,</w:t>
      </w:r>
      <w:r w:rsidR="001026E8">
        <w:rPr>
          <w:rFonts w:cs="Times New Roman"/>
          <w:szCs w:val="24"/>
        </w:rPr>
        <w:t xml:space="preserve"> we will need to look more closely at </w:t>
      </w:r>
      <w:r w:rsidR="00FA75CA">
        <w:rPr>
          <w:rFonts w:cs="Times New Roman"/>
          <w:szCs w:val="24"/>
        </w:rPr>
        <w:t>th</w:t>
      </w:r>
      <w:r w:rsidR="009A03E2">
        <w:rPr>
          <w:rFonts w:cs="Times New Roman"/>
          <w:szCs w:val="24"/>
        </w:rPr>
        <w:t>e constitutive vs. non-constitutive</w:t>
      </w:r>
      <w:r w:rsidR="001026E8">
        <w:rPr>
          <w:rFonts w:cs="Times New Roman"/>
          <w:szCs w:val="24"/>
        </w:rPr>
        <w:t xml:space="preserve"> distinction.</w:t>
      </w:r>
    </w:p>
    <w:p w14:paraId="667ED988" w14:textId="77777777" w:rsidR="00C61A0E" w:rsidRPr="00C67117" w:rsidRDefault="00C67117" w:rsidP="00235817">
      <w:pPr>
        <w:spacing w:line="240" w:lineRule="auto"/>
        <w:ind w:firstLine="720"/>
        <w:rPr>
          <w:rFonts w:cs="Times New Roman"/>
          <w:szCs w:val="24"/>
        </w:rPr>
      </w:pPr>
      <w:r>
        <w:rPr>
          <w:szCs w:val="24"/>
        </w:rPr>
        <w:t xml:space="preserve">Consider </w:t>
      </w:r>
      <w:r w:rsidR="000B76F6">
        <w:rPr>
          <w:szCs w:val="24"/>
        </w:rPr>
        <w:t>cases from</w:t>
      </w:r>
      <w:r>
        <w:rPr>
          <w:szCs w:val="24"/>
        </w:rPr>
        <w:t xml:space="preserve"> Austin’s </w:t>
      </w:r>
      <w:r w:rsidR="00D0162D">
        <w:rPr>
          <w:szCs w:val="24"/>
        </w:rPr>
        <w:t>‘</w:t>
      </w:r>
      <w:r w:rsidR="001026E8">
        <w:rPr>
          <w:szCs w:val="24"/>
        </w:rPr>
        <w:t>Perfo</w:t>
      </w:r>
      <w:r w:rsidR="00D0162D">
        <w:rPr>
          <w:szCs w:val="24"/>
        </w:rPr>
        <w:t>rmative Utterances’</w:t>
      </w:r>
      <w:r w:rsidR="001026E8">
        <w:rPr>
          <w:szCs w:val="24"/>
        </w:rPr>
        <w:t>.</w:t>
      </w:r>
      <w:r w:rsidR="00142B49">
        <w:rPr>
          <w:szCs w:val="24"/>
        </w:rPr>
        <w:t xml:space="preserve"> </w:t>
      </w:r>
      <w:r>
        <w:rPr>
          <w:szCs w:val="24"/>
        </w:rPr>
        <w:t>Austin</w:t>
      </w:r>
      <w:r w:rsidR="00C61A0E">
        <w:rPr>
          <w:szCs w:val="24"/>
        </w:rPr>
        <w:t xml:space="preserve"> begins by analyzing </w:t>
      </w:r>
      <w:r w:rsidR="00484B32">
        <w:rPr>
          <w:szCs w:val="24"/>
        </w:rPr>
        <w:t>cases where ‘</w:t>
      </w:r>
      <w:r w:rsidR="00C61A0E">
        <w:rPr>
          <w:rFonts w:cs="Times New Roman"/>
          <w:szCs w:val="24"/>
        </w:rPr>
        <w:t>certain</w:t>
      </w:r>
      <w:r w:rsidR="00E4493C">
        <w:rPr>
          <w:rFonts w:cs="Times New Roman"/>
          <w:szCs w:val="24"/>
        </w:rPr>
        <w:t xml:space="preserve"> rules, transparently simple rules, ar</w:t>
      </w:r>
      <w:r w:rsidR="00484B32">
        <w:rPr>
          <w:rFonts w:cs="Times New Roman"/>
          <w:szCs w:val="24"/>
        </w:rPr>
        <w:t>e broken’</w:t>
      </w:r>
      <w:r w:rsidR="00E4493C">
        <w:rPr>
          <w:rFonts w:cs="Times New Roman"/>
          <w:szCs w:val="24"/>
        </w:rPr>
        <w:t xml:space="preserve"> </w:t>
      </w:r>
      <w:r w:rsidR="00C61A0E">
        <w:rPr>
          <w:rFonts w:cs="Times New Roman"/>
          <w:szCs w:val="24"/>
        </w:rPr>
        <w:t>in the a</w:t>
      </w:r>
      <w:r w:rsidR="00484B32">
        <w:rPr>
          <w:rFonts w:cs="Times New Roman"/>
          <w:szCs w:val="24"/>
        </w:rPr>
        <w:t>ttempted speech act performance</w:t>
      </w:r>
      <w:r>
        <w:rPr>
          <w:rFonts w:cs="Times New Roman"/>
          <w:szCs w:val="24"/>
        </w:rPr>
        <w:t xml:space="preserve"> – </w:t>
      </w:r>
      <w:r w:rsidR="000B76F6">
        <w:rPr>
          <w:rFonts w:cs="Times New Roman"/>
          <w:szCs w:val="24"/>
        </w:rPr>
        <w:t xml:space="preserve">cases where, </w:t>
      </w:r>
      <w:r>
        <w:rPr>
          <w:rFonts w:cs="Times New Roman"/>
          <w:szCs w:val="24"/>
        </w:rPr>
        <w:t xml:space="preserve">in </w:t>
      </w:r>
      <w:r w:rsidRPr="00643949">
        <w:rPr>
          <w:rFonts w:cs="Times New Roman"/>
          <w:szCs w:val="24"/>
        </w:rPr>
        <w:t>Sbisà</w:t>
      </w:r>
      <w:r>
        <w:rPr>
          <w:rFonts w:cs="Times New Roman"/>
          <w:szCs w:val="24"/>
        </w:rPr>
        <w:t>’s terminology, the constitutive norms are violated – and the attempted performance therefore fails; it does not bring about its characteristic effects in this linguistic context</w:t>
      </w:r>
      <w:r w:rsidR="00E165DD">
        <w:rPr>
          <w:rFonts w:cs="Times New Roman"/>
          <w:szCs w:val="24"/>
        </w:rPr>
        <w:t xml:space="preserve"> (Austin, 1970, p. 237)</w:t>
      </w:r>
      <w:r w:rsidR="00E4493C">
        <w:rPr>
          <w:rFonts w:cs="Times New Roman"/>
          <w:szCs w:val="24"/>
        </w:rPr>
        <w:t xml:space="preserve">. </w:t>
      </w:r>
      <w:r w:rsidR="00015779">
        <w:rPr>
          <w:rFonts w:cs="Times New Roman"/>
          <w:szCs w:val="24"/>
        </w:rPr>
        <w:t>For example, if we tried to divorce our spouse by standing them</w:t>
      </w:r>
      <w:r w:rsidR="00484B32">
        <w:rPr>
          <w:rFonts w:cs="Times New Roman"/>
          <w:szCs w:val="24"/>
        </w:rPr>
        <w:t xml:space="preserve"> ‘</w:t>
      </w:r>
      <w:r w:rsidR="001222BC" w:rsidRPr="00894F99">
        <w:rPr>
          <w:rFonts w:cs="Times New Roman"/>
          <w:szCs w:val="24"/>
        </w:rPr>
        <w:t>in front of us squarely in the room and saying, in a voic</w:t>
      </w:r>
      <w:r w:rsidR="00484B32">
        <w:rPr>
          <w:rFonts w:cs="Times New Roman"/>
          <w:szCs w:val="24"/>
        </w:rPr>
        <w:t xml:space="preserve">e loud enough for all to hear, “I divorce </w:t>
      </w:r>
      <w:proofErr w:type="gramStart"/>
      <w:r w:rsidR="00484B32">
        <w:rPr>
          <w:rFonts w:cs="Times New Roman"/>
          <w:szCs w:val="24"/>
        </w:rPr>
        <w:t>you”</w:t>
      </w:r>
      <w:r w:rsidR="00015779">
        <w:rPr>
          <w:rFonts w:cs="Times New Roman"/>
          <w:szCs w:val="24"/>
        </w:rPr>
        <w:t>…</w:t>
      </w:r>
      <w:proofErr w:type="gramEnd"/>
      <w:r w:rsidR="001222BC" w:rsidRPr="00894F99">
        <w:rPr>
          <w:rFonts w:cs="Times New Roman"/>
          <w:szCs w:val="24"/>
        </w:rPr>
        <w:t xml:space="preserve"> </w:t>
      </w:r>
      <w:r w:rsidR="00015779">
        <w:rPr>
          <w:rFonts w:cs="Times New Roman"/>
          <w:szCs w:val="24"/>
        </w:rPr>
        <w:t>[w]e</w:t>
      </w:r>
      <w:r w:rsidR="001222BC" w:rsidRPr="00894F99">
        <w:rPr>
          <w:rFonts w:cs="Times New Roman"/>
          <w:szCs w:val="24"/>
        </w:rPr>
        <w:t xml:space="preserve"> shall no</w:t>
      </w:r>
      <w:r w:rsidR="001222BC">
        <w:rPr>
          <w:rFonts w:cs="Times New Roman"/>
          <w:szCs w:val="24"/>
        </w:rPr>
        <w:t>t</w:t>
      </w:r>
      <w:r w:rsidR="001222BC" w:rsidRPr="00894F99">
        <w:rPr>
          <w:rFonts w:cs="Times New Roman"/>
          <w:szCs w:val="24"/>
        </w:rPr>
        <w:t xml:space="preserve"> thereby have succeeded in divorcing</w:t>
      </w:r>
      <w:r w:rsidR="00484B32">
        <w:rPr>
          <w:rFonts w:cs="Times New Roman"/>
          <w:szCs w:val="24"/>
        </w:rPr>
        <w:t>’</w:t>
      </w:r>
      <w:r w:rsidR="001222BC">
        <w:rPr>
          <w:rFonts w:cs="Times New Roman"/>
          <w:szCs w:val="24"/>
        </w:rPr>
        <w:t xml:space="preserve"> our spouse</w:t>
      </w:r>
      <w:r w:rsidR="00015779">
        <w:rPr>
          <w:rFonts w:cs="Times New Roman"/>
          <w:szCs w:val="24"/>
        </w:rPr>
        <w:t xml:space="preserve"> because carrying out this act requires that we be in the appropriate legal, institutional context</w:t>
      </w:r>
      <w:r w:rsidR="00E165DD">
        <w:rPr>
          <w:rFonts w:cs="Times New Roman"/>
          <w:szCs w:val="24"/>
        </w:rPr>
        <w:t xml:space="preserve"> (</w:t>
      </w:r>
      <w:r w:rsidR="00E87C89">
        <w:rPr>
          <w:rFonts w:cs="Times New Roman"/>
          <w:szCs w:val="24"/>
        </w:rPr>
        <w:t xml:space="preserve">Austin </w:t>
      </w:r>
      <w:r w:rsidR="00E165DD">
        <w:rPr>
          <w:rFonts w:cs="Times New Roman"/>
          <w:szCs w:val="24"/>
        </w:rPr>
        <w:t>1970, p. 238)</w:t>
      </w:r>
      <w:r w:rsidR="001222BC" w:rsidRPr="00894F99">
        <w:rPr>
          <w:rFonts w:cs="Times New Roman"/>
          <w:szCs w:val="24"/>
        </w:rPr>
        <w:t>.</w:t>
      </w:r>
    </w:p>
    <w:p w14:paraId="2B6C35C9" w14:textId="77777777" w:rsidR="001222BC" w:rsidRDefault="001222BC" w:rsidP="00235817">
      <w:pPr>
        <w:spacing w:line="240" w:lineRule="auto"/>
        <w:rPr>
          <w:rFonts w:cs="Times New Roman"/>
          <w:szCs w:val="24"/>
        </w:rPr>
      </w:pPr>
      <w:r>
        <w:rPr>
          <w:rFonts w:cs="Times New Roman"/>
          <w:szCs w:val="24"/>
        </w:rPr>
        <w:tab/>
      </w:r>
      <w:r w:rsidR="00BE5FDD">
        <w:rPr>
          <w:rFonts w:cs="Times New Roman"/>
          <w:szCs w:val="24"/>
        </w:rPr>
        <w:t>Austin then</w:t>
      </w:r>
      <w:r>
        <w:rPr>
          <w:rFonts w:cs="Times New Roman"/>
          <w:szCs w:val="24"/>
        </w:rPr>
        <w:t xml:space="preserve"> </w:t>
      </w:r>
      <w:r w:rsidR="00BD42E4">
        <w:rPr>
          <w:rFonts w:cs="Times New Roman"/>
          <w:szCs w:val="24"/>
        </w:rPr>
        <w:t>discusses</w:t>
      </w:r>
      <w:r>
        <w:rPr>
          <w:rFonts w:cs="Times New Roman"/>
          <w:szCs w:val="24"/>
        </w:rPr>
        <w:t xml:space="preserve"> </w:t>
      </w:r>
      <w:r w:rsidR="00484B32">
        <w:rPr>
          <w:rFonts w:cs="Times New Roman"/>
          <w:szCs w:val="24"/>
        </w:rPr>
        <w:t xml:space="preserve">a more complex </w:t>
      </w:r>
      <w:r w:rsidR="00BD42E4">
        <w:rPr>
          <w:rFonts w:cs="Times New Roman"/>
          <w:szCs w:val="24"/>
        </w:rPr>
        <w:t>case</w:t>
      </w:r>
      <w:r w:rsidR="00484B32">
        <w:rPr>
          <w:rFonts w:cs="Times New Roman"/>
          <w:szCs w:val="24"/>
        </w:rPr>
        <w:t>: ‘</w:t>
      </w:r>
      <w:r>
        <w:rPr>
          <w:rFonts w:cs="Times New Roman"/>
          <w:szCs w:val="24"/>
        </w:rPr>
        <w:t>Suppose that you are just about to name the ship, you have been appointed to name it, and you are just about to bang the bottle against the stem; but at that very moment some low type comes up, snatches</w:t>
      </w:r>
      <w:r w:rsidR="007F3F13">
        <w:rPr>
          <w:rFonts w:cs="Times New Roman"/>
          <w:szCs w:val="24"/>
        </w:rPr>
        <w:t xml:space="preserve"> the bottle</w:t>
      </w:r>
      <w:r>
        <w:rPr>
          <w:rFonts w:cs="Times New Roman"/>
          <w:szCs w:val="24"/>
        </w:rPr>
        <w:t xml:space="preserve"> out of your hand, brea</w:t>
      </w:r>
      <w:r w:rsidR="00484B32">
        <w:rPr>
          <w:rFonts w:cs="Times New Roman"/>
          <w:szCs w:val="24"/>
        </w:rPr>
        <w:t>ks it on the stem, shouts out “</w:t>
      </w:r>
      <w:r>
        <w:rPr>
          <w:rFonts w:cs="Times New Roman"/>
          <w:szCs w:val="24"/>
        </w:rPr>
        <w:t xml:space="preserve">I name this ship the </w:t>
      </w:r>
      <w:r>
        <w:rPr>
          <w:rFonts w:cs="Times New Roman"/>
          <w:i/>
          <w:szCs w:val="24"/>
        </w:rPr>
        <w:t>Generalissimo Stalin</w:t>
      </w:r>
      <w:r w:rsidR="00484B32">
        <w:rPr>
          <w:rFonts w:cs="Times New Roman"/>
          <w:szCs w:val="24"/>
        </w:rPr>
        <w:t>”</w:t>
      </w:r>
      <w:r>
        <w:rPr>
          <w:rFonts w:cs="Times New Roman"/>
          <w:szCs w:val="24"/>
        </w:rPr>
        <w:t>, and then for goo</w:t>
      </w:r>
      <w:r w:rsidR="00484B32">
        <w:rPr>
          <w:rFonts w:cs="Times New Roman"/>
          <w:szCs w:val="24"/>
        </w:rPr>
        <w:t>d measure kicks away the chocks’</w:t>
      </w:r>
      <w:r w:rsidR="00E165DD">
        <w:rPr>
          <w:rFonts w:cs="Times New Roman"/>
          <w:szCs w:val="24"/>
        </w:rPr>
        <w:t xml:space="preserve"> (1970, p. </w:t>
      </w:r>
      <w:r w:rsidR="007F3F13">
        <w:rPr>
          <w:rFonts w:cs="Times New Roman"/>
          <w:szCs w:val="24"/>
        </w:rPr>
        <w:t>239-</w:t>
      </w:r>
      <w:r w:rsidR="00E165DD">
        <w:rPr>
          <w:rFonts w:cs="Times New Roman"/>
          <w:szCs w:val="24"/>
        </w:rPr>
        <w:t>240)</w:t>
      </w:r>
      <w:r w:rsidR="00E87C89">
        <w:rPr>
          <w:rFonts w:cs="Times New Roman"/>
          <w:szCs w:val="24"/>
        </w:rPr>
        <w:t>.</w:t>
      </w:r>
      <w:r w:rsidR="00484B32">
        <w:rPr>
          <w:rFonts w:cs="Times New Roman"/>
          <w:szCs w:val="24"/>
        </w:rPr>
        <w:t xml:space="preserve"> While Austin thinks we will ‘</w:t>
      </w:r>
      <w:r>
        <w:rPr>
          <w:rFonts w:cs="Times New Roman"/>
          <w:szCs w:val="24"/>
        </w:rPr>
        <w:t xml:space="preserve">agree that the ship certainly isn’t now named the </w:t>
      </w:r>
      <w:r>
        <w:rPr>
          <w:rFonts w:cs="Times New Roman"/>
          <w:i/>
          <w:szCs w:val="24"/>
        </w:rPr>
        <w:t>Generalissimo Stalin</w:t>
      </w:r>
      <w:r>
        <w:rPr>
          <w:rFonts w:cs="Times New Roman"/>
          <w:szCs w:val="24"/>
        </w:rPr>
        <w:t xml:space="preserve">…we may not agree as to how we should classify the </w:t>
      </w:r>
      <w:proofErr w:type="gramStart"/>
      <w:r>
        <w:rPr>
          <w:rFonts w:cs="Times New Roman"/>
          <w:szCs w:val="24"/>
        </w:rPr>
        <w:t>particular infeli</w:t>
      </w:r>
      <w:r w:rsidR="00484B32">
        <w:rPr>
          <w:rFonts w:cs="Times New Roman"/>
          <w:szCs w:val="24"/>
        </w:rPr>
        <w:t>city</w:t>
      </w:r>
      <w:proofErr w:type="gramEnd"/>
      <w:r w:rsidR="00484B32">
        <w:rPr>
          <w:rFonts w:cs="Times New Roman"/>
          <w:szCs w:val="24"/>
        </w:rPr>
        <w:t xml:space="preserve"> in this case’</w:t>
      </w:r>
      <w:r w:rsidR="00E87C89">
        <w:rPr>
          <w:rFonts w:cs="Times New Roman"/>
          <w:szCs w:val="24"/>
        </w:rPr>
        <w:t xml:space="preserve"> (1970, p. 240)</w:t>
      </w:r>
      <w:r>
        <w:rPr>
          <w:rFonts w:cs="Times New Roman"/>
          <w:szCs w:val="24"/>
        </w:rPr>
        <w:t xml:space="preserve">. Now </w:t>
      </w:r>
      <w:r w:rsidR="00BC1734">
        <w:rPr>
          <w:rFonts w:cs="Times New Roman"/>
          <w:szCs w:val="24"/>
        </w:rPr>
        <w:t>as</w:t>
      </w:r>
      <w:r>
        <w:rPr>
          <w:rFonts w:cs="Times New Roman"/>
          <w:szCs w:val="24"/>
        </w:rPr>
        <w:t xml:space="preserve"> Austin himself says, the naming clearly </w:t>
      </w:r>
      <w:proofErr w:type="gramStart"/>
      <w:r>
        <w:rPr>
          <w:rFonts w:cs="Times New Roman"/>
          <w:szCs w:val="24"/>
        </w:rPr>
        <w:t>does not succeed</w:t>
      </w:r>
      <w:proofErr w:type="gramEnd"/>
      <w:r>
        <w:rPr>
          <w:rFonts w:cs="Times New Roman"/>
          <w:szCs w:val="24"/>
        </w:rPr>
        <w:t xml:space="preserve"> beca</w:t>
      </w:r>
      <w:r w:rsidR="001B127C">
        <w:rPr>
          <w:rFonts w:cs="Times New Roman"/>
          <w:szCs w:val="24"/>
        </w:rPr>
        <w:t>use the person who attempts the</w:t>
      </w:r>
      <w:r>
        <w:rPr>
          <w:rFonts w:cs="Times New Roman"/>
          <w:szCs w:val="24"/>
        </w:rPr>
        <w:t xml:space="preserve"> naming does not have the </w:t>
      </w:r>
      <w:r w:rsidR="009B1CF5">
        <w:rPr>
          <w:rFonts w:cs="Times New Roman"/>
          <w:szCs w:val="24"/>
        </w:rPr>
        <w:t xml:space="preserve">necessary </w:t>
      </w:r>
      <w:r>
        <w:rPr>
          <w:rFonts w:cs="Times New Roman"/>
          <w:szCs w:val="24"/>
        </w:rPr>
        <w:t>authority</w:t>
      </w:r>
      <w:r w:rsidR="001C0FAB">
        <w:rPr>
          <w:rFonts w:cs="Times New Roman"/>
          <w:szCs w:val="24"/>
        </w:rPr>
        <w:t xml:space="preserve">. </w:t>
      </w:r>
      <w:r>
        <w:rPr>
          <w:rFonts w:cs="Times New Roman"/>
          <w:szCs w:val="24"/>
        </w:rPr>
        <w:t>But what</w:t>
      </w:r>
      <w:r w:rsidR="00AD301C">
        <w:rPr>
          <w:rFonts w:cs="Times New Roman"/>
          <w:szCs w:val="24"/>
        </w:rPr>
        <w:t xml:space="preserve"> partly</w:t>
      </w:r>
      <w:r>
        <w:rPr>
          <w:rFonts w:cs="Times New Roman"/>
          <w:szCs w:val="24"/>
        </w:rPr>
        <w:t xml:space="preserve"> seems to trouble Austin about this example is that there is something about the name </w:t>
      </w:r>
      <w:r w:rsidRPr="001A7B9C">
        <w:rPr>
          <w:rFonts w:cs="Times New Roman"/>
          <w:i/>
          <w:szCs w:val="24"/>
        </w:rPr>
        <w:t>itself</w:t>
      </w:r>
      <w:r>
        <w:rPr>
          <w:rFonts w:cs="Times New Roman"/>
          <w:szCs w:val="24"/>
        </w:rPr>
        <w:t xml:space="preserve"> that may be related to the misfire – which would be a surprising result.</w:t>
      </w:r>
    </w:p>
    <w:p w14:paraId="715831C3" w14:textId="2EDD01CE" w:rsidR="001222BC" w:rsidRDefault="001222BC" w:rsidP="00235817">
      <w:pPr>
        <w:spacing w:line="240" w:lineRule="auto"/>
        <w:ind w:firstLine="720"/>
        <w:rPr>
          <w:rFonts w:cs="Times New Roman"/>
          <w:szCs w:val="24"/>
        </w:rPr>
      </w:pPr>
      <w:r>
        <w:rPr>
          <w:rFonts w:cs="Times New Roman"/>
          <w:szCs w:val="24"/>
        </w:rPr>
        <w:t>To draw this out, imagine a different version of this case</w:t>
      </w:r>
      <w:r w:rsidR="00BD42E4">
        <w:rPr>
          <w:rFonts w:cs="Times New Roman"/>
          <w:szCs w:val="24"/>
        </w:rPr>
        <w:t xml:space="preserve"> where</w:t>
      </w:r>
      <w:r>
        <w:rPr>
          <w:rFonts w:cs="Times New Roman"/>
          <w:szCs w:val="24"/>
        </w:rPr>
        <w:t xml:space="preserve"> someone is having a naming ceremony for the</w:t>
      </w:r>
      <w:r w:rsidR="00FB438C">
        <w:rPr>
          <w:rFonts w:cs="Times New Roman"/>
          <w:szCs w:val="24"/>
        </w:rPr>
        <w:t>ir</w:t>
      </w:r>
      <w:r>
        <w:rPr>
          <w:rFonts w:cs="Times New Roman"/>
          <w:szCs w:val="24"/>
        </w:rPr>
        <w:t xml:space="preserve"> boat and thinks it would be provocative and amusing to name it ‘</w:t>
      </w:r>
      <w:r>
        <w:rPr>
          <w:rFonts w:cs="Times New Roman"/>
          <w:i/>
          <w:szCs w:val="24"/>
        </w:rPr>
        <w:t>Generalissimo Stalin</w:t>
      </w:r>
      <w:r>
        <w:rPr>
          <w:rFonts w:cs="Times New Roman"/>
          <w:szCs w:val="24"/>
        </w:rPr>
        <w:t>’. Unknown to the owner, however, the community where the boat is docked is one where many peo</w:t>
      </w:r>
      <w:r w:rsidR="001237D6">
        <w:rPr>
          <w:rFonts w:cs="Times New Roman"/>
          <w:szCs w:val="24"/>
        </w:rPr>
        <w:t>ple were wiped out in Stalin’s P</w:t>
      </w:r>
      <w:r>
        <w:rPr>
          <w:rFonts w:cs="Times New Roman"/>
          <w:szCs w:val="24"/>
        </w:rPr>
        <w:t xml:space="preserve">urges. Someone </w:t>
      </w:r>
      <w:r w:rsidR="00F87DC7">
        <w:rPr>
          <w:rFonts w:cs="Times New Roman"/>
          <w:szCs w:val="24"/>
        </w:rPr>
        <w:t>says</w:t>
      </w:r>
      <w:r w:rsidR="004B4F2D">
        <w:rPr>
          <w:rFonts w:cs="Times New Roman"/>
          <w:szCs w:val="24"/>
        </w:rPr>
        <w:t xml:space="preserve"> to the owner</w:t>
      </w:r>
      <w:r w:rsidR="00F87DC7">
        <w:rPr>
          <w:rFonts w:cs="Times New Roman"/>
          <w:szCs w:val="24"/>
        </w:rPr>
        <w:t>:</w:t>
      </w:r>
    </w:p>
    <w:p w14:paraId="6F9B01BE" w14:textId="77777777" w:rsidR="00CB4D14" w:rsidRDefault="00CB4D14" w:rsidP="00235817">
      <w:pPr>
        <w:spacing w:line="240" w:lineRule="auto"/>
        <w:ind w:firstLine="720"/>
        <w:rPr>
          <w:rFonts w:cs="Times New Roman"/>
          <w:szCs w:val="24"/>
        </w:rPr>
      </w:pPr>
    </w:p>
    <w:p w14:paraId="5F7A0C8F" w14:textId="77777777" w:rsidR="001222BC" w:rsidRPr="000D4846" w:rsidRDefault="001222BC" w:rsidP="00235817">
      <w:pPr>
        <w:pStyle w:val="ListParagraph"/>
        <w:numPr>
          <w:ilvl w:val="0"/>
          <w:numId w:val="2"/>
        </w:numPr>
        <w:spacing w:line="240" w:lineRule="auto"/>
        <w:rPr>
          <w:rFonts w:cs="Times New Roman"/>
          <w:szCs w:val="24"/>
        </w:rPr>
      </w:pPr>
      <w:r w:rsidRPr="000D4846">
        <w:rPr>
          <w:rFonts w:cs="Times New Roman"/>
          <w:szCs w:val="24"/>
        </w:rPr>
        <w:t>You can name your ship ‘</w:t>
      </w:r>
      <w:r w:rsidRPr="000D4846">
        <w:rPr>
          <w:rFonts w:cs="Times New Roman"/>
          <w:i/>
          <w:szCs w:val="24"/>
        </w:rPr>
        <w:t>Generalissimo Stalin</w:t>
      </w:r>
      <w:r w:rsidRPr="000D4846">
        <w:rPr>
          <w:rFonts w:cs="Times New Roman"/>
          <w:szCs w:val="24"/>
        </w:rPr>
        <w:t xml:space="preserve">’ if you want, but I don’t think you should. You may not know this, but many people in this community were killed during Stalin’s </w:t>
      </w:r>
      <w:r w:rsidR="00D24B7E">
        <w:rPr>
          <w:rFonts w:cs="Times New Roman"/>
          <w:szCs w:val="24"/>
        </w:rPr>
        <w:t>Purges</w:t>
      </w:r>
      <w:r w:rsidRPr="000D4846">
        <w:rPr>
          <w:rFonts w:cs="Times New Roman"/>
          <w:szCs w:val="24"/>
        </w:rPr>
        <w:t>, a</w:t>
      </w:r>
      <w:r w:rsidR="0042616C">
        <w:rPr>
          <w:rFonts w:cs="Times New Roman"/>
          <w:szCs w:val="24"/>
        </w:rPr>
        <w:t>nd those wounds have not healed</w:t>
      </w:r>
      <w:r w:rsidRPr="000D4846">
        <w:rPr>
          <w:rFonts w:cs="Times New Roman"/>
          <w:szCs w:val="24"/>
        </w:rPr>
        <w:t>.</w:t>
      </w:r>
    </w:p>
    <w:p w14:paraId="6840BA90" w14:textId="77777777" w:rsidR="001222BC" w:rsidRPr="006C7B71" w:rsidRDefault="001222BC" w:rsidP="00235817">
      <w:pPr>
        <w:spacing w:line="240" w:lineRule="auto"/>
        <w:rPr>
          <w:rFonts w:cs="Times New Roman"/>
          <w:szCs w:val="24"/>
        </w:rPr>
      </w:pPr>
    </w:p>
    <w:p w14:paraId="164226BE" w14:textId="77777777" w:rsidR="008C3269" w:rsidRDefault="00037FF3" w:rsidP="00235817">
      <w:pPr>
        <w:spacing w:line="240" w:lineRule="auto"/>
        <w:rPr>
          <w:rFonts w:cs="Times New Roman"/>
          <w:szCs w:val="24"/>
        </w:rPr>
      </w:pPr>
      <w:r>
        <w:rPr>
          <w:rFonts w:cs="Times New Roman"/>
          <w:szCs w:val="24"/>
        </w:rPr>
        <w:t>The objection raised in (1</w:t>
      </w:r>
      <w:r w:rsidR="001222BC">
        <w:rPr>
          <w:rFonts w:cs="Times New Roman"/>
          <w:szCs w:val="24"/>
        </w:rPr>
        <w:t xml:space="preserve">) fundamentally differs from Austin’s objection that a non-owner does not have an entitlement to name the boat. The latter objection points to a violation of the rules </w:t>
      </w:r>
      <w:r w:rsidR="00C87BD2">
        <w:rPr>
          <w:rFonts w:cs="Times New Roman"/>
          <w:szCs w:val="24"/>
        </w:rPr>
        <w:t xml:space="preserve">that </w:t>
      </w:r>
      <w:r w:rsidR="00C87BD2" w:rsidRPr="00643949">
        <w:rPr>
          <w:rFonts w:cs="Times New Roman"/>
          <w:szCs w:val="24"/>
        </w:rPr>
        <w:t>Sbisà</w:t>
      </w:r>
      <w:r w:rsidR="00C87BD2" w:rsidRPr="00142B49">
        <w:rPr>
          <w:rFonts w:cs="Times New Roman"/>
          <w:i/>
          <w:szCs w:val="24"/>
        </w:rPr>
        <w:t xml:space="preserve"> </w:t>
      </w:r>
      <w:r w:rsidR="00C87BD2">
        <w:rPr>
          <w:rFonts w:cs="Times New Roman"/>
          <w:szCs w:val="24"/>
        </w:rPr>
        <w:t xml:space="preserve">would call </w:t>
      </w:r>
      <w:r w:rsidR="001222BC" w:rsidRPr="004B6883">
        <w:rPr>
          <w:rFonts w:cs="Times New Roman"/>
          <w:szCs w:val="24"/>
        </w:rPr>
        <w:t xml:space="preserve">constitutive </w:t>
      </w:r>
      <w:r w:rsidR="001222BC">
        <w:rPr>
          <w:rFonts w:cs="Times New Roman"/>
          <w:szCs w:val="24"/>
        </w:rPr>
        <w:t>of the act of naming</w:t>
      </w:r>
      <w:r w:rsidR="00142B49">
        <w:rPr>
          <w:rFonts w:cs="Times New Roman"/>
          <w:szCs w:val="24"/>
        </w:rPr>
        <w:t xml:space="preserve"> (namely, that one must have the right authority to carry out the naming </w:t>
      </w:r>
      <w:proofErr w:type="gramStart"/>
      <w:r w:rsidR="00142B49">
        <w:rPr>
          <w:rFonts w:cs="Times New Roman"/>
          <w:szCs w:val="24"/>
        </w:rPr>
        <w:t>in order for</w:t>
      </w:r>
      <w:proofErr w:type="gramEnd"/>
      <w:r w:rsidR="00142B49">
        <w:rPr>
          <w:rFonts w:cs="Times New Roman"/>
          <w:szCs w:val="24"/>
        </w:rPr>
        <w:t xml:space="preserve"> that naming to occur). This violation, </w:t>
      </w:r>
      <w:r w:rsidR="001222BC">
        <w:rPr>
          <w:rFonts w:cs="Times New Roman"/>
          <w:szCs w:val="24"/>
        </w:rPr>
        <w:t>in turn</w:t>
      </w:r>
      <w:r w:rsidR="00142B49">
        <w:rPr>
          <w:rFonts w:cs="Times New Roman"/>
          <w:szCs w:val="24"/>
        </w:rPr>
        <w:t>,</w:t>
      </w:r>
      <w:r w:rsidR="001222BC">
        <w:rPr>
          <w:rFonts w:cs="Times New Roman"/>
          <w:szCs w:val="24"/>
        </w:rPr>
        <w:t xml:space="preserve"> generates a st</w:t>
      </w:r>
      <w:r>
        <w:rPr>
          <w:rFonts w:cs="Times New Roman"/>
          <w:szCs w:val="24"/>
        </w:rPr>
        <w:t>raightforward misfire</w:t>
      </w:r>
      <w:r w:rsidR="00D24B7E">
        <w:rPr>
          <w:rFonts w:cs="Times New Roman"/>
          <w:szCs w:val="24"/>
        </w:rPr>
        <w:t>, where the attempted speech act performance fails</w:t>
      </w:r>
      <w:r w:rsidR="001237D6">
        <w:rPr>
          <w:rFonts w:cs="Times New Roman"/>
          <w:szCs w:val="24"/>
        </w:rPr>
        <w:t>: the ship does not now have this name</w:t>
      </w:r>
      <w:r>
        <w:rPr>
          <w:rFonts w:cs="Times New Roman"/>
          <w:szCs w:val="24"/>
        </w:rPr>
        <w:t>. But in (1</w:t>
      </w:r>
      <w:r w:rsidR="001222BC">
        <w:rPr>
          <w:rFonts w:cs="Times New Roman"/>
          <w:szCs w:val="24"/>
        </w:rPr>
        <w:t>), the objector accepts that</w:t>
      </w:r>
      <w:r w:rsidR="004A192D">
        <w:rPr>
          <w:rFonts w:cs="Times New Roman"/>
          <w:szCs w:val="24"/>
        </w:rPr>
        <w:t xml:space="preserve"> the act can or will come off (‘</w:t>
      </w:r>
      <w:r w:rsidR="001222BC">
        <w:rPr>
          <w:rFonts w:cs="Times New Roman"/>
          <w:szCs w:val="24"/>
        </w:rPr>
        <w:t>You can n</w:t>
      </w:r>
      <w:r w:rsidR="004A192D">
        <w:rPr>
          <w:rFonts w:cs="Times New Roman"/>
          <w:szCs w:val="24"/>
        </w:rPr>
        <w:t>ame your ship that if you want…’</w:t>
      </w:r>
      <w:proofErr w:type="gramStart"/>
      <w:r w:rsidR="001222BC">
        <w:rPr>
          <w:rFonts w:cs="Times New Roman"/>
          <w:szCs w:val="24"/>
        </w:rPr>
        <w:t>), but</w:t>
      </w:r>
      <w:proofErr w:type="gramEnd"/>
      <w:r w:rsidR="001222BC">
        <w:rPr>
          <w:rFonts w:cs="Times New Roman"/>
          <w:szCs w:val="24"/>
        </w:rPr>
        <w:t xml:space="preserve"> is nonetheless trying to raise considerations against the owner carrying out the naming. The considerations raised in the objection are </w:t>
      </w:r>
      <w:r w:rsidR="001222BC" w:rsidRPr="00CB00E9">
        <w:rPr>
          <w:rFonts w:cs="Times New Roman"/>
          <w:i/>
          <w:szCs w:val="24"/>
        </w:rPr>
        <w:t>external</w:t>
      </w:r>
      <w:r w:rsidR="001222BC">
        <w:rPr>
          <w:rFonts w:cs="Times New Roman"/>
          <w:szCs w:val="24"/>
        </w:rPr>
        <w:t xml:space="preserve"> to the rules constitutive of the speech act</w:t>
      </w:r>
      <w:r w:rsidR="008C3269">
        <w:rPr>
          <w:rFonts w:cs="Times New Roman"/>
          <w:szCs w:val="24"/>
        </w:rPr>
        <w:t>; they concern the objective requirements for a speech act of naming</w:t>
      </w:r>
      <w:r w:rsidR="001237D6">
        <w:rPr>
          <w:rFonts w:cs="Times New Roman"/>
          <w:szCs w:val="24"/>
        </w:rPr>
        <w:t xml:space="preserve"> and therefore </w:t>
      </w:r>
      <w:r w:rsidR="005E62CD">
        <w:rPr>
          <w:rFonts w:cs="Times New Roman"/>
          <w:szCs w:val="24"/>
        </w:rPr>
        <w:t>represent</w:t>
      </w:r>
      <w:r w:rsidR="001237D6">
        <w:rPr>
          <w:rFonts w:cs="Times New Roman"/>
          <w:szCs w:val="24"/>
        </w:rPr>
        <w:t xml:space="preserve"> non-constitutive considerations</w:t>
      </w:r>
      <w:r w:rsidR="001222BC">
        <w:rPr>
          <w:rFonts w:cs="Times New Roman"/>
          <w:szCs w:val="24"/>
        </w:rPr>
        <w:t>.</w:t>
      </w:r>
    </w:p>
    <w:p w14:paraId="02D5073E" w14:textId="77777777" w:rsidR="001222BC" w:rsidRDefault="001222BC" w:rsidP="00235817">
      <w:pPr>
        <w:spacing w:line="240" w:lineRule="auto"/>
        <w:rPr>
          <w:rFonts w:cs="Times New Roman"/>
          <w:szCs w:val="24"/>
        </w:rPr>
      </w:pPr>
      <w:r>
        <w:rPr>
          <w:rFonts w:cs="Times New Roman"/>
          <w:szCs w:val="24"/>
        </w:rPr>
        <w:tab/>
      </w:r>
      <w:r w:rsidR="008C3269">
        <w:rPr>
          <w:rFonts w:cs="Times New Roman"/>
          <w:szCs w:val="24"/>
        </w:rPr>
        <w:t>Now consider a different case</w:t>
      </w:r>
      <w:r>
        <w:rPr>
          <w:rFonts w:cs="Times New Roman"/>
          <w:szCs w:val="24"/>
        </w:rPr>
        <w:t xml:space="preserve">. </w:t>
      </w:r>
      <w:r w:rsidRPr="009D4B6C">
        <w:rPr>
          <w:rFonts w:cs="Times New Roman"/>
          <w:szCs w:val="24"/>
        </w:rPr>
        <w:t xml:space="preserve">Two faculty members </w:t>
      </w:r>
      <w:r>
        <w:rPr>
          <w:rFonts w:cs="Times New Roman"/>
          <w:szCs w:val="24"/>
        </w:rPr>
        <w:t>are in the audience for a philosophy conference designed to encourage under</w:t>
      </w:r>
      <w:r w:rsidRPr="009D4B6C">
        <w:rPr>
          <w:rFonts w:cs="Times New Roman"/>
          <w:szCs w:val="24"/>
        </w:rPr>
        <w:t>graduate</w:t>
      </w:r>
      <w:r>
        <w:rPr>
          <w:rFonts w:cs="Times New Roman"/>
          <w:szCs w:val="24"/>
        </w:rPr>
        <w:t>s to pursue graduate work in the discipline</w:t>
      </w:r>
      <w:r w:rsidRPr="009D4B6C">
        <w:rPr>
          <w:rFonts w:cs="Times New Roman"/>
          <w:szCs w:val="24"/>
        </w:rPr>
        <w:t xml:space="preserve">. The talk </w:t>
      </w:r>
      <w:r w:rsidR="002F4866">
        <w:rPr>
          <w:rFonts w:cs="Times New Roman"/>
          <w:szCs w:val="24"/>
        </w:rPr>
        <w:t>finishes</w:t>
      </w:r>
      <w:r w:rsidRPr="009D4B6C">
        <w:rPr>
          <w:rFonts w:cs="Times New Roman"/>
          <w:szCs w:val="24"/>
        </w:rPr>
        <w:t>, and one of the professors</w:t>
      </w:r>
      <w:r>
        <w:rPr>
          <w:rFonts w:cs="Times New Roman"/>
          <w:szCs w:val="24"/>
        </w:rPr>
        <w:t xml:space="preserve">, Lisa, </w:t>
      </w:r>
      <w:r w:rsidRPr="009D4B6C">
        <w:rPr>
          <w:rFonts w:cs="Times New Roman"/>
          <w:szCs w:val="24"/>
        </w:rPr>
        <w:t>turns to the other</w:t>
      </w:r>
      <w:r>
        <w:rPr>
          <w:rFonts w:cs="Times New Roman"/>
          <w:szCs w:val="24"/>
        </w:rPr>
        <w:t xml:space="preserve"> professor, Paula, and</w:t>
      </w:r>
      <w:r w:rsidRPr="009D4B6C">
        <w:rPr>
          <w:rFonts w:cs="Times New Roman"/>
          <w:szCs w:val="24"/>
        </w:rPr>
        <w:t xml:space="preserve"> whispers that there is a gaping flaw in the </w:t>
      </w:r>
      <w:r>
        <w:rPr>
          <w:rFonts w:cs="Times New Roman"/>
          <w:szCs w:val="24"/>
        </w:rPr>
        <w:t xml:space="preserve">paper that she plans to </w:t>
      </w:r>
      <w:r w:rsidR="00F87DC7">
        <w:rPr>
          <w:rFonts w:cs="Times New Roman"/>
          <w:szCs w:val="24"/>
        </w:rPr>
        <w:t>mention during q&amp;a. Paula says:</w:t>
      </w:r>
    </w:p>
    <w:p w14:paraId="41837C30" w14:textId="77777777" w:rsidR="001222BC" w:rsidRPr="001101D7" w:rsidRDefault="001222BC" w:rsidP="00235817">
      <w:pPr>
        <w:pStyle w:val="ListParagraph"/>
        <w:numPr>
          <w:ilvl w:val="0"/>
          <w:numId w:val="2"/>
        </w:numPr>
        <w:spacing w:line="240" w:lineRule="auto"/>
        <w:rPr>
          <w:rFonts w:cs="Times New Roman"/>
          <w:szCs w:val="24"/>
        </w:rPr>
      </w:pPr>
      <w:r w:rsidRPr="001101D7">
        <w:rPr>
          <w:rFonts w:cs="Times New Roman"/>
          <w:szCs w:val="24"/>
        </w:rPr>
        <w:lastRenderedPageBreak/>
        <w:t>I’m not sure that’s a great idea. We’re trying</w:t>
      </w:r>
      <w:r w:rsidR="006264D1">
        <w:rPr>
          <w:rFonts w:cs="Times New Roman"/>
          <w:szCs w:val="24"/>
        </w:rPr>
        <w:t xml:space="preserve"> to encourage the students </w:t>
      </w:r>
      <w:r w:rsidRPr="001101D7">
        <w:rPr>
          <w:rFonts w:cs="Times New Roman"/>
          <w:szCs w:val="24"/>
        </w:rPr>
        <w:t>to consider pursuing p</w:t>
      </w:r>
      <w:r>
        <w:rPr>
          <w:rFonts w:cs="Times New Roman"/>
          <w:szCs w:val="24"/>
        </w:rPr>
        <w:t>hilosophy professionally. That criticism</w:t>
      </w:r>
      <w:r w:rsidRPr="001101D7">
        <w:rPr>
          <w:rFonts w:cs="Times New Roman"/>
          <w:szCs w:val="24"/>
        </w:rPr>
        <w:t xml:space="preserve"> is </w:t>
      </w:r>
      <w:proofErr w:type="gramStart"/>
      <w:r w:rsidRPr="001101D7">
        <w:rPr>
          <w:rFonts w:cs="Times New Roman"/>
          <w:szCs w:val="24"/>
        </w:rPr>
        <w:t>pretty devastating</w:t>
      </w:r>
      <w:proofErr w:type="gramEnd"/>
      <w:r w:rsidRPr="001101D7">
        <w:rPr>
          <w:rFonts w:cs="Times New Roman"/>
          <w:szCs w:val="24"/>
        </w:rPr>
        <w:t>, an</w:t>
      </w:r>
      <w:r>
        <w:rPr>
          <w:rFonts w:cs="Times New Roman"/>
          <w:szCs w:val="24"/>
        </w:rPr>
        <w:t>d I worry it will discourage this</w:t>
      </w:r>
      <w:r w:rsidRPr="001101D7">
        <w:rPr>
          <w:rFonts w:cs="Times New Roman"/>
          <w:szCs w:val="24"/>
        </w:rPr>
        <w:t xml:space="preserve"> student and the other st</w:t>
      </w:r>
      <w:r w:rsidR="00751F15">
        <w:rPr>
          <w:rFonts w:cs="Times New Roman"/>
          <w:szCs w:val="24"/>
        </w:rPr>
        <w:t>udents in the audience as well.</w:t>
      </w:r>
    </w:p>
    <w:p w14:paraId="6C400CC9" w14:textId="77777777" w:rsidR="001222BC" w:rsidRPr="009D4B6C" w:rsidRDefault="001222BC" w:rsidP="00235817">
      <w:pPr>
        <w:spacing w:line="240" w:lineRule="auto"/>
        <w:ind w:left="720"/>
        <w:rPr>
          <w:rFonts w:cs="Times New Roman"/>
          <w:szCs w:val="24"/>
        </w:rPr>
      </w:pPr>
    </w:p>
    <w:p w14:paraId="70377992" w14:textId="77777777" w:rsidR="001222BC" w:rsidRPr="004A50F4" w:rsidRDefault="001222BC" w:rsidP="00235817">
      <w:pPr>
        <w:spacing w:line="240" w:lineRule="auto"/>
        <w:rPr>
          <w:rFonts w:cs="Times New Roman"/>
          <w:szCs w:val="24"/>
        </w:rPr>
      </w:pPr>
      <w:r w:rsidRPr="004A50F4">
        <w:rPr>
          <w:rFonts w:cs="Times New Roman"/>
          <w:szCs w:val="24"/>
        </w:rPr>
        <w:t>How should we characterize the objection</w:t>
      </w:r>
      <w:r w:rsidR="005E3512" w:rsidRPr="004A50F4">
        <w:rPr>
          <w:rFonts w:cs="Times New Roman"/>
          <w:szCs w:val="24"/>
        </w:rPr>
        <w:t xml:space="preserve"> in (2</w:t>
      </w:r>
      <w:r w:rsidR="00751F15">
        <w:rPr>
          <w:rFonts w:cs="Times New Roman"/>
          <w:szCs w:val="24"/>
        </w:rPr>
        <w:t xml:space="preserve">), assuming Lisa </w:t>
      </w:r>
      <w:r w:rsidRPr="004A50F4">
        <w:rPr>
          <w:rFonts w:cs="Times New Roman"/>
          <w:szCs w:val="24"/>
        </w:rPr>
        <w:t>make</w:t>
      </w:r>
      <w:r w:rsidR="00751F15">
        <w:rPr>
          <w:rFonts w:cs="Times New Roman"/>
          <w:szCs w:val="24"/>
        </w:rPr>
        <w:t>s</w:t>
      </w:r>
      <w:r w:rsidRPr="004A50F4">
        <w:rPr>
          <w:rFonts w:cs="Times New Roman"/>
          <w:szCs w:val="24"/>
        </w:rPr>
        <w:t xml:space="preserve"> an assertion or series of assertions explaining the flaw in the paper? </w:t>
      </w:r>
      <w:r w:rsidR="004A50F4" w:rsidRPr="004A50F4">
        <w:rPr>
          <w:rFonts w:cs="Times New Roman"/>
          <w:szCs w:val="24"/>
        </w:rPr>
        <w:t xml:space="preserve">Suppose, for now, </w:t>
      </w:r>
      <w:r w:rsidR="00A633A2">
        <w:rPr>
          <w:rFonts w:cs="Times New Roman"/>
          <w:szCs w:val="24"/>
        </w:rPr>
        <w:t>that the</w:t>
      </w:r>
      <w:r w:rsidR="00297F37">
        <w:rPr>
          <w:rFonts w:cs="Times New Roman"/>
          <w:szCs w:val="24"/>
        </w:rPr>
        <w:t xml:space="preserve"> following</w:t>
      </w:r>
      <w:r w:rsidR="004A50F4" w:rsidRPr="004A50F4">
        <w:rPr>
          <w:rFonts w:cs="Times New Roman"/>
          <w:szCs w:val="24"/>
        </w:rPr>
        <w:t xml:space="preserve"> view of the norms constitutive of assertio</w:t>
      </w:r>
      <w:r w:rsidR="00FC4B5A">
        <w:rPr>
          <w:rFonts w:cs="Times New Roman"/>
          <w:szCs w:val="24"/>
        </w:rPr>
        <w:t>n is right –</w:t>
      </w:r>
      <w:r w:rsidR="00297F37">
        <w:rPr>
          <w:rFonts w:cs="Times New Roman"/>
          <w:szCs w:val="24"/>
        </w:rPr>
        <w:t xml:space="preserve"> </w:t>
      </w:r>
      <w:r w:rsidR="00F87DC7">
        <w:rPr>
          <w:rFonts w:cs="Times New Roman"/>
          <w:szCs w:val="24"/>
        </w:rPr>
        <w:t>a view according to which ‘</w:t>
      </w:r>
      <w:r w:rsidR="004A50F4" w:rsidRPr="004A50F4">
        <w:rPr>
          <w:rFonts w:cs="MinionPro-Regular"/>
          <w:szCs w:val="24"/>
        </w:rPr>
        <w:t>one who asserts that p</w:t>
      </w:r>
      <w:r w:rsidR="004A50F4" w:rsidRPr="004A50F4">
        <w:rPr>
          <w:rFonts w:cs="Times New Roman"/>
          <w:szCs w:val="24"/>
        </w:rPr>
        <w:t xml:space="preserve"> </w:t>
      </w:r>
      <w:r w:rsidR="004A50F4" w:rsidRPr="004A50F4">
        <w:rPr>
          <w:rFonts w:cs="MinionPro-Regular"/>
          <w:szCs w:val="24"/>
        </w:rPr>
        <w:t>undertakes a</w:t>
      </w:r>
      <w:r w:rsidR="006264D1">
        <w:rPr>
          <w:rFonts w:cs="MinionPro-Regular"/>
          <w:szCs w:val="24"/>
        </w:rPr>
        <w:t xml:space="preserve"> commitment to the truth of [p]</w:t>
      </w:r>
      <w:r w:rsidR="004A50F4" w:rsidRPr="004A50F4">
        <w:rPr>
          <w:rFonts w:cs="MinionPro-Regular"/>
          <w:szCs w:val="24"/>
        </w:rPr>
        <w:t>, which involves inheriting the obligation</w:t>
      </w:r>
      <w:r w:rsidR="004A50F4" w:rsidRPr="004A50F4">
        <w:rPr>
          <w:rFonts w:cs="Times New Roman"/>
          <w:szCs w:val="24"/>
        </w:rPr>
        <w:t xml:space="preserve"> t</w:t>
      </w:r>
      <w:r w:rsidR="004A50F4" w:rsidRPr="004A50F4">
        <w:rPr>
          <w:rFonts w:cs="MinionPro-Regular"/>
          <w:szCs w:val="24"/>
        </w:rPr>
        <w:t>o vindicate one’</w:t>
      </w:r>
      <w:r w:rsidR="00F87DC7">
        <w:rPr>
          <w:rFonts w:cs="MinionPro-Regular"/>
          <w:szCs w:val="24"/>
        </w:rPr>
        <w:t>s entitlement to [p] if queried’</w:t>
      </w:r>
      <w:r w:rsidR="00BC4D53">
        <w:rPr>
          <w:rFonts w:cs="MinionPro-Regular"/>
          <w:szCs w:val="24"/>
        </w:rPr>
        <w:t xml:space="preserve"> (Goldberg, 2015, p. 11)</w:t>
      </w:r>
      <w:r w:rsidR="004A50F4" w:rsidRPr="004A50F4">
        <w:rPr>
          <w:rFonts w:cs="MinionPro-Regular"/>
          <w:szCs w:val="24"/>
        </w:rPr>
        <w:t>.</w:t>
      </w:r>
      <w:r w:rsidR="00A633A2">
        <w:rPr>
          <w:rStyle w:val="FootnoteReference"/>
          <w:rFonts w:cs="MinionPro-Regular"/>
          <w:szCs w:val="24"/>
        </w:rPr>
        <w:footnoteReference w:id="9"/>
      </w:r>
      <w:r w:rsidR="004A50F4" w:rsidRPr="004A50F4">
        <w:rPr>
          <w:rFonts w:cs="Times New Roman"/>
          <w:szCs w:val="24"/>
        </w:rPr>
        <w:t xml:space="preserve"> </w:t>
      </w:r>
      <w:r w:rsidR="00297F37">
        <w:rPr>
          <w:rFonts w:cs="Times New Roman"/>
          <w:szCs w:val="24"/>
        </w:rPr>
        <w:t>Now it is not the case</w:t>
      </w:r>
      <w:r w:rsidRPr="004A50F4">
        <w:rPr>
          <w:rFonts w:cs="Times New Roman"/>
          <w:szCs w:val="24"/>
        </w:rPr>
        <w:t xml:space="preserve"> that Lisa will be asserting that there is a flaw in the paper when she does not </w:t>
      </w:r>
      <w:r w:rsidR="004A50F4" w:rsidRPr="004A50F4">
        <w:rPr>
          <w:rFonts w:cs="Times New Roman"/>
          <w:szCs w:val="24"/>
        </w:rPr>
        <w:t xml:space="preserve">want or intend to undertake a commitment to the truth of this proposition. </w:t>
      </w:r>
      <w:r w:rsidRPr="004A50F4">
        <w:rPr>
          <w:rFonts w:cs="Times New Roman"/>
          <w:szCs w:val="24"/>
        </w:rPr>
        <w:t>Paula is rather invoking a separate c</w:t>
      </w:r>
      <w:r w:rsidR="004A50F4" w:rsidRPr="004A50F4">
        <w:rPr>
          <w:rFonts w:cs="Times New Roman"/>
          <w:szCs w:val="24"/>
        </w:rPr>
        <w:t>onsideration</w:t>
      </w:r>
      <w:r w:rsidRPr="004A50F4">
        <w:rPr>
          <w:rFonts w:cs="Times New Roman"/>
          <w:szCs w:val="24"/>
        </w:rPr>
        <w:t xml:space="preserve"> that she thinks ought to outweigh Lisa’s desire to carry out the assertion, i.e., Lisa’s commitment to </w:t>
      </w:r>
      <w:r w:rsidR="008C3E2F">
        <w:rPr>
          <w:rFonts w:cs="Times New Roman"/>
          <w:szCs w:val="24"/>
        </w:rPr>
        <w:t xml:space="preserve">encouraging students </w:t>
      </w:r>
      <w:r w:rsidRPr="004A50F4">
        <w:rPr>
          <w:rFonts w:cs="Times New Roman"/>
          <w:szCs w:val="24"/>
        </w:rPr>
        <w:t xml:space="preserve">to pursue further work in philosophy. This exchange therefore represents another example of </w:t>
      </w:r>
      <w:r w:rsidR="00CB00E9">
        <w:rPr>
          <w:rFonts w:cs="Times New Roman"/>
          <w:szCs w:val="24"/>
        </w:rPr>
        <w:t>a non-constitutive objection</w:t>
      </w:r>
      <w:r w:rsidRPr="004A50F4">
        <w:rPr>
          <w:rFonts w:cs="Times New Roman"/>
          <w:szCs w:val="24"/>
        </w:rPr>
        <w:t>.</w:t>
      </w:r>
    </w:p>
    <w:p w14:paraId="1B3FCE4D" w14:textId="77777777" w:rsidR="001222BC" w:rsidRPr="009D4B6C" w:rsidRDefault="001222BC" w:rsidP="00235817">
      <w:pPr>
        <w:spacing w:line="240" w:lineRule="auto"/>
        <w:rPr>
          <w:rFonts w:cs="Times New Roman"/>
          <w:szCs w:val="24"/>
        </w:rPr>
      </w:pPr>
      <w:r w:rsidRPr="004A50F4">
        <w:rPr>
          <w:rFonts w:cs="Times New Roman"/>
          <w:szCs w:val="24"/>
        </w:rPr>
        <w:tab/>
      </w:r>
      <w:r w:rsidR="00FF19C3" w:rsidRPr="004A50F4">
        <w:rPr>
          <w:rFonts w:cs="Times New Roman"/>
          <w:szCs w:val="24"/>
        </w:rPr>
        <w:t xml:space="preserve">But </w:t>
      </w:r>
      <w:r w:rsidRPr="009D4B6C">
        <w:rPr>
          <w:rFonts w:cs="Times New Roman"/>
          <w:szCs w:val="24"/>
        </w:rPr>
        <w:t xml:space="preserve">the kinds of considerations raised by </w:t>
      </w:r>
      <w:r w:rsidR="00FF19C3">
        <w:rPr>
          <w:rFonts w:cs="Times New Roman"/>
          <w:szCs w:val="24"/>
        </w:rPr>
        <w:t>(1) and (2</w:t>
      </w:r>
      <w:r>
        <w:rPr>
          <w:rFonts w:cs="Times New Roman"/>
          <w:szCs w:val="24"/>
        </w:rPr>
        <w:t xml:space="preserve">) </w:t>
      </w:r>
      <w:r w:rsidRPr="009D4B6C">
        <w:rPr>
          <w:rFonts w:cs="Times New Roman"/>
          <w:szCs w:val="24"/>
        </w:rPr>
        <w:t>differ, despite both being exampl</w:t>
      </w:r>
      <w:r w:rsidR="00AF18C5">
        <w:rPr>
          <w:rFonts w:cs="Times New Roman"/>
          <w:szCs w:val="24"/>
        </w:rPr>
        <w:t xml:space="preserve">es of </w:t>
      </w:r>
      <w:r w:rsidR="00D316D2">
        <w:rPr>
          <w:rFonts w:cs="Times New Roman"/>
          <w:szCs w:val="24"/>
        </w:rPr>
        <w:t>non-constitutive</w:t>
      </w:r>
      <w:r w:rsidR="00AF18C5">
        <w:rPr>
          <w:rFonts w:cs="Times New Roman"/>
          <w:szCs w:val="24"/>
        </w:rPr>
        <w:t xml:space="preserve"> objections. In (1</w:t>
      </w:r>
      <w:r w:rsidRPr="009D4B6C">
        <w:rPr>
          <w:rFonts w:cs="Times New Roman"/>
          <w:szCs w:val="24"/>
        </w:rPr>
        <w:t xml:space="preserve">), the objection invokes </w:t>
      </w:r>
      <w:r w:rsidRPr="009D4B6C">
        <w:rPr>
          <w:rFonts w:cs="Times New Roman"/>
          <w:i/>
          <w:szCs w:val="24"/>
        </w:rPr>
        <w:t>deontological</w:t>
      </w:r>
      <w:r w:rsidRPr="009D4B6C">
        <w:rPr>
          <w:rFonts w:cs="Times New Roman"/>
          <w:szCs w:val="24"/>
        </w:rPr>
        <w:t xml:space="preserve"> considerations in favor of the idea that I ought not</w:t>
      </w:r>
      <w:r w:rsidR="00145DD7">
        <w:rPr>
          <w:rFonts w:cs="Times New Roman"/>
          <w:szCs w:val="24"/>
        </w:rPr>
        <w:t xml:space="preserve"> perform (</w:t>
      </w:r>
      <w:r w:rsidRPr="009D4B6C">
        <w:rPr>
          <w:rFonts w:cs="Times New Roman"/>
          <w:szCs w:val="24"/>
        </w:rPr>
        <w:t>or ought</w:t>
      </w:r>
      <w:r w:rsidR="00145DD7">
        <w:rPr>
          <w:rFonts w:cs="Times New Roman"/>
          <w:szCs w:val="24"/>
        </w:rPr>
        <w:t xml:space="preserve"> retract) </w:t>
      </w:r>
      <w:r w:rsidRPr="009D4B6C">
        <w:rPr>
          <w:rFonts w:cs="Times New Roman"/>
          <w:szCs w:val="24"/>
        </w:rPr>
        <w:t>this act of naming. It is not that, or not just that, things will go badly if I carry out this act of naming; the proble</w:t>
      </w:r>
      <w:r w:rsidR="00E053F2">
        <w:rPr>
          <w:rFonts w:cs="Times New Roman"/>
          <w:szCs w:val="24"/>
        </w:rPr>
        <w:t>m is mainly that I will violate</w:t>
      </w:r>
      <w:r w:rsidRPr="009D4B6C">
        <w:rPr>
          <w:rFonts w:cs="Times New Roman"/>
          <w:szCs w:val="24"/>
        </w:rPr>
        <w:t xml:space="preserve"> basic ethical p</w:t>
      </w:r>
      <w:r>
        <w:rPr>
          <w:rFonts w:cs="Times New Roman"/>
          <w:szCs w:val="24"/>
        </w:rPr>
        <w:t>rinciples</w:t>
      </w:r>
      <w:r w:rsidRPr="009D4B6C">
        <w:rPr>
          <w:rFonts w:cs="Times New Roman"/>
          <w:szCs w:val="24"/>
        </w:rPr>
        <w:t xml:space="preserve"> that I ought to abide by</w:t>
      </w:r>
      <w:r>
        <w:rPr>
          <w:rFonts w:cs="Times New Roman"/>
          <w:szCs w:val="24"/>
        </w:rPr>
        <w:t xml:space="preserve"> </w:t>
      </w:r>
      <w:r w:rsidRPr="009D4B6C">
        <w:rPr>
          <w:rFonts w:cs="Times New Roman"/>
          <w:szCs w:val="24"/>
        </w:rPr>
        <w:t xml:space="preserve">(to be kind to one’s neighbors, for example). In </w:t>
      </w:r>
      <w:r w:rsidR="00AF18C5">
        <w:rPr>
          <w:rFonts w:cs="Times New Roman"/>
          <w:szCs w:val="24"/>
        </w:rPr>
        <w:t>(2</w:t>
      </w:r>
      <w:r>
        <w:rPr>
          <w:rFonts w:cs="Times New Roman"/>
          <w:szCs w:val="24"/>
        </w:rPr>
        <w:t>), however, the considerations Paula raises are</w:t>
      </w:r>
      <w:r w:rsidRPr="009D4B6C">
        <w:rPr>
          <w:rFonts w:cs="Times New Roman"/>
          <w:szCs w:val="24"/>
        </w:rPr>
        <w:t xml:space="preserve"> not primarily deontological, but </w:t>
      </w:r>
      <w:r w:rsidRPr="009D4B6C">
        <w:rPr>
          <w:rFonts w:cs="Times New Roman"/>
          <w:i/>
          <w:szCs w:val="24"/>
        </w:rPr>
        <w:t>consequentialist</w:t>
      </w:r>
      <w:r w:rsidRPr="009D4B6C">
        <w:rPr>
          <w:rFonts w:cs="Times New Roman"/>
          <w:szCs w:val="24"/>
        </w:rPr>
        <w:t>:</w:t>
      </w:r>
      <w:r>
        <w:rPr>
          <w:rFonts w:cs="Times New Roman"/>
          <w:szCs w:val="24"/>
        </w:rPr>
        <w:t xml:space="preserve"> the event will not go well if Lisa</w:t>
      </w:r>
      <w:r w:rsidRPr="009D4B6C">
        <w:rPr>
          <w:rFonts w:cs="Times New Roman"/>
          <w:szCs w:val="24"/>
        </w:rPr>
        <w:t xml:space="preserve"> issues her assertion</w:t>
      </w:r>
      <w:r w:rsidR="00691F69">
        <w:rPr>
          <w:rFonts w:cs="Times New Roman"/>
          <w:szCs w:val="24"/>
        </w:rPr>
        <w:t xml:space="preserve">, and therefore </w:t>
      </w:r>
      <w:r w:rsidRPr="009D4B6C">
        <w:rPr>
          <w:rFonts w:cs="Times New Roman"/>
          <w:szCs w:val="24"/>
        </w:rPr>
        <w:t>she ought not issue it.</w:t>
      </w:r>
    </w:p>
    <w:p w14:paraId="79DA27FA" w14:textId="77777777" w:rsidR="00B3169D" w:rsidRDefault="001222BC" w:rsidP="00235817">
      <w:pPr>
        <w:spacing w:line="240" w:lineRule="auto"/>
        <w:ind w:firstLine="720"/>
        <w:rPr>
          <w:rFonts w:cs="Times New Roman"/>
          <w:szCs w:val="24"/>
        </w:rPr>
      </w:pPr>
      <w:r w:rsidRPr="009D4B6C">
        <w:rPr>
          <w:rFonts w:cs="Times New Roman"/>
          <w:szCs w:val="24"/>
        </w:rPr>
        <w:t>This difference between the two examples suggests a way of schematizing the objections that can be made</w:t>
      </w:r>
      <w:r>
        <w:rPr>
          <w:rFonts w:cs="Times New Roman"/>
          <w:szCs w:val="24"/>
        </w:rPr>
        <w:t xml:space="preserve"> in response</w:t>
      </w:r>
      <w:r w:rsidRPr="009D4B6C">
        <w:rPr>
          <w:rFonts w:cs="Times New Roman"/>
          <w:szCs w:val="24"/>
        </w:rPr>
        <w:t xml:space="preserve"> to a speech act:</w:t>
      </w:r>
    </w:p>
    <w:p w14:paraId="413C9104" w14:textId="77777777" w:rsidR="00357CDB" w:rsidRDefault="00357CDB" w:rsidP="00235817">
      <w:pPr>
        <w:spacing w:line="240" w:lineRule="auto"/>
        <w:rPr>
          <w:rFonts w:cs="Times New Roman"/>
          <w:szCs w:val="24"/>
        </w:rPr>
      </w:pPr>
    </w:p>
    <w:p w14:paraId="4B940F35" w14:textId="77777777" w:rsidR="00357CDB" w:rsidRPr="009D4B6C" w:rsidRDefault="00357CDB" w:rsidP="00235817">
      <w:pPr>
        <w:spacing w:line="240" w:lineRule="auto"/>
        <w:rPr>
          <w:rFonts w:cs="Times New Roman"/>
          <w:szCs w:val="24"/>
        </w:rPr>
      </w:pPr>
    </w:p>
    <w:tbl>
      <w:tblPr>
        <w:tblStyle w:val="TableGrid"/>
        <w:tblpPr w:leftFromText="180" w:rightFromText="180" w:vertAnchor="text" w:horzAnchor="margin" w:tblpXSpec="right" w:tblpY="356"/>
        <w:tblW w:w="0" w:type="auto"/>
        <w:tblLook w:val="04A0" w:firstRow="1" w:lastRow="0" w:firstColumn="1" w:lastColumn="0" w:noHBand="0" w:noVBand="1"/>
      </w:tblPr>
      <w:tblGrid>
        <w:gridCol w:w="4410"/>
        <w:gridCol w:w="4050"/>
      </w:tblGrid>
      <w:tr w:rsidR="001222BC" w:rsidRPr="009D4B6C" w14:paraId="4914F2DA" w14:textId="77777777" w:rsidTr="00C23003">
        <w:trPr>
          <w:trHeight w:val="2870"/>
        </w:trPr>
        <w:tc>
          <w:tcPr>
            <w:tcW w:w="4410" w:type="dxa"/>
          </w:tcPr>
          <w:p w14:paraId="0A184C68" w14:textId="77777777" w:rsidR="001222BC" w:rsidRPr="005E3BD3" w:rsidRDefault="00CB00E9" w:rsidP="00235817">
            <w:pPr>
              <w:jc w:val="center"/>
              <w:rPr>
                <w:rFonts w:cs="Times New Roman"/>
                <w:i/>
                <w:sz w:val="22"/>
              </w:rPr>
            </w:pPr>
            <w:r>
              <w:rPr>
                <w:rFonts w:cs="Times New Roman"/>
                <w:i/>
                <w:sz w:val="22"/>
              </w:rPr>
              <w:t>Constitutive</w:t>
            </w:r>
            <w:r w:rsidR="001222BC" w:rsidRPr="005E3BD3">
              <w:rPr>
                <w:rFonts w:cs="Times New Roman"/>
                <w:i/>
                <w:sz w:val="22"/>
              </w:rPr>
              <w:t xml:space="preserve"> Deontological Objections</w:t>
            </w:r>
          </w:p>
          <w:p w14:paraId="6137F7B0" w14:textId="77777777" w:rsidR="001222BC" w:rsidRPr="005E3BD3" w:rsidRDefault="001222BC" w:rsidP="00235817">
            <w:pPr>
              <w:jc w:val="center"/>
              <w:rPr>
                <w:rFonts w:cs="Times New Roman"/>
                <w:i/>
                <w:sz w:val="22"/>
              </w:rPr>
            </w:pPr>
          </w:p>
          <w:p w14:paraId="3B2606D6" w14:textId="77777777" w:rsidR="001222BC" w:rsidRPr="005E3BD3" w:rsidRDefault="001222BC" w:rsidP="00235817">
            <w:pPr>
              <w:rPr>
                <w:rFonts w:cs="Times New Roman"/>
                <w:sz w:val="22"/>
              </w:rPr>
            </w:pPr>
            <w:r w:rsidRPr="005E3BD3">
              <w:rPr>
                <w:rFonts w:cs="Times New Roman"/>
                <w:sz w:val="22"/>
              </w:rPr>
              <w:t>Pointing to the norms constitutive of a given kind of speech act to object to an attempted performance of that act</w:t>
            </w:r>
          </w:p>
          <w:p w14:paraId="3CE108CC" w14:textId="77777777" w:rsidR="001222BC" w:rsidRPr="005E3BD3" w:rsidRDefault="001222BC" w:rsidP="00235817">
            <w:pPr>
              <w:rPr>
                <w:rFonts w:cs="Times New Roman"/>
                <w:sz w:val="22"/>
                <w:u w:val="single"/>
              </w:rPr>
            </w:pPr>
          </w:p>
          <w:p w14:paraId="201B57C6" w14:textId="77777777" w:rsidR="001222BC" w:rsidRPr="005E3BD3" w:rsidRDefault="001222BC" w:rsidP="00235817">
            <w:pPr>
              <w:rPr>
                <w:rFonts w:cs="Times New Roman"/>
                <w:sz w:val="22"/>
              </w:rPr>
            </w:pPr>
            <w:r w:rsidRPr="005E3BD3">
              <w:rPr>
                <w:rFonts w:cs="Times New Roman"/>
                <w:sz w:val="22"/>
                <w:u w:val="single"/>
              </w:rPr>
              <w:t>Example</w:t>
            </w:r>
            <w:r w:rsidR="00FD2013">
              <w:rPr>
                <w:rFonts w:cs="Times New Roman"/>
                <w:sz w:val="22"/>
              </w:rPr>
              <w:t xml:space="preserve">: </w:t>
            </w:r>
            <w:r w:rsidRPr="005E3BD3">
              <w:rPr>
                <w:rFonts w:cs="Times New Roman"/>
                <w:sz w:val="22"/>
              </w:rPr>
              <w:t xml:space="preserve">Pointing out that someone is attempting to divorce someone outside of the </w:t>
            </w:r>
            <w:r w:rsidR="002F0528">
              <w:rPr>
                <w:rFonts w:cs="Times New Roman"/>
                <w:sz w:val="22"/>
              </w:rPr>
              <w:t>appropriate</w:t>
            </w:r>
            <w:r w:rsidRPr="005E3BD3">
              <w:rPr>
                <w:rFonts w:cs="Times New Roman"/>
                <w:sz w:val="22"/>
              </w:rPr>
              <w:t xml:space="preserve"> legal context</w:t>
            </w:r>
          </w:p>
        </w:tc>
        <w:tc>
          <w:tcPr>
            <w:tcW w:w="4050" w:type="dxa"/>
          </w:tcPr>
          <w:p w14:paraId="5402FC5A" w14:textId="77777777" w:rsidR="001222BC" w:rsidRPr="005E3BD3" w:rsidRDefault="00561145" w:rsidP="00235817">
            <w:pPr>
              <w:jc w:val="center"/>
              <w:rPr>
                <w:rFonts w:cs="Times New Roman"/>
                <w:i/>
                <w:sz w:val="22"/>
              </w:rPr>
            </w:pPr>
            <w:r>
              <w:rPr>
                <w:rFonts w:cs="Times New Roman"/>
                <w:i/>
                <w:sz w:val="22"/>
              </w:rPr>
              <w:t xml:space="preserve">Non-Constitutive </w:t>
            </w:r>
            <w:r w:rsidR="001222BC" w:rsidRPr="005E3BD3">
              <w:rPr>
                <w:rFonts w:cs="Times New Roman"/>
                <w:i/>
                <w:sz w:val="22"/>
              </w:rPr>
              <w:t>Deontological Objections</w:t>
            </w:r>
          </w:p>
          <w:p w14:paraId="1197F618" w14:textId="77777777" w:rsidR="001222BC" w:rsidRPr="005E3BD3" w:rsidRDefault="001222BC" w:rsidP="00235817">
            <w:pPr>
              <w:rPr>
                <w:rFonts w:cs="Times New Roman"/>
                <w:sz w:val="22"/>
              </w:rPr>
            </w:pPr>
          </w:p>
          <w:p w14:paraId="0DC8B1B1" w14:textId="77777777" w:rsidR="001222BC" w:rsidRPr="005E3BD3" w:rsidRDefault="001222BC" w:rsidP="00235817">
            <w:pPr>
              <w:rPr>
                <w:rFonts w:cs="Times New Roman"/>
                <w:sz w:val="22"/>
              </w:rPr>
            </w:pPr>
            <w:r w:rsidRPr="005E3BD3">
              <w:rPr>
                <w:rFonts w:cs="Times New Roman"/>
                <w:sz w:val="22"/>
              </w:rPr>
              <w:t>Deontological considerations (i.e., certain determinate norms or principles) raised to outweigh the value of performing the speech act</w:t>
            </w:r>
          </w:p>
          <w:p w14:paraId="675584E7" w14:textId="77777777" w:rsidR="001222BC" w:rsidRPr="005E3BD3" w:rsidRDefault="001222BC" w:rsidP="00235817">
            <w:pPr>
              <w:rPr>
                <w:rFonts w:cs="Times New Roman"/>
                <w:sz w:val="22"/>
              </w:rPr>
            </w:pPr>
          </w:p>
          <w:p w14:paraId="56D87532" w14:textId="77777777" w:rsidR="001222BC" w:rsidRPr="005E3BD3" w:rsidRDefault="001222BC" w:rsidP="00235817">
            <w:pPr>
              <w:rPr>
                <w:rFonts w:cs="Times New Roman"/>
                <w:sz w:val="22"/>
              </w:rPr>
            </w:pPr>
            <w:r w:rsidRPr="005E3BD3">
              <w:rPr>
                <w:rFonts w:cs="Times New Roman"/>
                <w:sz w:val="22"/>
                <w:u w:val="single"/>
              </w:rPr>
              <w:t>Example</w:t>
            </w:r>
            <w:r w:rsidR="00FD2013">
              <w:rPr>
                <w:rFonts w:cs="Times New Roman"/>
                <w:sz w:val="22"/>
              </w:rPr>
              <w:t xml:space="preserve">: </w:t>
            </w:r>
            <w:r w:rsidRPr="005E3BD3">
              <w:rPr>
                <w:rFonts w:cs="Times New Roman"/>
                <w:sz w:val="22"/>
              </w:rPr>
              <w:t>Pointing out that naming a ship ‘</w:t>
            </w:r>
            <w:r w:rsidRPr="005E3BD3">
              <w:rPr>
                <w:rFonts w:cs="Times New Roman"/>
                <w:i/>
                <w:sz w:val="22"/>
              </w:rPr>
              <w:t>Generalissimo Stalin</w:t>
            </w:r>
            <w:r w:rsidR="002F0528">
              <w:rPr>
                <w:rFonts w:cs="Times New Roman"/>
                <w:sz w:val="22"/>
              </w:rPr>
              <w:t>’</w:t>
            </w:r>
            <w:r w:rsidRPr="005E3BD3">
              <w:rPr>
                <w:rFonts w:cs="Times New Roman"/>
                <w:sz w:val="22"/>
              </w:rPr>
              <w:t xml:space="preserve"> violates a norm/principle of respect for others</w:t>
            </w:r>
          </w:p>
        </w:tc>
      </w:tr>
      <w:tr w:rsidR="001222BC" w:rsidRPr="009D4B6C" w14:paraId="03F7325F" w14:textId="77777777" w:rsidTr="00C23003">
        <w:trPr>
          <w:trHeight w:val="2333"/>
        </w:trPr>
        <w:tc>
          <w:tcPr>
            <w:tcW w:w="4410" w:type="dxa"/>
          </w:tcPr>
          <w:p w14:paraId="43B5806B" w14:textId="77777777" w:rsidR="001222BC" w:rsidRPr="005E3BD3" w:rsidRDefault="00CB00E9" w:rsidP="00235817">
            <w:pPr>
              <w:jc w:val="center"/>
              <w:rPr>
                <w:rFonts w:cs="Times New Roman"/>
                <w:sz w:val="22"/>
              </w:rPr>
            </w:pPr>
            <w:r>
              <w:rPr>
                <w:rFonts w:cs="Times New Roman"/>
                <w:i/>
                <w:sz w:val="22"/>
              </w:rPr>
              <w:t xml:space="preserve">Constitutive </w:t>
            </w:r>
            <w:r w:rsidR="001222BC" w:rsidRPr="005E3BD3">
              <w:rPr>
                <w:rFonts w:cs="Times New Roman"/>
                <w:i/>
                <w:sz w:val="22"/>
              </w:rPr>
              <w:t>Consequentialist Objections</w:t>
            </w:r>
          </w:p>
          <w:p w14:paraId="250C5FF1" w14:textId="77777777" w:rsidR="001222BC" w:rsidRPr="005E3BD3" w:rsidRDefault="001222BC" w:rsidP="00235817">
            <w:pPr>
              <w:jc w:val="center"/>
              <w:rPr>
                <w:rFonts w:cs="Times New Roman"/>
                <w:sz w:val="22"/>
              </w:rPr>
            </w:pPr>
          </w:p>
          <w:p w14:paraId="66C95692" w14:textId="77777777" w:rsidR="001222BC" w:rsidRPr="005E3BD3" w:rsidRDefault="001222BC" w:rsidP="00235817">
            <w:pPr>
              <w:rPr>
                <w:rFonts w:cs="Times New Roman"/>
                <w:sz w:val="22"/>
              </w:rPr>
            </w:pPr>
          </w:p>
          <w:p w14:paraId="550B1DD1" w14:textId="77777777" w:rsidR="001222BC" w:rsidRPr="0046532A" w:rsidRDefault="001222BC" w:rsidP="00235817">
            <w:pPr>
              <w:jc w:val="center"/>
              <w:rPr>
                <w:rFonts w:cs="Times New Roman"/>
                <w:sz w:val="48"/>
                <w:szCs w:val="48"/>
              </w:rPr>
            </w:pPr>
            <w:r w:rsidRPr="0046532A">
              <w:rPr>
                <w:rFonts w:cs="Times New Roman"/>
                <w:sz w:val="48"/>
                <w:szCs w:val="48"/>
              </w:rPr>
              <w:t>?</w:t>
            </w:r>
          </w:p>
        </w:tc>
        <w:tc>
          <w:tcPr>
            <w:tcW w:w="4050" w:type="dxa"/>
          </w:tcPr>
          <w:p w14:paraId="2683C1A8" w14:textId="77777777" w:rsidR="001222BC" w:rsidRPr="005E3BD3" w:rsidRDefault="00561145" w:rsidP="00235817">
            <w:pPr>
              <w:jc w:val="center"/>
              <w:rPr>
                <w:rFonts w:cs="Times New Roman"/>
                <w:i/>
                <w:sz w:val="22"/>
              </w:rPr>
            </w:pPr>
            <w:r>
              <w:rPr>
                <w:rFonts w:cs="Times New Roman"/>
                <w:i/>
                <w:sz w:val="22"/>
              </w:rPr>
              <w:t>Non-Constitutive</w:t>
            </w:r>
            <w:r w:rsidR="001222BC" w:rsidRPr="005E3BD3">
              <w:rPr>
                <w:rFonts w:cs="Times New Roman"/>
                <w:i/>
                <w:sz w:val="22"/>
              </w:rPr>
              <w:t xml:space="preserve"> Consequentialist Objections</w:t>
            </w:r>
          </w:p>
          <w:p w14:paraId="27A8FEA2" w14:textId="77777777" w:rsidR="001222BC" w:rsidRPr="005E3BD3" w:rsidRDefault="001222BC" w:rsidP="00235817">
            <w:pPr>
              <w:rPr>
                <w:rFonts w:cs="Times New Roman"/>
                <w:sz w:val="22"/>
              </w:rPr>
            </w:pPr>
          </w:p>
          <w:p w14:paraId="193D53F6" w14:textId="77777777" w:rsidR="001222BC" w:rsidRPr="005E3BD3" w:rsidRDefault="001222BC" w:rsidP="00235817">
            <w:pPr>
              <w:rPr>
                <w:rFonts w:cs="Times New Roman"/>
                <w:sz w:val="22"/>
              </w:rPr>
            </w:pPr>
            <w:r w:rsidRPr="005E3BD3">
              <w:rPr>
                <w:rFonts w:cs="Times New Roman"/>
                <w:sz w:val="22"/>
              </w:rPr>
              <w:t>Consequentialist considerations raised to outweigh the value of performing the speech act</w:t>
            </w:r>
          </w:p>
          <w:p w14:paraId="60CAC64D" w14:textId="77777777" w:rsidR="001222BC" w:rsidRPr="005E3BD3" w:rsidRDefault="001222BC" w:rsidP="00235817">
            <w:pPr>
              <w:rPr>
                <w:rFonts w:cs="Times New Roman"/>
                <w:sz w:val="22"/>
                <w:u w:val="single"/>
              </w:rPr>
            </w:pPr>
          </w:p>
          <w:p w14:paraId="5E26722E" w14:textId="77777777" w:rsidR="001222BC" w:rsidRPr="005E3BD3" w:rsidRDefault="001222BC" w:rsidP="00235817">
            <w:pPr>
              <w:rPr>
                <w:rFonts w:cs="Times New Roman"/>
                <w:sz w:val="22"/>
              </w:rPr>
            </w:pPr>
            <w:r w:rsidRPr="005E3BD3">
              <w:rPr>
                <w:rFonts w:cs="Times New Roman"/>
                <w:sz w:val="22"/>
                <w:u w:val="single"/>
              </w:rPr>
              <w:t>Example</w:t>
            </w:r>
            <w:r w:rsidRPr="005E3BD3">
              <w:rPr>
                <w:rFonts w:cs="Times New Roman"/>
                <w:sz w:val="22"/>
              </w:rPr>
              <w:t xml:space="preserve">: Arguing that someone should refrain from an assertion to </w:t>
            </w:r>
            <w:r w:rsidR="00336EBF">
              <w:rPr>
                <w:rFonts w:cs="Times New Roman"/>
                <w:sz w:val="22"/>
              </w:rPr>
              <w:t>help an event go</w:t>
            </w:r>
            <w:r w:rsidRPr="005E3BD3">
              <w:rPr>
                <w:rFonts w:cs="Times New Roman"/>
                <w:sz w:val="22"/>
              </w:rPr>
              <w:t xml:space="preserve"> well</w:t>
            </w:r>
          </w:p>
        </w:tc>
      </w:tr>
    </w:tbl>
    <w:p w14:paraId="3D5409F4" w14:textId="77777777" w:rsidR="001222BC" w:rsidRPr="009D4B6C" w:rsidRDefault="00561145" w:rsidP="00235817">
      <w:pPr>
        <w:spacing w:line="240" w:lineRule="auto"/>
        <w:ind w:left="1440" w:firstLine="720"/>
        <w:rPr>
          <w:rFonts w:cs="Times New Roman"/>
          <w:szCs w:val="24"/>
        </w:rPr>
      </w:pPr>
      <w:r>
        <w:rPr>
          <w:rFonts w:cs="Times New Roman"/>
          <w:szCs w:val="24"/>
        </w:rPr>
        <w:t>Constitutive Objection</w:t>
      </w:r>
      <w:r>
        <w:rPr>
          <w:rFonts w:cs="Times New Roman"/>
          <w:szCs w:val="24"/>
        </w:rPr>
        <w:tab/>
      </w:r>
      <w:r>
        <w:rPr>
          <w:rFonts w:cs="Times New Roman"/>
          <w:szCs w:val="24"/>
        </w:rPr>
        <w:tab/>
      </w:r>
      <w:r>
        <w:rPr>
          <w:rFonts w:cs="Times New Roman"/>
          <w:szCs w:val="24"/>
        </w:rPr>
        <w:tab/>
        <w:t xml:space="preserve">    Non-Constitutive </w:t>
      </w:r>
      <w:r w:rsidR="001222BC" w:rsidRPr="009D4B6C">
        <w:rPr>
          <w:rFonts w:cs="Times New Roman"/>
          <w:szCs w:val="24"/>
        </w:rPr>
        <w:t>Objection</w:t>
      </w:r>
      <w:r w:rsidR="001222BC" w:rsidRPr="009D4B6C">
        <w:rPr>
          <w:rFonts w:cs="Times New Roman"/>
          <w:szCs w:val="24"/>
        </w:rPr>
        <w:tab/>
      </w:r>
    </w:p>
    <w:p w14:paraId="5C0EAC42" w14:textId="77777777" w:rsidR="001222BC" w:rsidRPr="009D4B6C" w:rsidRDefault="001222BC" w:rsidP="00235817">
      <w:pPr>
        <w:spacing w:line="240" w:lineRule="auto"/>
        <w:rPr>
          <w:rFonts w:cs="Times New Roman"/>
          <w:szCs w:val="24"/>
        </w:rPr>
      </w:pPr>
    </w:p>
    <w:p w14:paraId="39F338EB" w14:textId="77777777" w:rsidR="001222BC" w:rsidRPr="009D4B6C" w:rsidRDefault="001222BC" w:rsidP="00235817">
      <w:pPr>
        <w:spacing w:line="240" w:lineRule="auto"/>
        <w:rPr>
          <w:rFonts w:cs="Times New Roman"/>
          <w:szCs w:val="24"/>
        </w:rPr>
      </w:pPr>
      <w:r w:rsidRPr="009D4B6C">
        <w:rPr>
          <w:rFonts w:cs="Times New Roman"/>
          <w:noProof/>
          <w:szCs w:val="24"/>
        </w:rPr>
        <mc:AlternateContent>
          <mc:Choice Requires="wps">
            <w:drawing>
              <wp:anchor distT="45720" distB="45720" distL="114300" distR="114300" simplePos="0" relativeHeight="251659264" behindDoc="0" locked="0" layoutInCell="1" allowOverlap="1" wp14:anchorId="0DA1A4D5" wp14:editId="0D3D46DD">
                <wp:simplePos x="0" y="0"/>
                <wp:positionH relativeFrom="page">
                  <wp:posOffset>317500</wp:posOffset>
                </wp:positionH>
                <wp:positionV relativeFrom="paragraph">
                  <wp:posOffset>349250</wp:posOffset>
                </wp:positionV>
                <wp:extent cx="1029335" cy="539750"/>
                <wp:effectExtent l="0" t="0" r="1841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539750"/>
                        </a:xfrm>
                        <a:prstGeom prst="rect">
                          <a:avLst/>
                        </a:prstGeom>
                        <a:solidFill>
                          <a:srgbClr val="FFFFFF"/>
                        </a:solidFill>
                        <a:ln w="9525">
                          <a:solidFill>
                            <a:schemeClr val="bg1"/>
                          </a:solidFill>
                          <a:miter lim="800000"/>
                          <a:headEnd/>
                          <a:tailEnd/>
                        </a:ln>
                      </wps:spPr>
                      <wps:txbx>
                        <w:txbxContent>
                          <w:p w14:paraId="557C3D4F" w14:textId="77777777" w:rsidR="00202E60" w:rsidRPr="007F2923" w:rsidRDefault="00202E60" w:rsidP="001222BC">
                            <w:pPr>
                              <w:jc w:val="center"/>
                              <w:rPr>
                                <w:rFonts w:cs="Times New Roman"/>
                                <w:szCs w:val="24"/>
                              </w:rPr>
                            </w:pPr>
                            <w:r w:rsidRPr="007F2923">
                              <w:rPr>
                                <w:rFonts w:cs="Times New Roman"/>
                                <w:szCs w:val="24"/>
                              </w:rPr>
                              <w:t>Deontological Objection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51FC6" id="_x0000_t202" coordsize="21600,21600" o:spt="202" path="m,l,21600r21600,l21600,xe">
                <v:stroke joinstyle="miter"/>
                <v:path gradientshapeok="t" o:connecttype="rect"/>
              </v:shapetype>
              <v:shape id="Text Box 2" o:spid="_x0000_s1026" type="#_x0000_t202" style="position:absolute;margin-left:25pt;margin-top:27.5pt;width:81.05pt;height:4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" strokecolor="white [3212]">
                <v:textbox>
                  <w:txbxContent>
                    <w:p w:rsidR="00202E60" w:rsidRPr="007F2923" w:rsidRDefault="00202E60" w:rsidP="001222BC">
                      <w:pPr>
                        <w:jc w:val="center"/>
                        <w:rPr>
                          <w:rFonts w:cs="Times New Roman"/>
                          <w:szCs w:val="24"/>
                        </w:rPr>
                      </w:pPr>
                      <w:r w:rsidRPr="007F2923">
                        <w:rPr>
                          <w:rFonts w:cs="Times New Roman"/>
                          <w:szCs w:val="24"/>
                        </w:rPr>
                        <w:t>Deontological Objection</w:t>
                      </w:r>
                    </w:p>
                  </w:txbxContent>
                </v:textbox>
                <w10:wrap type="square" anchorx="page"/>
              </v:shape>
            </w:pict>
          </mc:Fallback>
        </mc:AlternateContent>
      </w:r>
    </w:p>
    <w:p w14:paraId="42DB5A26" w14:textId="77777777" w:rsidR="001222BC" w:rsidRPr="009D4B6C" w:rsidRDefault="001222BC" w:rsidP="00235817">
      <w:pPr>
        <w:spacing w:line="240" w:lineRule="auto"/>
        <w:rPr>
          <w:rFonts w:cs="Times New Roman"/>
          <w:szCs w:val="24"/>
        </w:rPr>
      </w:pPr>
    </w:p>
    <w:p w14:paraId="741E4848" w14:textId="77777777" w:rsidR="001222BC" w:rsidRPr="009D4B6C" w:rsidRDefault="001222BC" w:rsidP="00235817">
      <w:pPr>
        <w:spacing w:line="240" w:lineRule="auto"/>
        <w:rPr>
          <w:rFonts w:cs="Times New Roman"/>
          <w:szCs w:val="24"/>
        </w:rPr>
      </w:pPr>
    </w:p>
    <w:p w14:paraId="48C7E240" w14:textId="77777777" w:rsidR="001222BC" w:rsidRPr="009D4B6C" w:rsidRDefault="001222BC" w:rsidP="00235817">
      <w:pPr>
        <w:spacing w:line="240" w:lineRule="auto"/>
        <w:rPr>
          <w:rFonts w:cs="Times New Roman"/>
          <w:szCs w:val="24"/>
        </w:rPr>
      </w:pPr>
    </w:p>
    <w:p w14:paraId="373F80E6" w14:textId="77777777" w:rsidR="001222BC" w:rsidRPr="009D4B6C" w:rsidRDefault="001222BC" w:rsidP="00235817">
      <w:pPr>
        <w:spacing w:line="240" w:lineRule="auto"/>
        <w:rPr>
          <w:rFonts w:cs="Times New Roman"/>
          <w:szCs w:val="24"/>
        </w:rPr>
      </w:pPr>
    </w:p>
    <w:p w14:paraId="1A40D49E" w14:textId="77777777" w:rsidR="001222BC" w:rsidRDefault="001222BC" w:rsidP="00235817">
      <w:pPr>
        <w:spacing w:line="240" w:lineRule="auto"/>
        <w:rPr>
          <w:rFonts w:cs="Times New Roman"/>
          <w:szCs w:val="24"/>
        </w:rPr>
      </w:pPr>
      <w:r w:rsidRPr="009D4B6C">
        <w:rPr>
          <w:rFonts w:cs="Times New Roman"/>
          <w:noProof/>
          <w:szCs w:val="24"/>
        </w:rPr>
        <mc:AlternateContent>
          <mc:Choice Requires="wps">
            <w:drawing>
              <wp:anchor distT="45720" distB="45720" distL="114300" distR="114300" simplePos="0" relativeHeight="251660288" behindDoc="0" locked="0" layoutInCell="1" allowOverlap="1" wp14:anchorId="02D44AB4" wp14:editId="25429AA2">
                <wp:simplePos x="0" y="0"/>
                <wp:positionH relativeFrom="column">
                  <wp:posOffset>-709295</wp:posOffset>
                </wp:positionH>
                <wp:positionV relativeFrom="paragraph">
                  <wp:posOffset>356235</wp:posOffset>
                </wp:positionV>
                <wp:extent cx="1235075" cy="483870"/>
                <wp:effectExtent l="0" t="0" r="2222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483870"/>
                        </a:xfrm>
                        <a:prstGeom prst="rect">
                          <a:avLst/>
                        </a:prstGeom>
                        <a:solidFill>
                          <a:srgbClr val="FFFFFF"/>
                        </a:solidFill>
                        <a:ln w="9525">
                          <a:solidFill>
                            <a:schemeClr val="bg1"/>
                          </a:solidFill>
                          <a:miter lim="800000"/>
                          <a:headEnd/>
                          <a:tailEnd/>
                        </a:ln>
                      </wps:spPr>
                      <wps:txbx>
                        <w:txbxContent>
                          <w:p w14:paraId="7A5AD772" w14:textId="77777777" w:rsidR="00202E60" w:rsidRPr="00052DAC" w:rsidRDefault="00202E60" w:rsidP="001222BC">
                            <w:pPr>
                              <w:jc w:val="center"/>
                              <w:rPr>
                                <w:rFonts w:cs="Times New Roman"/>
                                <w:szCs w:val="24"/>
                              </w:rPr>
                            </w:pPr>
                            <w:r w:rsidRPr="00052DAC">
                              <w:rPr>
                                <w:rFonts w:cs="Times New Roman"/>
                                <w:szCs w:val="24"/>
                              </w:rPr>
                              <w:t>Consequentialist Objection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BEFB8" id="_x0000_s1027" type="#_x0000_t202" style="position:absolute;margin-left:-55.85pt;margin-top:28.05pt;width:97.25pt;height:38.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" strokecolor="white [3212]">
                <v:textbox>
                  <w:txbxContent>
                    <w:p w:rsidR="00202E60" w:rsidRPr="00052DAC" w:rsidRDefault="00202E60" w:rsidP="001222BC">
                      <w:pPr>
                        <w:jc w:val="center"/>
                        <w:rPr>
                          <w:rFonts w:cs="Times New Roman"/>
                          <w:szCs w:val="24"/>
                        </w:rPr>
                      </w:pPr>
                      <w:r w:rsidRPr="00052DAC">
                        <w:rPr>
                          <w:rFonts w:cs="Times New Roman"/>
                          <w:szCs w:val="24"/>
                        </w:rPr>
                        <w:t>Consequentialist Objection</w:t>
                      </w:r>
                    </w:p>
                  </w:txbxContent>
                </v:textbox>
                <w10:wrap type="square"/>
              </v:shape>
            </w:pict>
          </mc:Fallback>
        </mc:AlternateContent>
      </w:r>
    </w:p>
    <w:p w14:paraId="44297BCD" w14:textId="77777777" w:rsidR="001222BC" w:rsidRDefault="001222BC" w:rsidP="00235817">
      <w:pPr>
        <w:spacing w:line="240" w:lineRule="auto"/>
        <w:rPr>
          <w:rFonts w:cs="Times New Roman"/>
          <w:szCs w:val="24"/>
        </w:rPr>
      </w:pPr>
    </w:p>
    <w:p w14:paraId="067F4F7A" w14:textId="77777777" w:rsidR="001222BC" w:rsidRDefault="001222BC" w:rsidP="00235817">
      <w:pPr>
        <w:spacing w:line="240" w:lineRule="auto"/>
        <w:rPr>
          <w:rFonts w:cs="Times New Roman"/>
          <w:szCs w:val="24"/>
        </w:rPr>
      </w:pPr>
    </w:p>
    <w:p w14:paraId="5D18B34A" w14:textId="77777777" w:rsidR="001222BC" w:rsidRDefault="001222BC" w:rsidP="00235817">
      <w:pPr>
        <w:spacing w:line="240" w:lineRule="auto"/>
        <w:rPr>
          <w:rFonts w:cs="Times New Roman"/>
          <w:szCs w:val="24"/>
        </w:rPr>
      </w:pPr>
    </w:p>
    <w:p w14:paraId="17A31206" w14:textId="77777777" w:rsidR="001222BC" w:rsidRDefault="001222BC" w:rsidP="00235817">
      <w:pPr>
        <w:spacing w:line="240" w:lineRule="auto"/>
        <w:rPr>
          <w:rFonts w:cs="Times New Roman"/>
          <w:szCs w:val="24"/>
        </w:rPr>
      </w:pPr>
    </w:p>
    <w:p w14:paraId="65F7387C" w14:textId="77777777" w:rsidR="002E78E9" w:rsidRDefault="002E78E9" w:rsidP="00235817">
      <w:pPr>
        <w:spacing w:line="240" w:lineRule="auto"/>
        <w:rPr>
          <w:rFonts w:cs="Times New Roman"/>
          <w:szCs w:val="24"/>
        </w:rPr>
      </w:pPr>
    </w:p>
    <w:p w14:paraId="583ED1C0" w14:textId="77777777" w:rsidR="000D307B" w:rsidRDefault="001222BC" w:rsidP="00235817">
      <w:pPr>
        <w:spacing w:line="240" w:lineRule="auto"/>
        <w:ind w:firstLine="720"/>
        <w:rPr>
          <w:rFonts w:cs="Times New Roman"/>
          <w:szCs w:val="24"/>
        </w:rPr>
      </w:pPr>
      <w:r>
        <w:rPr>
          <w:rFonts w:cs="Times New Roman"/>
          <w:szCs w:val="24"/>
        </w:rPr>
        <w:t xml:space="preserve">What we find in </w:t>
      </w:r>
      <w:r w:rsidR="00710AD8">
        <w:rPr>
          <w:rFonts w:cs="Times New Roman"/>
          <w:szCs w:val="24"/>
        </w:rPr>
        <w:t>this</w:t>
      </w:r>
      <w:r>
        <w:rPr>
          <w:rFonts w:cs="Times New Roman"/>
          <w:szCs w:val="24"/>
        </w:rPr>
        <w:t xml:space="preserve"> schema </w:t>
      </w:r>
      <w:r w:rsidRPr="009D4B6C">
        <w:rPr>
          <w:rFonts w:cs="Times New Roman"/>
          <w:szCs w:val="24"/>
        </w:rPr>
        <w:t>is a square here that cannot be easily filled –</w:t>
      </w:r>
      <w:r w:rsidR="00E053F2">
        <w:rPr>
          <w:rFonts w:cs="Times New Roman"/>
          <w:szCs w:val="24"/>
        </w:rPr>
        <w:t xml:space="preserve"> </w:t>
      </w:r>
      <w:r>
        <w:rPr>
          <w:rFonts w:cs="Times New Roman"/>
          <w:szCs w:val="24"/>
        </w:rPr>
        <w:t xml:space="preserve">the possibility of </w:t>
      </w:r>
      <w:r w:rsidR="00CB00E9">
        <w:rPr>
          <w:rFonts w:cs="Times New Roman"/>
          <w:szCs w:val="24"/>
        </w:rPr>
        <w:t>a constitutive</w:t>
      </w:r>
      <w:r w:rsidRPr="009D4B6C">
        <w:rPr>
          <w:rFonts w:cs="Times New Roman"/>
          <w:szCs w:val="24"/>
        </w:rPr>
        <w:t xml:space="preserve"> </w:t>
      </w:r>
      <w:r w:rsidRPr="009D4B6C">
        <w:rPr>
          <w:rFonts w:cs="Times New Roman"/>
          <w:i/>
          <w:szCs w:val="24"/>
        </w:rPr>
        <w:t>consequentialist</w:t>
      </w:r>
      <w:r w:rsidRPr="009D4B6C">
        <w:rPr>
          <w:rFonts w:cs="Times New Roman"/>
          <w:szCs w:val="24"/>
        </w:rPr>
        <w:t xml:space="preserve"> objection. </w:t>
      </w:r>
      <w:r w:rsidR="005361D5">
        <w:rPr>
          <w:rFonts w:cs="Times New Roman"/>
          <w:szCs w:val="24"/>
        </w:rPr>
        <w:t xml:space="preserve">Why? Because </w:t>
      </w:r>
      <w:r w:rsidR="00CB00E9">
        <w:rPr>
          <w:rFonts w:cs="Times New Roman"/>
          <w:szCs w:val="24"/>
        </w:rPr>
        <w:t>a</w:t>
      </w:r>
      <w:r>
        <w:rPr>
          <w:rFonts w:cs="Times New Roman"/>
          <w:szCs w:val="24"/>
        </w:rPr>
        <w:t xml:space="preserve"> ‘</w:t>
      </w:r>
      <w:r w:rsidR="00CB00E9">
        <w:rPr>
          <w:rFonts w:cs="Times New Roman"/>
          <w:szCs w:val="24"/>
        </w:rPr>
        <w:t>constitutive</w:t>
      </w:r>
      <w:r w:rsidRPr="009D4B6C">
        <w:rPr>
          <w:rFonts w:cs="Times New Roman"/>
          <w:szCs w:val="24"/>
        </w:rPr>
        <w:t xml:space="preserve"> consequentialist’ objection seems to be a con</w:t>
      </w:r>
      <w:r>
        <w:rPr>
          <w:rFonts w:cs="Times New Roman"/>
          <w:szCs w:val="24"/>
        </w:rPr>
        <w:t xml:space="preserve">tradiction in terms. If </w:t>
      </w:r>
      <w:r w:rsidR="00CB00E9">
        <w:rPr>
          <w:rFonts w:cs="Times New Roman"/>
          <w:szCs w:val="24"/>
        </w:rPr>
        <w:t>constitutive</w:t>
      </w:r>
      <w:r w:rsidRPr="009D4B6C">
        <w:rPr>
          <w:rFonts w:cs="Times New Roman"/>
          <w:szCs w:val="24"/>
        </w:rPr>
        <w:t xml:space="preserve"> objections work by pointing to a failure of a performance to adhere to the norms constitutive of the relevant speech act, then they seem to be deontological by their very nature. Whether such a performance would n</w:t>
      </w:r>
      <w:r>
        <w:rPr>
          <w:rFonts w:cs="Times New Roman"/>
          <w:szCs w:val="24"/>
        </w:rPr>
        <w:t>onetheless promote the speaker’s</w:t>
      </w:r>
      <w:r w:rsidRPr="009D4B6C">
        <w:rPr>
          <w:rFonts w:cs="Times New Roman"/>
          <w:szCs w:val="24"/>
        </w:rPr>
        <w:t xml:space="preserve"> and audience’s ends would not suddenly transform the act into a </w:t>
      </w:r>
      <w:r w:rsidR="009A71D3">
        <w:rPr>
          <w:rFonts w:cs="Times New Roman"/>
          <w:szCs w:val="24"/>
        </w:rPr>
        <w:t>successful</w:t>
      </w:r>
      <w:r w:rsidRPr="009D4B6C">
        <w:rPr>
          <w:rFonts w:cs="Times New Roman"/>
          <w:szCs w:val="24"/>
        </w:rPr>
        <w:t xml:space="preserve"> one: the norms that constitute the act are the relevant norms regardless of whether an infelicitous performance would bring about a maximally good set of consequences. Even if, for example, someone’s attempt to divorce their spouse by saying outside of </w:t>
      </w:r>
      <w:r w:rsidR="009E1583">
        <w:rPr>
          <w:rFonts w:cs="Times New Roman"/>
          <w:szCs w:val="24"/>
        </w:rPr>
        <w:t>the appropriate legal context, ‘I divorce you!’</w:t>
      </w:r>
      <w:r w:rsidRPr="009D4B6C">
        <w:rPr>
          <w:rFonts w:cs="Times New Roman"/>
          <w:szCs w:val="24"/>
        </w:rPr>
        <w:t xml:space="preserve">, is an utterance that somehow – through a </w:t>
      </w:r>
      <w:r w:rsidR="00E63B98">
        <w:rPr>
          <w:rFonts w:cs="Times New Roman"/>
          <w:szCs w:val="24"/>
        </w:rPr>
        <w:t xml:space="preserve">very </w:t>
      </w:r>
      <w:r w:rsidRPr="009D4B6C">
        <w:rPr>
          <w:rFonts w:cs="Times New Roman"/>
          <w:szCs w:val="24"/>
        </w:rPr>
        <w:t xml:space="preserve">peculiar causal chain – </w:t>
      </w:r>
      <w:r w:rsidR="00CB7287">
        <w:rPr>
          <w:rFonts w:cs="Times New Roman"/>
          <w:szCs w:val="24"/>
        </w:rPr>
        <w:t>brings</w:t>
      </w:r>
      <w:r w:rsidRPr="009D4B6C">
        <w:rPr>
          <w:rFonts w:cs="Times New Roman"/>
          <w:szCs w:val="24"/>
        </w:rPr>
        <w:t xml:space="preserve"> about world peace, this would not make it the case that they had thereby, via their utterance, divorced their spouse.</w:t>
      </w:r>
    </w:p>
    <w:p w14:paraId="7D019162" w14:textId="289EC1EC" w:rsidR="00516883" w:rsidRDefault="001222BC" w:rsidP="00235817">
      <w:pPr>
        <w:spacing w:line="240" w:lineRule="auto"/>
        <w:ind w:firstLine="720"/>
        <w:rPr>
          <w:rFonts w:cs="Times New Roman"/>
          <w:szCs w:val="24"/>
        </w:rPr>
      </w:pPr>
      <w:r w:rsidRPr="00D639F5">
        <w:rPr>
          <w:rFonts w:cs="Times New Roman"/>
          <w:szCs w:val="24"/>
        </w:rPr>
        <w:t xml:space="preserve">But I want to argue that there is at least one type of objection that belongs here: objections to </w:t>
      </w:r>
      <w:r w:rsidR="00A57795" w:rsidRPr="00D639F5">
        <w:rPr>
          <w:rFonts w:cs="Times New Roman"/>
          <w:szCs w:val="24"/>
        </w:rPr>
        <w:t xml:space="preserve">speech acts where speakers </w:t>
      </w:r>
      <w:r w:rsidR="00967BC5">
        <w:rPr>
          <w:rFonts w:cs="Times New Roman"/>
          <w:szCs w:val="24"/>
        </w:rPr>
        <w:t>put</w:t>
      </w:r>
      <w:r w:rsidR="00A57795" w:rsidRPr="00D639F5">
        <w:rPr>
          <w:rFonts w:cs="Times New Roman"/>
          <w:szCs w:val="24"/>
        </w:rPr>
        <w:t xml:space="preserve"> </w:t>
      </w:r>
      <w:r w:rsidR="00F14AD3" w:rsidRPr="00D639F5">
        <w:rPr>
          <w:rFonts w:cs="Times New Roman"/>
          <w:szCs w:val="24"/>
        </w:rPr>
        <w:t xml:space="preserve">linguistic or conceptual content </w:t>
      </w:r>
      <w:r w:rsidR="00A57795" w:rsidRPr="00D639F5">
        <w:rPr>
          <w:rFonts w:cs="Times New Roman"/>
          <w:szCs w:val="24"/>
        </w:rPr>
        <w:t xml:space="preserve">forward in a way that </w:t>
      </w:r>
      <w:r w:rsidR="0078336A">
        <w:rPr>
          <w:rFonts w:cs="Times New Roman"/>
          <w:szCs w:val="24"/>
        </w:rPr>
        <w:t>aims to</w:t>
      </w:r>
      <w:r w:rsidR="00A57795" w:rsidRPr="00D639F5">
        <w:rPr>
          <w:rFonts w:cs="Times New Roman"/>
          <w:szCs w:val="24"/>
        </w:rPr>
        <w:t xml:space="preserve"> be useful for both speaker and audience.</w:t>
      </w:r>
      <w:r w:rsidR="0086032D" w:rsidRPr="00D639F5">
        <w:rPr>
          <w:rFonts w:cs="Times New Roman"/>
          <w:szCs w:val="24"/>
        </w:rPr>
        <w:t xml:space="preserve"> Consider, for example, </w:t>
      </w:r>
      <w:r w:rsidR="00BB70C6">
        <w:rPr>
          <w:rFonts w:cs="Times New Roman"/>
          <w:szCs w:val="24"/>
        </w:rPr>
        <w:t>Mitchell Green’s account of the</w:t>
      </w:r>
      <w:r w:rsidR="0086032D" w:rsidRPr="00D639F5">
        <w:rPr>
          <w:rFonts w:cs="Times New Roman"/>
          <w:szCs w:val="24"/>
        </w:rPr>
        <w:t xml:space="preserve"> speech act of supposition</w:t>
      </w:r>
      <w:r w:rsidR="00BB70C6">
        <w:rPr>
          <w:rFonts w:cs="Times New Roman"/>
          <w:szCs w:val="24"/>
        </w:rPr>
        <w:t xml:space="preserve">, which he glosses </w:t>
      </w:r>
      <w:r w:rsidR="00751F15" w:rsidRPr="00D639F5">
        <w:rPr>
          <w:rFonts w:cs="Times New Roman"/>
          <w:szCs w:val="24"/>
        </w:rPr>
        <w:t xml:space="preserve">this way: </w:t>
      </w:r>
      <w:r w:rsidR="00215980">
        <w:rPr>
          <w:rFonts w:cs="Times New Roman"/>
          <w:szCs w:val="24"/>
        </w:rPr>
        <w:t>‘</w:t>
      </w:r>
      <w:r w:rsidR="001D5B1B" w:rsidRPr="00D639F5">
        <w:rPr>
          <w:rFonts w:cs="Times New Roman"/>
          <w:szCs w:val="24"/>
        </w:rPr>
        <w:t>the acceptance of a propo</w:t>
      </w:r>
      <w:r w:rsidR="00215980">
        <w:rPr>
          <w:rFonts w:cs="Times New Roman"/>
          <w:szCs w:val="24"/>
        </w:rPr>
        <w:t>sition for the sake of argument’</w:t>
      </w:r>
      <w:r w:rsidR="00704535">
        <w:rPr>
          <w:rFonts w:cs="Times New Roman"/>
          <w:szCs w:val="24"/>
        </w:rPr>
        <w:t xml:space="preserve"> </w:t>
      </w:r>
      <w:r w:rsidR="00704535">
        <w:rPr>
          <w:rFonts w:cs="Times New Roman"/>
          <w:sz w:val="22"/>
        </w:rPr>
        <w:t>(2000, p. 376)</w:t>
      </w:r>
      <w:r w:rsidR="001D5B1B" w:rsidRPr="00D639F5">
        <w:rPr>
          <w:rFonts w:cs="Times New Roman"/>
          <w:szCs w:val="24"/>
        </w:rPr>
        <w:t xml:space="preserve">. </w:t>
      </w:r>
      <w:r w:rsidR="0078336A">
        <w:rPr>
          <w:rFonts w:cs="Times New Roman"/>
          <w:szCs w:val="24"/>
        </w:rPr>
        <w:t>Suppositions are</w:t>
      </w:r>
      <w:r w:rsidR="00D639F5" w:rsidRPr="00D639F5">
        <w:rPr>
          <w:rFonts w:cs="Times New Roman"/>
          <w:szCs w:val="24"/>
        </w:rPr>
        <w:t xml:space="preserve"> </w:t>
      </w:r>
      <w:r w:rsidR="00A62ED6">
        <w:rPr>
          <w:rFonts w:cs="Times New Roman"/>
          <w:szCs w:val="24"/>
        </w:rPr>
        <w:t>key</w:t>
      </w:r>
      <w:r w:rsidR="00967BC5">
        <w:rPr>
          <w:rFonts w:cs="Times New Roman"/>
          <w:szCs w:val="24"/>
        </w:rPr>
        <w:t xml:space="preserve"> tools for</w:t>
      </w:r>
      <w:r w:rsidR="00605743">
        <w:rPr>
          <w:rFonts w:cs="Times New Roman"/>
          <w:szCs w:val="24"/>
        </w:rPr>
        <w:t xml:space="preserve"> inquiry. They help</w:t>
      </w:r>
      <w:r w:rsidR="00D639F5" w:rsidRPr="00D639F5">
        <w:rPr>
          <w:rFonts w:cs="Times New Roman"/>
          <w:szCs w:val="24"/>
        </w:rPr>
        <w:t xml:space="preserve"> interlocutors entertain possibilities they may n</w:t>
      </w:r>
      <w:r w:rsidR="009F6748">
        <w:rPr>
          <w:rFonts w:cs="Times New Roman"/>
          <w:szCs w:val="24"/>
        </w:rPr>
        <w:t>ot be ready to commit to or possibilities</w:t>
      </w:r>
      <w:r w:rsidR="00D639F5" w:rsidRPr="00D639F5">
        <w:rPr>
          <w:rFonts w:cs="Times New Roman"/>
          <w:szCs w:val="24"/>
        </w:rPr>
        <w:t xml:space="preserve"> that will help reveal conclusion</w:t>
      </w:r>
      <w:r w:rsidR="00967BC5">
        <w:rPr>
          <w:rFonts w:cs="Times New Roman"/>
          <w:szCs w:val="24"/>
        </w:rPr>
        <w:t>s they may not otherwise accept</w:t>
      </w:r>
      <w:r w:rsidR="00D639F5" w:rsidRPr="00D639F5">
        <w:rPr>
          <w:rFonts w:cs="Times New Roman"/>
          <w:szCs w:val="24"/>
        </w:rPr>
        <w:t xml:space="preserve">. Green </w:t>
      </w:r>
      <w:r w:rsidR="005B2B4F">
        <w:rPr>
          <w:rFonts w:cs="Times New Roman"/>
          <w:szCs w:val="24"/>
        </w:rPr>
        <w:t>continues</w:t>
      </w:r>
      <w:r w:rsidR="00D639F5" w:rsidRPr="00D639F5">
        <w:rPr>
          <w:rFonts w:cs="Times New Roman"/>
          <w:szCs w:val="24"/>
        </w:rPr>
        <w:t>:</w:t>
      </w:r>
    </w:p>
    <w:p w14:paraId="6D8243C9" w14:textId="77777777" w:rsidR="00CB4D14" w:rsidRPr="00D639F5" w:rsidRDefault="00CB4D14" w:rsidP="00235817">
      <w:pPr>
        <w:spacing w:line="240" w:lineRule="auto"/>
        <w:ind w:firstLine="720"/>
        <w:rPr>
          <w:rFonts w:cs="Times New Roman"/>
          <w:szCs w:val="24"/>
        </w:rPr>
      </w:pPr>
    </w:p>
    <w:p w14:paraId="40334640" w14:textId="77777777" w:rsidR="00B21D88" w:rsidRPr="00516883" w:rsidRDefault="00B21D88" w:rsidP="00235817">
      <w:pPr>
        <w:spacing w:line="240" w:lineRule="auto"/>
        <w:ind w:left="720"/>
        <w:rPr>
          <w:rFonts w:cs="Times New Roman"/>
          <w:sz w:val="22"/>
        </w:rPr>
      </w:pPr>
      <w:r w:rsidRPr="00516883">
        <w:rPr>
          <w:rFonts w:cs="Times New Roman"/>
          <w:sz w:val="22"/>
        </w:rPr>
        <w:t>[O]ne may invoke a practice permitting a proposition P</w:t>
      </w:r>
      <w:r w:rsidR="00D639F5" w:rsidRPr="00516883">
        <w:rPr>
          <w:rFonts w:cs="Times New Roman"/>
          <w:sz w:val="22"/>
        </w:rPr>
        <w:t xml:space="preserve"> </w:t>
      </w:r>
      <w:r w:rsidRPr="00516883">
        <w:rPr>
          <w:rFonts w:cs="Times New Roman"/>
          <w:sz w:val="22"/>
        </w:rPr>
        <w:t xml:space="preserve">to be put forth as a supposition rather than as an assertion. Doing so </w:t>
      </w:r>
      <w:r w:rsidRPr="00516883">
        <w:rPr>
          <w:rFonts w:cs="Times New Roman"/>
          <w:i/>
          <w:iCs/>
          <w:sz w:val="22"/>
        </w:rPr>
        <w:t>entitles</w:t>
      </w:r>
      <w:r w:rsidR="00D639F5" w:rsidRPr="00516883">
        <w:rPr>
          <w:rFonts w:cs="Times New Roman"/>
          <w:sz w:val="22"/>
        </w:rPr>
        <w:t xml:space="preserve"> </w:t>
      </w:r>
      <w:r w:rsidRPr="00516883">
        <w:rPr>
          <w:rFonts w:cs="Times New Roman"/>
          <w:sz w:val="22"/>
        </w:rPr>
        <w:t xml:space="preserve">the reasoner to draw inferences from P, together </w:t>
      </w:r>
      <w:r w:rsidR="00D639F5" w:rsidRPr="00516883">
        <w:rPr>
          <w:rFonts w:cs="Times New Roman"/>
          <w:sz w:val="22"/>
        </w:rPr>
        <w:t xml:space="preserve">with other propositions already </w:t>
      </w:r>
      <w:r w:rsidRPr="00516883">
        <w:rPr>
          <w:rFonts w:cs="Times New Roman"/>
          <w:sz w:val="22"/>
        </w:rPr>
        <w:t xml:space="preserve">established or accepted, </w:t>
      </w:r>
      <w:proofErr w:type="gramStart"/>
      <w:r w:rsidRPr="00516883">
        <w:rPr>
          <w:rFonts w:cs="Times New Roman"/>
          <w:sz w:val="22"/>
        </w:rPr>
        <w:t>in order to</w:t>
      </w:r>
      <w:proofErr w:type="gramEnd"/>
      <w:r w:rsidRPr="00516883">
        <w:rPr>
          <w:rFonts w:cs="Times New Roman"/>
          <w:sz w:val="22"/>
        </w:rPr>
        <w:t xml:space="preserve"> infer </w:t>
      </w:r>
      <w:r w:rsidR="00D639F5" w:rsidRPr="00516883">
        <w:rPr>
          <w:rFonts w:cs="Times New Roman"/>
          <w:sz w:val="22"/>
        </w:rPr>
        <w:t xml:space="preserve">a proposition Q still under the </w:t>
      </w:r>
      <w:r w:rsidRPr="00516883">
        <w:rPr>
          <w:rFonts w:cs="Times New Roman"/>
          <w:sz w:val="22"/>
        </w:rPr>
        <w:t xml:space="preserve">scope of the supposition P. </w:t>
      </w:r>
      <w:r w:rsidR="00D639F5" w:rsidRPr="00516883">
        <w:rPr>
          <w:rFonts w:cs="Beljan-GreekwithMathPi"/>
          <w:sz w:val="22"/>
        </w:rPr>
        <w:t>(</w:t>
      </w:r>
      <w:r w:rsidRPr="00516883">
        <w:rPr>
          <w:rFonts w:cs="Times New Roman"/>
          <w:sz w:val="22"/>
        </w:rPr>
        <w:t>That she is entitled to do</w:t>
      </w:r>
      <w:r w:rsidR="00D639F5" w:rsidRPr="00516883">
        <w:rPr>
          <w:rFonts w:cs="Times New Roman"/>
          <w:sz w:val="22"/>
        </w:rPr>
        <w:t xml:space="preserve"> so is shown by the impropriety </w:t>
      </w:r>
      <w:r w:rsidRPr="00516883">
        <w:rPr>
          <w:rFonts w:cs="Times New Roman"/>
          <w:sz w:val="22"/>
        </w:rPr>
        <w:t>of objecting to the soundness of her re</w:t>
      </w:r>
      <w:r w:rsidR="00D639F5" w:rsidRPr="00516883">
        <w:rPr>
          <w:rFonts w:cs="Times New Roman"/>
          <w:sz w:val="22"/>
        </w:rPr>
        <w:t xml:space="preserve">asoning as against the validity </w:t>
      </w:r>
      <w:r w:rsidRPr="00516883">
        <w:rPr>
          <w:rFonts w:cs="Times New Roman"/>
          <w:sz w:val="22"/>
        </w:rPr>
        <w:t>thereof.</w:t>
      </w:r>
      <w:r w:rsidR="00D639F5" w:rsidRPr="00516883">
        <w:rPr>
          <w:rFonts w:cs="Beljan-GreekwithMathPi"/>
          <w:sz w:val="22"/>
        </w:rPr>
        <w:t>)</w:t>
      </w:r>
      <w:r w:rsidRPr="00516883">
        <w:rPr>
          <w:rFonts w:cs="Beljan-GreekwithMathPi"/>
          <w:sz w:val="22"/>
        </w:rPr>
        <w:t xml:space="preserve"> </w:t>
      </w:r>
      <w:r w:rsidRPr="00516883">
        <w:rPr>
          <w:rFonts w:cs="Times New Roman"/>
          <w:sz w:val="22"/>
        </w:rPr>
        <w:t>Having reached Q, the reasoner is entitled to put forth “If P, then Q”</w:t>
      </w:r>
      <w:r w:rsidR="00D639F5" w:rsidRPr="00516883">
        <w:rPr>
          <w:rFonts w:cs="Times New Roman"/>
          <w:sz w:val="22"/>
        </w:rPr>
        <w:t xml:space="preserve"> </w:t>
      </w:r>
      <w:r w:rsidRPr="00516883">
        <w:rPr>
          <w:rFonts w:cs="Times New Roman"/>
          <w:sz w:val="22"/>
        </w:rPr>
        <w:t>no longer under the scope of P, and if no other s</w:t>
      </w:r>
      <w:r w:rsidR="00D639F5" w:rsidRPr="00516883">
        <w:rPr>
          <w:rFonts w:cs="Times New Roman"/>
          <w:sz w:val="22"/>
        </w:rPr>
        <w:t xml:space="preserve">uppositions are in </w:t>
      </w:r>
      <w:proofErr w:type="gramStart"/>
      <w:r w:rsidR="00D639F5" w:rsidRPr="00516883">
        <w:rPr>
          <w:rFonts w:cs="Times New Roman"/>
          <w:sz w:val="22"/>
        </w:rPr>
        <w:t>force</w:t>
      </w:r>
      <w:proofErr w:type="gramEnd"/>
      <w:r w:rsidR="00D639F5" w:rsidRPr="00516883">
        <w:rPr>
          <w:rFonts w:cs="Times New Roman"/>
          <w:sz w:val="22"/>
        </w:rPr>
        <w:t xml:space="preserve"> she is </w:t>
      </w:r>
      <w:r w:rsidRPr="00516883">
        <w:rPr>
          <w:rFonts w:cs="Times New Roman"/>
          <w:sz w:val="22"/>
        </w:rPr>
        <w:t>entitled to put forth that conditional assertorically.</w:t>
      </w:r>
      <w:r w:rsidR="00D639F5" w:rsidRPr="00516883">
        <w:rPr>
          <w:rFonts w:cs="Times New Roman"/>
          <w:sz w:val="22"/>
        </w:rPr>
        <w:t xml:space="preserve"> Ideally, with the aid of other </w:t>
      </w:r>
      <w:r w:rsidRPr="00516883">
        <w:rPr>
          <w:rFonts w:cs="Times New Roman"/>
          <w:sz w:val="22"/>
        </w:rPr>
        <w:t>propositions established or accepted the assertion j</w:t>
      </w:r>
      <w:r w:rsidR="00D639F5" w:rsidRPr="00516883">
        <w:rPr>
          <w:rFonts w:cs="Times New Roman"/>
          <w:sz w:val="22"/>
        </w:rPr>
        <w:t xml:space="preserve">ustified by this procedure will </w:t>
      </w:r>
      <w:r w:rsidRPr="00516883">
        <w:rPr>
          <w:rFonts w:cs="Times New Roman"/>
          <w:sz w:val="22"/>
        </w:rPr>
        <w:t>settle the question at issue</w:t>
      </w:r>
      <w:r w:rsidR="00704535">
        <w:rPr>
          <w:rFonts w:cs="Times New Roman"/>
          <w:sz w:val="22"/>
        </w:rPr>
        <w:t xml:space="preserve"> (2000, p. 378)</w:t>
      </w:r>
      <w:r w:rsidRPr="00516883">
        <w:rPr>
          <w:rFonts w:cs="Times New Roman"/>
          <w:sz w:val="22"/>
        </w:rPr>
        <w:t>.</w:t>
      </w:r>
    </w:p>
    <w:p w14:paraId="0A1AE397" w14:textId="77777777" w:rsidR="00616277" w:rsidRDefault="00616277" w:rsidP="00235817">
      <w:pPr>
        <w:spacing w:line="240" w:lineRule="auto"/>
        <w:rPr>
          <w:rFonts w:cs="Times New Roman"/>
          <w:szCs w:val="24"/>
        </w:rPr>
      </w:pPr>
    </w:p>
    <w:p w14:paraId="4499BF45" w14:textId="77777777" w:rsidR="00516883" w:rsidRDefault="00516883" w:rsidP="00235817">
      <w:pPr>
        <w:spacing w:line="240" w:lineRule="auto"/>
        <w:rPr>
          <w:rFonts w:cs="Times New Roman"/>
          <w:szCs w:val="24"/>
        </w:rPr>
      </w:pPr>
      <w:r>
        <w:rPr>
          <w:rFonts w:cs="Times New Roman"/>
          <w:szCs w:val="24"/>
        </w:rPr>
        <w:t xml:space="preserve">To suppose a proposition P, then, on this view, is to generate an entitlement to draw inferences </w:t>
      </w:r>
      <w:proofErr w:type="gramStart"/>
      <w:r>
        <w:rPr>
          <w:rFonts w:cs="Times New Roman"/>
          <w:szCs w:val="24"/>
        </w:rPr>
        <w:t>on the basis of</w:t>
      </w:r>
      <w:proofErr w:type="gramEnd"/>
      <w:r>
        <w:rPr>
          <w:rFonts w:cs="Times New Roman"/>
          <w:szCs w:val="24"/>
        </w:rPr>
        <w:t xml:space="preserve"> P</w:t>
      </w:r>
      <w:r w:rsidR="00A62ED6">
        <w:rPr>
          <w:rFonts w:cs="Times New Roman"/>
          <w:szCs w:val="24"/>
        </w:rPr>
        <w:t xml:space="preserve"> that, along with ‘</w:t>
      </w:r>
      <w:r w:rsidR="000D21E4">
        <w:rPr>
          <w:rFonts w:cs="Times New Roman"/>
          <w:szCs w:val="24"/>
        </w:rPr>
        <w:t>other proposition</w:t>
      </w:r>
      <w:r w:rsidR="00E64603">
        <w:rPr>
          <w:rFonts w:cs="Times New Roman"/>
          <w:szCs w:val="24"/>
        </w:rPr>
        <w:t>s</w:t>
      </w:r>
      <w:r w:rsidR="000D21E4">
        <w:rPr>
          <w:rFonts w:cs="Times New Roman"/>
          <w:szCs w:val="24"/>
        </w:rPr>
        <w:t xml:space="preserve"> </w:t>
      </w:r>
      <w:r w:rsidR="00A62ED6">
        <w:rPr>
          <w:rFonts w:cs="Times New Roman"/>
          <w:szCs w:val="24"/>
        </w:rPr>
        <w:t>already established or accepted’</w:t>
      </w:r>
      <w:r w:rsidR="000D21E4">
        <w:rPr>
          <w:rFonts w:cs="Times New Roman"/>
          <w:szCs w:val="24"/>
        </w:rPr>
        <w:t>, will help us arrive at a salient conclusion. Conversely, once we give uptake to the supposition</w:t>
      </w:r>
      <w:r w:rsidR="004C133D">
        <w:rPr>
          <w:rFonts w:cs="Times New Roman"/>
          <w:szCs w:val="24"/>
        </w:rPr>
        <w:t xml:space="preserve"> </w:t>
      </w:r>
      <w:r w:rsidR="00942738">
        <w:rPr>
          <w:rFonts w:cs="Times New Roman"/>
          <w:szCs w:val="24"/>
        </w:rPr>
        <w:t>(i.e.,</w:t>
      </w:r>
      <w:r w:rsidR="004C133D">
        <w:rPr>
          <w:rFonts w:cs="Times New Roman"/>
          <w:szCs w:val="24"/>
        </w:rPr>
        <w:t xml:space="preserve"> treat</w:t>
      </w:r>
      <w:r w:rsidR="00942738">
        <w:rPr>
          <w:rFonts w:cs="Times New Roman"/>
          <w:szCs w:val="24"/>
        </w:rPr>
        <w:t>ing</w:t>
      </w:r>
      <w:r w:rsidR="004C133D">
        <w:rPr>
          <w:rFonts w:cs="Times New Roman"/>
          <w:szCs w:val="24"/>
        </w:rPr>
        <w:t xml:space="preserve"> it as in effect for our linguistic context</w:t>
      </w:r>
      <w:r w:rsidR="00942738">
        <w:rPr>
          <w:rFonts w:cs="Times New Roman"/>
          <w:szCs w:val="24"/>
        </w:rPr>
        <w:t>)</w:t>
      </w:r>
      <w:r w:rsidR="000D21E4">
        <w:rPr>
          <w:rFonts w:cs="Times New Roman"/>
          <w:szCs w:val="24"/>
        </w:rPr>
        <w:t>, it is no longer appropriate to deny an entitlement to P. The latter is precisely what the supposition generates</w:t>
      </w:r>
      <w:r w:rsidR="006D2049">
        <w:rPr>
          <w:rFonts w:cs="Times New Roman"/>
          <w:szCs w:val="24"/>
        </w:rPr>
        <w:t xml:space="preserve"> for speaker and audience</w:t>
      </w:r>
      <w:r w:rsidR="004C133D">
        <w:rPr>
          <w:rFonts w:cs="Times New Roman"/>
          <w:szCs w:val="24"/>
        </w:rPr>
        <w:t xml:space="preserve"> (</w:t>
      </w:r>
      <w:r w:rsidR="00CB7287">
        <w:rPr>
          <w:rFonts w:cs="Times New Roman"/>
          <w:szCs w:val="24"/>
        </w:rPr>
        <w:t>an entitlement that</w:t>
      </w:r>
      <w:r w:rsidR="004C133D">
        <w:rPr>
          <w:rFonts w:cs="Times New Roman"/>
          <w:szCs w:val="24"/>
        </w:rPr>
        <w:t xml:space="preserve"> disappears when the supposition is no longer taken to be in effect).</w:t>
      </w:r>
    </w:p>
    <w:p w14:paraId="594B825F" w14:textId="263D0DB3" w:rsidR="00C85965" w:rsidRDefault="000D21E4" w:rsidP="00235817">
      <w:pPr>
        <w:spacing w:line="240" w:lineRule="auto"/>
        <w:rPr>
          <w:rFonts w:cs="Times New Roman"/>
          <w:szCs w:val="24"/>
        </w:rPr>
      </w:pPr>
      <w:r>
        <w:rPr>
          <w:rFonts w:cs="Times New Roman"/>
          <w:szCs w:val="24"/>
        </w:rPr>
        <w:tab/>
        <w:t xml:space="preserve">I want to extend </w:t>
      </w:r>
      <w:proofErr w:type="gramStart"/>
      <w:r>
        <w:rPr>
          <w:rFonts w:cs="Times New Roman"/>
          <w:szCs w:val="24"/>
        </w:rPr>
        <w:t>Green’</w:t>
      </w:r>
      <w:r w:rsidR="006D2049">
        <w:rPr>
          <w:rFonts w:cs="Times New Roman"/>
          <w:szCs w:val="24"/>
        </w:rPr>
        <w:t>s</w:t>
      </w:r>
      <w:proofErr w:type="gramEnd"/>
      <w:r w:rsidR="006D2049">
        <w:rPr>
          <w:rFonts w:cs="Times New Roman"/>
          <w:szCs w:val="24"/>
        </w:rPr>
        <w:t xml:space="preserve"> account </w:t>
      </w:r>
      <w:r>
        <w:rPr>
          <w:rFonts w:cs="Times New Roman"/>
          <w:szCs w:val="24"/>
        </w:rPr>
        <w:t>and subsume it under a larger class of speech act. Two n</w:t>
      </w:r>
      <w:r w:rsidR="00CB7287">
        <w:rPr>
          <w:rFonts w:cs="Times New Roman"/>
          <w:szCs w:val="24"/>
        </w:rPr>
        <w:t>otes are important</w:t>
      </w:r>
      <w:r w:rsidR="00344003">
        <w:rPr>
          <w:rFonts w:cs="Times New Roman"/>
          <w:szCs w:val="24"/>
        </w:rPr>
        <w:t xml:space="preserve">. First, the justification </w:t>
      </w:r>
      <w:proofErr w:type="gramStart"/>
      <w:r w:rsidR="00344003">
        <w:rPr>
          <w:rFonts w:cs="Times New Roman"/>
          <w:szCs w:val="24"/>
        </w:rPr>
        <w:t>Green</w:t>
      </w:r>
      <w:proofErr w:type="gramEnd"/>
      <w:r w:rsidR="00344003">
        <w:rPr>
          <w:rFonts w:cs="Times New Roman"/>
          <w:szCs w:val="24"/>
        </w:rPr>
        <w:t xml:space="preserve"> links to suppositions is that of conversational or argumentative utility: the supposition is</w:t>
      </w:r>
      <w:r w:rsidR="001132E5">
        <w:rPr>
          <w:rFonts w:cs="Times New Roman"/>
          <w:szCs w:val="24"/>
        </w:rPr>
        <w:t xml:space="preserve"> taken to be</w:t>
      </w:r>
      <w:r w:rsidR="00344003">
        <w:rPr>
          <w:rFonts w:cs="Times New Roman"/>
          <w:szCs w:val="24"/>
        </w:rPr>
        <w:t xml:space="preserve"> justified</w:t>
      </w:r>
      <w:r w:rsidR="00605743">
        <w:rPr>
          <w:rFonts w:cs="Times New Roman"/>
          <w:szCs w:val="24"/>
        </w:rPr>
        <w:t xml:space="preserve"> or accepted </w:t>
      </w:r>
      <w:r w:rsidR="00344003">
        <w:rPr>
          <w:rFonts w:cs="Times New Roman"/>
          <w:szCs w:val="24"/>
        </w:rPr>
        <w:t>because it will help the conversation or argument go better. But what if the end appealed to</w:t>
      </w:r>
      <w:r w:rsidR="00967BC5">
        <w:rPr>
          <w:rFonts w:cs="Times New Roman"/>
          <w:szCs w:val="24"/>
        </w:rPr>
        <w:t xml:space="preserve"> by the speaker and shared</w:t>
      </w:r>
      <w:r w:rsidR="00344003">
        <w:rPr>
          <w:rFonts w:cs="Times New Roman"/>
          <w:szCs w:val="24"/>
        </w:rPr>
        <w:t xml:space="preserve"> by the audience</w:t>
      </w:r>
      <w:r w:rsidR="00967BC5">
        <w:rPr>
          <w:rFonts w:cs="Times New Roman"/>
          <w:szCs w:val="24"/>
        </w:rPr>
        <w:t xml:space="preserve"> were different</w:t>
      </w:r>
      <w:r w:rsidR="00344003">
        <w:rPr>
          <w:rFonts w:cs="Times New Roman"/>
          <w:szCs w:val="24"/>
        </w:rPr>
        <w:t>? Consider</w:t>
      </w:r>
      <w:r w:rsidR="00A62ED6">
        <w:rPr>
          <w:rFonts w:cs="Times New Roman"/>
          <w:szCs w:val="24"/>
        </w:rPr>
        <w:t>, in this light,</w:t>
      </w:r>
      <w:r w:rsidR="00344003">
        <w:rPr>
          <w:rFonts w:cs="Times New Roman"/>
          <w:szCs w:val="24"/>
        </w:rPr>
        <w:t xml:space="preserve"> the following example. I am playing a g</w:t>
      </w:r>
      <w:r w:rsidR="0094015B">
        <w:rPr>
          <w:rFonts w:cs="Times New Roman"/>
          <w:szCs w:val="24"/>
        </w:rPr>
        <w:t>ame of socc</w:t>
      </w:r>
      <w:r w:rsidR="00C85965">
        <w:rPr>
          <w:rFonts w:cs="Times New Roman"/>
          <w:szCs w:val="24"/>
        </w:rPr>
        <w:t xml:space="preserve">er with friends in a field, and we need to pick something to count as goal posts. </w:t>
      </w:r>
      <w:proofErr w:type="gramStart"/>
      <w:r w:rsidR="00C85965">
        <w:rPr>
          <w:rFonts w:cs="Times New Roman"/>
          <w:szCs w:val="24"/>
        </w:rPr>
        <w:t>So</w:t>
      </w:r>
      <w:proofErr w:type="gramEnd"/>
      <w:r w:rsidR="00C85965">
        <w:rPr>
          <w:rFonts w:cs="Times New Roman"/>
          <w:szCs w:val="24"/>
        </w:rPr>
        <w:t xml:space="preserve"> I say:</w:t>
      </w:r>
    </w:p>
    <w:p w14:paraId="0F43639F" w14:textId="77777777" w:rsidR="00CD7109" w:rsidRDefault="00CD7109" w:rsidP="00235817">
      <w:pPr>
        <w:spacing w:line="240" w:lineRule="auto"/>
        <w:rPr>
          <w:rFonts w:cs="Times New Roman"/>
          <w:szCs w:val="24"/>
        </w:rPr>
      </w:pPr>
    </w:p>
    <w:p w14:paraId="40D55B37" w14:textId="77777777" w:rsidR="00C85965" w:rsidRPr="0041794F" w:rsidRDefault="0041794F" w:rsidP="00235817">
      <w:pPr>
        <w:spacing w:line="240" w:lineRule="auto"/>
        <w:jc w:val="center"/>
        <w:rPr>
          <w:rFonts w:cs="Times New Roman"/>
          <w:szCs w:val="24"/>
        </w:rPr>
      </w:pPr>
      <w:r>
        <w:rPr>
          <w:rFonts w:cs="Times New Roman"/>
          <w:szCs w:val="24"/>
        </w:rPr>
        <w:t xml:space="preserve">(3) </w:t>
      </w:r>
      <w:r w:rsidR="00C85965" w:rsidRPr="0041794F">
        <w:rPr>
          <w:rFonts w:cs="Times New Roman"/>
          <w:szCs w:val="24"/>
        </w:rPr>
        <w:t>Let’s have those trees count as goal posts.</w:t>
      </w:r>
    </w:p>
    <w:p w14:paraId="54192B9D" w14:textId="77777777" w:rsidR="00C85965" w:rsidRDefault="00C85965" w:rsidP="00235817">
      <w:pPr>
        <w:spacing w:line="240" w:lineRule="auto"/>
        <w:rPr>
          <w:rFonts w:cs="Times New Roman"/>
          <w:szCs w:val="24"/>
        </w:rPr>
      </w:pPr>
    </w:p>
    <w:p w14:paraId="64AB0FAF" w14:textId="77777777" w:rsidR="00967BC5" w:rsidRDefault="00967BC5" w:rsidP="00235817">
      <w:pPr>
        <w:spacing w:line="240" w:lineRule="auto"/>
        <w:rPr>
          <w:rFonts w:cs="Times New Roman"/>
          <w:szCs w:val="24"/>
        </w:rPr>
      </w:pPr>
      <w:r>
        <w:rPr>
          <w:rFonts w:cs="Times New Roman"/>
          <w:szCs w:val="24"/>
        </w:rPr>
        <w:t xml:space="preserve">Suppose my friends agree. What </w:t>
      </w:r>
      <w:r w:rsidR="00F13519">
        <w:rPr>
          <w:rFonts w:cs="Times New Roman"/>
          <w:szCs w:val="24"/>
        </w:rPr>
        <w:t>have I</w:t>
      </w:r>
      <w:r>
        <w:rPr>
          <w:rFonts w:cs="Times New Roman"/>
          <w:szCs w:val="24"/>
        </w:rPr>
        <w:t xml:space="preserve"> done via</w:t>
      </w:r>
      <w:r w:rsidR="001132E5">
        <w:rPr>
          <w:rFonts w:cs="Times New Roman"/>
          <w:szCs w:val="24"/>
        </w:rPr>
        <w:t xml:space="preserve"> the speech act I perform in</w:t>
      </w:r>
      <w:r w:rsidR="00D25EAC">
        <w:rPr>
          <w:rFonts w:cs="Times New Roman"/>
          <w:szCs w:val="24"/>
        </w:rPr>
        <w:t xml:space="preserve"> (3)</w:t>
      </w:r>
      <w:r>
        <w:rPr>
          <w:rFonts w:cs="Times New Roman"/>
          <w:szCs w:val="24"/>
        </w:rPr>
        <w:t xml:space="preserve">? </w:t>
      </w:r>
      <w:r w:rsidR="00CB00E9">
        <w:rPr>
          <w:rFonts w:cs="Times New Roman"/>
          <w:szCs w:val="24"/>
        </w:rPr>
        <w:t>In part,</w:t>
      </w:r>
      <w:r w:rsidR="00FF5FEC">
        <w:rPr>
          <w:rFonts w:cs="Times New Roman"/>
          <w:szCs w:val="24"/>
        </w:rPr>
        <w:t xml:space="preserve"> </w:t>
      </w:r>
      <w:r>
        <w:rPr>
          <w:rFonts w:cs="Times New Roman"/>
          <w:szCs w:val="24"/>
        </w:rPr>
        <w:t>I have generated a certain inferential entitlement: I and my friends are now all entitled to treat the relevant trees as goal posts. In turn, this ent</w:t>
      </w:r>
      <w:r w:rsidR="00F13519">
        <w:rPr>
          <w:rFonts w:cs="Times New Roman"/>
          <w:szCs w:val="24"/>
        </w:rPr>
        <w:t>itlement gives rise to all sorts</w:t>
      </w:r>
      <w:r>
        <w:rPr>
          <w:rFonts w:cs="Times New Roman"/>
          <w:szCs w:val="24"/>
        </w:rPr>
        <w:t xml:space="preserve"> of novel linguistic moves</w:t>
      </w:r>
      <w:r w:rsidR="00FF5FEC">
        <w:rPr>
          <w:rFonts w:cs="Times New Roman"/>
          <w:szCs w:val="24"/>
        </w:rPr>
        <w:t xml:space="preserve"> and </w:t>
      </w:r>
      <w:r w:rsidR="00FF5FEC">
        <w:rPr>
          <w:rFonts w:cs="Times New Roman"/>
          <w:szCs w:val="24"/>
        </w:rPr>
        <w:lastRenderedPageBreak/>
        <w:t>behavior</w:t>
      </w:r>
      <w:r>
        <w:rPr>
          <w:rFonts w:cs="Times New Roman"/>
          <w:szCs w:val="24"/>
        </w:rPr>
        <w:t>. Fo</w:t>
      </w:r>
      <w:r w:rsidR="00FF5FEC">
        <w:rPr>
          <w:rFonts w:cs="Times New Roman"/>
          <w:szCs w:val="24"/>
        </w:rPr>
        <w:t>r example, we can now determine</w:t>
      </w:r>
      <w:r w:rsidR="001132E5">
        <w:rPr>
          <w:rFonts w:cs="Times New Roman"/>
          <w:szCs w:val="24"/>
        </w:rPr>
        <w:t xml:space="preserve"> when someone has scored, we can assert</w:t>
      </w:r>
      <w:r>
        <w:rPr>
          <w:rFonts w:cs="Times New Roman"/>
          <w:szCs w:val="24"/>
        </w:rPr>
        <w:t xml:space="preserve"> wh</w:t>
      </w:r>
      <w:r w:rsidR="001132E5">
        <w:rPr>
          <w:rFonts w:cs="Times New Roman"/>
          <w:szCs w:val="24"/>
        </w:rPr>
        <w:t>o is winning or losing the game, players can demand the ball from one another</w:t>
      </w:r>
      <w:r w:rsidR="00FF5FEC">
        <w:rPr>
          <w:rFonts w:cs="Times New Roman"/>
          <w:szCs w:val="24"/>
        </w:rPr>
        <w:t xml:space="preserve">, etc. </w:t>
      </w:r>
      <w:r w:rsidR="004879A7">
        <w:rPr>
          <w:rFonts w:cs="Times New Roman"/>
          <w:szCs w:val="24"/>
        </w:rPr>
        <w:t>But n</w:t>
      </w:r>
      <w:r w:rsidR="00FF5FEC">
        <w:rPr>
          <w:rFonts w:cs="Times New Roman"/>
          <w:szCs w:val="24"/>
        </w:rPr>
        <w:t xml:space="preserve">ot only </w:t>
      </w:r>
      <w:r w:rsidR="009F6748">
        <w:rPr>
          <w:rFonts w:cs="Times New Roman"/>
          <w:szCs w:val="24"/>
        </w:rPr>
        <w:t xml:space="preserve">does uptake for (3) generate </w:t>
      </w:r>
      <w:r w:rsidR="00FF5FEC">
        <w:rPr>
          <w:rFonts w:cs="Times New Roman"/>
          <w:szCs w:val="24"/>
        </w:rPr>
        <w:t>this</w:t>
      </w:r>
      <w:r w:rsidR="001132E5">
        <w:rPr>
          <w:rFonts w:cs="Times New Roman"/>
          <w:szCs w:val="24"/>
        </w:rPr>
        <w:t xml:space="preserve"> inferenti</w:t>
      </w:r>
      <w:r w:rsidR="009F6748">
        <w:rPr>
          <w:rFonts w:cs="Times New Roman"/>
          <w:szCs w:val="24"/>
        </w:rPr>
        <w:t xml:space="preserve">al </w:t>
      </w:r>
      <w:r w:rsidR="00AC5604">
        <w:rPr>
          <w:rFonts w:cs="Times New Roman"/>
          <w:szCs w:val="24"/>
        </w:rPr>
        <w:t>entitlement</w:t>
      </w:r>
      <w:r w:rsidR="001132E5">
        <w:rPr>
          <w:rFonts w:cs="Times New Roman"/>
          <w:szCs w:val="24"/>
        </w:rPr>
        <w:t>,</w:t>
      </w:r>
      <w:r w:rsidR="00FF5FEC">
        <w:rPr>
          <w:rFonts w:cs="Times New Roman"/>
          <w:szCs w:val="24"/>
        </w:rPr>
        <w:t xml:space="preserve"> </w:t>
      </w:r>
      <w:r w:rsidR="004879A7">
        <w:rPr>
          <w:rFonts w:cs="Times New Roman"/>
          <w:szCs w:val="24"/>
        </w:rPr>
        <w:t xml:space="preserve">it is now the case that </w:t>
      </w:r>
      <w:r w:rsidR="001132E5">
        <w:rPr>
          <w:rFonts w:cs="Times New Roman"/>
          <w:szCs w:val="24"/>
        </w:rPr>
        <w:t xml:space="preserve">no one who is a party to the game </w:t>
      </w:r>
      <w:r w:rsidR="009F6748">
        <w:rPr>
          <w:rFonts w:cs="Times New Roman"/>
          <w:szCs w:val="24"/>
        </w:rPr>
        <w:t>can</w:t>
      </w:r>
      <w:r w:rsidR="00AC5604">
        <w:rPr>
          <w:rFonts w:cs="Times New Roman"/>
          <w:szCs w:val="24"/>
        </w:rPr>
        <w:t xml:space="preserve"> </w:t>
      </w:r>
      <w:r w:rsidR="009F6748">
        <w:rPr>
          <w:rFonts w:cs="Times New Roman"/>
          <w:szCs w:val="24"/>
        </w:rPr>
        <w:t>appropriately</w:t>
      </w:r>
      <w:r w:rsidR="001132E5">
        <w:rPr>
          <w:rFonts w:cs="Times New Roman"/>
          <w:szCs w:val="24"/>
        </w:rPr>
        <w:t xml:space="preserve"> act as though the trees are not goal posts. If someone tries to do so, they will be appropriately subject to censure</w:t>
      </w:r>
      <w:r w:rsidR="00FF5FEC">
        <w:rPr>
          <w:rFonts w:cs="Times New Roman"/>
          <w:szCs w:val="24"/>
        </w:rPr>
        <w:t xml:space="preserve"> – criticized for failing to abide by what is now the case</w:t>
      </w:r>
      <w:r w:rsidR="001132E5">
        <w:rPr>
          <w:rFonts w:cs="Times New Roman"/>
          <w:szCs w:val="24"/>
        </w:rPr>
        <w:t xml:space="preserve">. </w:t>
      </w:r>
      <w:r w:rsidR="00FF5FEC">
        <w:rPr>
          <w:rFonts w:cs="Times New Roman"/>
          <w:szCs w:val="24"/>
        </w:rPr>
        <w:t>(3) is</w:t>
      </w:r>
      <w:r w:rsidR="001132E5">
        <w:rPr>
          <w:rFonts w:cs="Times New Roman"/>
          <w:szCs w:val="24"/>
        </w:rPr>
        <w:t xml:space="preserve"> </w:t>
      </w:r>
      <w:r w:rsidR="006264D1">
        <w:rPr>
          <w:rFonts w:cs="Times New Roman"/>
          <w:szCs w:val="24"/>
        </w:rPr>
        <w:t xml:space="preserve">also </w:t>
      </w:r>
      <w:r w:rsidR="001132E5">
        <w:rPr>
          <w:rFonts w:cs="Times New Roman"/>
          <w:szCs w:val="24"/>
        </w:rPr>
        <w:t xml:space="preserve">justified </w:t>
      </w:r>
      <w:r w:rsidR="00FF5FEC">
        <w:rPr>
          <w:rFonts w:cs="Times New Roman"/>
          <w:szCs w:val="24"/>
        </w:rPr>
        <w:t xml:space="preserve">– even though I do not make this justification explicit – </w:t>
      </w:r>
      <w:proofErr w:type="gramStart"/>
      <w:r w:rsidR="001132E5">
        <w:rPr>
          <w:rFonts w:cs="Times New Roman"/>
          <w:szCs w:val="24"/>
        </w:rPr>
        <w:t>on the basis of</w:t>
      </w:r>
      <w:proofErr w:type="gramEnd"/>
      <w:r w:rsidR="001132E5">
        <w:rPr>
          <w:rFonts w:cs="Times New Roman"/>
          <w:szCs w:val="24"/>
        </w:rPr>
        <w:t xml:space="preserve"> its usefulness for promoting</w:t>
      </w:r>
      <w:r w:rsidR="00FF5FEC">
        <w:rPr>
          <w:rFonts w:cs="Times New Roman"/>
          <w:szCs w:val="24"/>
        </w:rPr>
        <w:t xml:space="preserve"> what I take to be</w:t>
      </w:r>
      <w:r w:rsidR="001132E5">
        <w:rPr>
          <w:rFonts w:cs="Times New Roman"/>
          <w:szCs w:val="24"/>
        </w:rPr>
        <w:t xml:space="preserve"> </w:t>
      </w:r>
      <w:r w:rsidR="009F6748">
        <w:rPr>
          <w:rFonts w:cs="Times New Roman"/>
          <w:szCs w:val="24"/>
        </w:rPr>
        <w:t>my</w:t>
      </w:r>
      <w:r w:rsidR="001132E5">
        <w:rPr>
          <w:rFonts w:cs="Times New Roman"/>
          <w:szCs w:val="24"/>
        </w:rPr>
        <w:t xml:space="preserve"> shared ends </w:t>
      </w:r>
      <w:r w:rsidR="009F6748">
        <w:rPr>
          <w:rFonts w:cs="Times New Roman"/>
          <w:szCs w:val="24"/>
        </w:rPr>
        <w:t>with my</w:t>
      </w:r>
      <w:r w:rsidR="001132E5">
        <w:rPr>
          <w:rFonts w:cs="Times New Roman"/>
          <w:szCs w:val="24"/>
        </w:rPr>
        <w:t xml:space="preserve"> audience.</w:t>
      </w:r>
      <w:r w:rsidR="004879A7">
        <w:rPr>
          <w:rFonts w:cs="Times New Roman"/>
          <w:szCs w:val="24"/>
        </w:rPr>
        <w:t xml:space="preserve"> G</w:t>
      </w:r>
      <w:r w:rsidR="00F13519">
        <w:rPr>
          <w:rFonts w:cs="Times New Roman"/>
          <w:szCs w:val="24"/>
        </w:rPr>
        <w:t>iven the context</w:t>
      </w:r>
      <w:r w:rsidR="004879A7">
        <w:rPr>
          <w:rFonts w:cs="Times New Roman"/>
          <w:szCs w:val="24"/>
        </w:rPr>
        <w:t xml:space="preserve"> for</w:t>
      </w:r>
      <w:r w:rsidR="00FF5FEC">
        <w:rPr>
          <w:rFonts w:cs="Times New Roman"/>
          <w:szCs w:val="24"/>
        </w:rPr>
        <w:t xml:space="preserve"> this case, this shared</w:t>
      </w:r>
      <w:r w:rsidR="00F13519">
        <w:rPr>
          <w:rFonts w:cs="Times New Roman"/>
          <w:szCs w:val="24"/>
        </w:rPr>
        <w:t xml:space="preserve"> end is not </w:t>
      </w:r>
      <w:r w:rsidR="00FF5FEC">
        <w:rPr>
          <w:rFonts w:cs="Times New Roman"/>
          <w:szCs w:val="24"/>
        </w:rPr>
        <w:t xml:space="preserve">one of </w:t>
      </w:r>
      <w:r w:rsidR="00F13519">
        <w:rPr>
          <w:rFonts w:cs="Times New Roman"/>
          <w:szCs w:val="24"/>
        </w:rPr>
        <w:t>conversational or argumentative utility</w:t>
      </w:r>
      <w:r w:rsidR="00FF5FEC">
        <w:rPr>
          <w:rFonts w:cs="Times New Roman"/>
          <w:szCs w:val="24"/>
        </w:rPr>
        <w:t xml:space="preserve">; the shared end is </w:t>
      </w:r>
      <w:r w:rsidR="00F13519">
        <w:rPr>
          <w:rFonts w:cs="Times New Roman"/>
          <w:szCs w:val="24"/>
        </w:rPr>
        <w:t>our having a good, fun, challenging, etc., game.</w:t>
      </w:r>
    </w:p>
    <w:p w14:paraId="11858AC3" w14:textId="27518B34" w:rsidR="00601BAA" w:rsidRDefault="00F13519" w:rsidP="00235817">
      <w:pPr>
        <w:spacing w:line="240" w:lineRule="auto"/>
        <w:rPr>
          <w:rFonts w:cs="Times New Roman"/>
          <w:szCs w:val="24"/>
        </w:rPr>
      </w:pPr>
      <w:r>
        <w:rPr>
          <w:rFonts w:cs="Times New Roman"/>
          <w:szCs w:val="24"/>
        </w:rPr>
        <w:tab/>
        <w:t xml:space="preserve">The speech act I carry out in (3) is therefore a close cousin of </w:t>
      </w:r>
      <w:proofErr w:type="gramStart"/>
      <w:r>
        <w:rPr>
          <w:rFonts w:cs="Times New Roman"/>
          <w:szCs w:val="24"/>
        </w:rPr>
        <w:t>Green’s</w:t>
      </w:r>
      <w:proofErr w:type="gramEnd"/>
      <w:r>
        <w:rPr>
          <w:rFonts w:cs="Times New Roman"/>
          <w:szCs w:val="24"/>
        </w:rPr>
        <w:t xml:space="preserve"> supposition: it generates an inferential entitlement, a license to censure those who </w:t>
      </w:r>
      <w:r w:rsidR="00A73E1E">
        <w:rPr>
          <w:rFonts w:cs="Times New Roman"/>
          <w:szCs w:val="24"/>
        </w:rPr>
        <w:t>give uptake</w:t>
      </w:r>
      <w:r w:rsidR="00FF5FEC">
        <w:rPr>
          <w:rFonts w:cs="Times New Roman"/>
          <w:szCs w:val="24"/>
        </w:rPr>
        <w:t xml:space="preserve"> to the act </w:t>
      </w:r>
      <w:r w:rsidR="00A73E1E">
        <w:rPr>
          <w:rFonts w:cs="Times New Roman"/>
          <w:szCs w:val="24"/>
        </w:rPr>
        <w:t xml:space="preserve">but </w:t>
      </w:r>
      <w:r w:rsidR="00FF5FEC">
        <w:rPr>
          <w:rFonts w:cs="Times New Roman"/>
          <w:szCs w:val="24"/>
        </w:rPr>
        <w:t>refuse to grant the</w:t>
      </w:r>
      <w:r w:rsidR="00A73E1E">
        <w:rPr>
          <w:rFonts w:cs="Times New Roman"/>
          <w:szCs w:val="24"/>
        </w:rPr>
        <w:t xml:space="preserve"> entitlement, and </w:t>
      </w:r>
      <w:r w:rsidR="00551076">
        <w:rPr>
          <w:rFonts w:cs="Times New Roman"/>
          <w:szCs w:val="24"/>
        </w:rPr>
        <w:t xml:space="preserve">it </w:t>
      </w:r>
      <w:r>
        <w:rPr>
          <w:rFonts w:cs="Times New Roman"/>
          <w:szCs w:val="24"/>
        </w:rPr>
        <w:t>is taken to be justified on the basis of whether it serves the shared ends</w:t>
      </w:r>
      <w:r w:rsidR="00FF5FEC">
        <w:rPr>
          <w:rFonts w:cs="Times New Roman"/>
          <w:szCs w:val="24"/>
        </w:rPr>
        <w:t xml:space="preserve"> of speaker and audience. My view</w:t>
      </w:r>
      <w:r>
        <w:rPr>
          <w:rFonts w:cs="Times New Roman"/>
          <w:szCs w:val="24"/>
        </w:rPr>
        <w:t xml:space="preserve"> is that it is this general structure that characterizes the speech act of stipulation, of which both</w:t>
      </w:r>
      <w:r w:rsidR="00FF5FEC">
        <w:rPr>
          <w:rFonts w:cs="Times New Roman"/>
          <w:szCs w:val="24"/>
        </w:rPr>
        <w:t xml:space="preserve"> </w:t>
      </w:r>
      <w:proofErr w:type="gramStart"/>
      <w:r w:rsidR="00FF5FEC">
        <w:rPr>
          <w:rFonts w:cs="Times New Roman"/>
          <w:szCs w:val="24"/>
        </w:rPr>
        <w:t>Green’s</w:t>
      </w:r>
      <w:proofErr w:type="gramEnd"/>
      <w:r w:rsidR="00FF5FEC">
        <w:rPr>
          <w:rFonts w:cs="Times New Roman"/>
          <w:szCs w:val="24"/>
        </w:rPr>
        <w:t xml:space="preserve"> supposition and (3) represent</w:t>
      </w:r>
      <w:r>
        <w:rPr>
          <w:rFonts w:cs="Times New Roman"/>
          <w:szCs w:val="24"/>
        </w:rPr>
        <w:t xml:space="preserve"> subsets.</w:t>
      </w:r>
      <w:r w:rsidR="00601BAA">
        <w:rPr>
          <w:rFonts w:cs="Times New Roman"/>
          <w:szCs w:val="24"/>
        </w:rPr>
        <w:t xml:space="preserve"> </w:t>
      </w:r>
      <w:r w:rsidR="00FF5FEC">
        <w:rPr>
          <w:rFonts w:cs="Times New Roman"/>
          <w:szCs w:val="24"/>
        </w:rPr>
        <w:t>Consider, in this light, that we could</w:t>
      </w:r>
      <w:r w:rsidR="00601BAA">
        <w:rPr>
          <w:rFonts w:cs="Times New Roman"/>
          <w:szCs w:val="24"/>
        </w:rPr>
        <w:t xml:space="preserve"> e</w:t>
      </w:r>
      <w:r w:rsidR="005C1092">
        <w:rPr>
          <w:rFonts w:cs="Times New Roman"/>
          <w:szCs w:val="24"/>
        </w:rPr>
        <w:t>asily re-phrase (3) as follows:</w:t>
      </w:r>
    </w:p>
    <w:p w14:paraId="7E560575" w14:textId="77777777" w:rsidR="00CD7109" w:rsidRDefault="00CD7109" w:rsidP="00235817">
      <w:pPr>
        <w:spacing w:line="240" w:lineRule="auto"/>
        <w:rPr>
          <w:rFonts w:cs="Times New Roman"/>
          <w:szCs w:val="24"/>
        </w:rPr>
      </w:pPr>
    </w:p>
    <w:p w14:paraId="4B291AAE" w14:textId="77777777" w:rsidR="00601BAA" w:rsidRDefault="00601BAA" w:rsidP="00235817">
      <w:pPr>
        <w:spacing w:line="240" w:lineRule="auto"/>
        <w:jc w:val="center"/>
        <w:rPr>
          <w:rFonts w:cs="Times New Roman"/>
          <w:szCs w:val="24"/>
        </w:rPr>
      </w:pPr>
      <w:r>
        <w:rPr>
          <w:rFonts w:cs="Times New Roman"/>
          <w:szCs w:val="24"/>
        </w:rPr>
        <w:t>(3’) Let’s stipulate that those trees count as goal posts.</w:t>
      </w:r>
    </w:p>
    <w:p w14:paraId="02F155C3" w14:textId="77777777" w:rsidR="00601BAA" w:rsidRDefault="00601BAA" w:rsidP="00235817">
      <w:pPr>
        <w:spacing w:line="240" w:lineRule="auto"/>
        <w:rPr>
          <w:rFonts w:cs="Times New Roman"/>
          <w:szCs w:val="24"/>
        </w:rPr>
      </w:pPr>
    </w:p>
    <w:p w14:paraId="7F73D76D" w14:textId="77777777" w:rsidR="005D6BD0" w:rsidRDefault="00FF5FEC" w:rsidP="00235817">
      <w:pPr>
        <w:spacing w:line="240" w:lineRule="auto"/>
        <w:rPr>
          <w:rFonts w:cs="Times New Roman"/>
          <w:szCs w:val="24"/>
        </w:rPr>
      </w:pPr>
      <w:r>
        <w:rPr>
          <w:rFonts w:cs="Times New Roman"/>
          <w:szCs w:val="24"/>
        </w:rPr>
        <w:t>Now, f</w:t>
      </w:r>
      <w:r w:rsidR="00601BAA">
        <w:rPr>
          <w:rFonts w:cs="Times New Roman"/>
          <w:szCs w:val="24"/>
        </w:rPr>
        <w:t xml:space="preserve">ollowing many other speech act theorists, I take surface grammar and ordinary language to be a highly defeasible guide to determining what kind of speech act </w:t>
      </w:r>
      <w:r w:rsidR="00D25EAC">
        <w:rPr>
          <w:rFonts w:cs="Times New Roman"/>
          <w:szCs w:val="24"/>
        </w:rPr>
        <w:t>is</w:t>
      </w:r>
      <w:r w:rsidR="00601BAA">
        <w:rPr>
          <w:rFonts w:cs="Times New Roman"/>
          <w:szCs w:val="24"/>
        </w:rPr>
        <w:t xml:space="preserve"> at stake </w:t>
      </w:r>
      <w:proofErr w:type="gramStart"/>
      <w:r w:rsidR="00601BAA">
        <w:rPr>
          <w:rFonts w:cs="Times New Roman"/>
          <w:szCs w:val="24"/>
        </w:rPr>
        <w:t>in a given</w:t>
      </w:r>
      <w:proofErr w:type="gramEnd"/>
      <w:r w:rsidR="00601BAA">
        <w:rPr>
          <w:rFonts w:cs="Times New Roman"/>
          <w:szCs w:val="24"/>
        </w:rPr>
        <w:t xml:space="preserve"> context. Whether or not the word ‘stipulate’ appears in an utterance, then, is hardly a dispositive indication of its status as a stipulative speech act. But I include this language in (3’) to help make the connections I am interested in more vivid.</w:t>
      </w:r>
    </w:p>
    <w:p w14:paraId="1A1C7CA5" w14:textId="451C42DA" w:rsidR="001132E5" w:rsidRDefault="00601BAA" w:rsidP="00235817">
      <w:pPr>
        <w:spacing w:line="240" w:lineRule="auto"/>
        <w:rPr>
          <w:rFonts w:cs="Times New Roman"/>
          <w:szCs w:val="24"/>
        </w:rPr>
      </w:pPr>
      <w:r>
        <w:rPr>
          <w:rFonts w:cs="Times New Roman"/>
          <w:szCs w:val="24"/>
        </w:rPr>
        <w:tab/>
        <w:t>Green’s s</w:t>
      </w:r>
      <w:r w:rsidR="00FF5FEC">
        <w:rPr>
          <w:rFonts w:cs="Times New Roman"/>
          <w:szCs w:val="24"/>
        </w:rPr>
        <w:t xml:space="preserve">uppositions, </w:t>
      </w:r>
      <w:r>
        <w:rPr>
          <w:rFonts w:cs="Times New Roman"/>
          <w:szCs w:val="24"/>
        </w:rPr>
        <w:t>(3)</w:t>
      </w:r>
      <w:r w:rsidR="00FF5FEC">
        <w:rPr>
          <w:rFonts w:cs="Times New Roman"/>
          <w:szCs w:val="24"/>
        </w:rPr>
        <w:t>,</w:t>
      </w:r>
      <w:r>
        <w:rPr>
          <w:rFonts w:cs="Times New Roman"/>
          <w:szCs w:val="24"/>
        </w:rPr>
        <w:t xml:space="preserve"> and (3’) are </w:t>
      </w:r>
      <w:r w:rsidR="00D72E8B">
        <w:rPr>
          <w:rFonts w:cs="Times New Roman"/>
          <w:szCs w:val="24"/>
        </w:rPr>
        <w:t xml:space="preserve">therefore </w:t>
      </w:r>
      <w:r w:rsidR="009F6748">
        <w:rPr>
          <w:rFonts w:cs="Times New Roman"/>
          <w:szCs w:val="24"/>
        </w:rPr>
        <w:t xml:space="preserve">all examples </w:t>
      </w:r>
      <w:r>
        <w:rPr>
          <w:rFonts w:cs="Times New Roman"/>
          <w:szCs w:val="24"/>
        </w:rPr>
        <w:t xml:space="preserve">of </w:t>
      </w:r>
      <w:r w:rsidR="009F6748">
        <w:rPr>
          <w:rFonts w:cs="Times New Roman"/>
          <w:szCs w:val="24"/>
        </w:rPr>
        <w:t xml:space="preserve">the </w:t>
      </w:r>
      <w:r w:rsidR="00E92A97">
        <w:rPr>
          <w:rFonts w:cs="Times New Roman"/>
          <w:szCs w:val="24"/>
        </w:rPr>
        <w:t xml:space="preserve">class of speech act I </w:t>
      </w:r>
      <w:r w:rsidR="00BB07B8">
        <w:rPr>
          <w:rFonts w:cs="Times New Roman"/>
          <w:szCs w:val="24"/>
        </w:rPr>
        <w:t>call</w:t>
      </w:r>
      <w:r w:rsidR="00E92A97">
        <w:rPr>
          <w:rFonts w:cs="Times New Roman"/>
          <w:szCs w:val="24"/>
        </w:rPr>
        <w:t xml:space="preserve"> ‘stipulations’ or ‘stipulative </w:t>
      </w:r>
      <w:proofErr w:type="gramStart"/>
      <w:r w:rsidR="00E92A97">
        <w:rPr>
          <w:rFonts w:cs="Times New Roman"/>
          <w:szCs w:val="24"/>
        </w:rPr>
        <w:t>acts’</w:t>
      </w:r>
      <w:proofErr w:type="gramEnd"/>
      <w:r w:rsidR="004E4D58">
        <w:rPr>
          <w:rFonts w:cs="Times New Roman"/>
          <w:szCs w:val="24"/>
        </w:rPr>
        <w:t>. Sti</w:t>
      </w:r>
      <w:r w:rsidR="00E92A97">
        <w:rPr>
          <w:rFonts w:cs="Times New Roman"/>
          <w:szCs w:val="24"/>
        </w:rPr>
        <w:t xml:space="preserve">pulations in my sense </w:t>
      </w:r>
      <w:r>
        <w:rPr>
          <w:rFonts w:cs="Times New Roman"/>
          <w:szCs w:val="24"/>
        </w:rPr>
        <w:t>allow for variability in both the content stipulated and the end speakers appeal t</w:t>
      </w:r>
      <w:r w:rsidR="00E92A97">
        <w:rPr>
          <w:rFonts w:cs="Times New Roman"/>
          <w:szCs w:val="24"/>
        </w:rPr>
        <w:t xml:space="preserve">o </w:t>
      </w:r>
      <w:proofErr w:type="gramStart"/>
      <w:r w:rsidR="00E92A97">
        <w:rPr>
          <w:rFonts w:cs="Times New Roman"/>
          <w:szCs w:val="24"/>
        </w:rPr>
        <w:t>in order to</w:t>
      </w:r>
      <w:proofErr w:type="gramEnd"/>
      <w:r w:rsidR="00E92A97">
        <w:rPr>
          <w:rFonts w:cs="Times New Roman"/>
          <w:szCs w:val="24"/>
        </w:rPr>
        <w:t xml:space="preserve"> justify their act, but share the following </w:t>
      </w:r>
      <w:r w:rsidR="00412B02">
        <w:rPr>
          <w:rFonts w:cs="Times New Roman"/>
          <w:szCs w:val="24"/>
        </w:rPr>
        <w:t xml:space="preserve">general </w:t>
      </w:r>
      <w:r w:rsidR="00E92A97">
        <w:rPr>
          <w:rFonts w:cs="Times New Roman"/>
          <w:szCs w:val="24"/>
        </w:rPr>
        <w:t>pragmatic structure:</w:t>
      </w:r>
    </w:p>
    <w:p w14:paraId="683D8E05" w14:textId="77777777" w:rsidR="00CD7109" w:rsidRDefault="00CD7109" w:rsidP="00235817">
      <w:pPr>
        <w:spacing w:line="240" w:lineRule="auto"/>
        <w:rPr>
          <w:rFonts w:cs="Times New Roman"/>
          <w:szCs w:val="24"/>
        </w:rPr>
      </w:pPr>
    </w:p>
    <w:p w14:paraId="51E67CB7" w14:textId="77777777" w:rsidR="00601BAA" w:rsidRDefault="00601BAA" w:rsidP="00235817">
      <w:pPr>
        <w:spacing w:line="240" w:lineRule="auto"/>
        <w:ind w:left="720"/>
      </w:pPr>
      <w:r w:rsidRPr="0033449A">
        <w:rPr>
          <w:b/>
        </w:rPr>
        <w:t>S</w:t>
      </w:r>
      <w:r>
        <w:rPr>
          <w:b/>
          <w:vertAlign w:val="subscript"/>
        </w:rPr>
        <w:t>1</w:t>
      </w:r>
      <w:r>
        <w:t>: Successful stipulations give</w:t>
      </w:r>
      <w:r w:rsidRPr="00C37082">
        <w:t xml:space="preserve"> </w:t>
      </w:r>
      <w:r>
        <w:t xml:space="preserve">both </w:t>
      </w:r>
      <w:r w:rsidRPr="00C37082">
        <w:t xml:space="preserve">speaker and audience </w:t>
      </w:r>
      <w:r>
        <w:t>a shared inferential entitlement</w:t>
      </w:r>
      <w:r w:rsidRPr="00C37082">
        <w:t>, while also precluding speake</w:t>
      </w:r>
      <w:r>
        <w:t>r and audience from denying this</w:t>
      </w:r>
      <w:r w:rsidRPr="00C37082">
        <w:t xml:space="preserve"> entitlement</w:t>
      </w:r>
      <w:r>
        <w:t>.</w:t>
      </w:r>
    </w:p>
    <w:p w14:paraId="124B49DB" w14:textId="77777777" w:rsidR="00601BAA" w:rsidRDefault="00601BAA" w:rsidP="00235817">
      <w:pPr>
        <w:spacing w:line="240" w:lineRule="auto"/>
      </w:pPr>
    </w:p>
    <w:p w14:paraId="6D5D1413" w14:textId="77777777" w:rsidR="00601BAA" w:rsidRDefault="00601BAA" w:rsidP="00235817">
      <w:pPr>
        <w:spacing w:line="240" w:lineRule="auto"/>
        <w:ind w:left="720"/>
      </w:pPr>
      <w:r w:rsidRPr="0033449A">
        <w:rPr>
          <w:b/>
        </w:rPr>
        <w:t>S</w:t>
      </w:r>
      <w:r>
        <w:rPr>
          <w:b/>
          <w:vertAlign w:val="subscript"/>
        </w:rPr>
        <w:t>2</w:t>
      </w:r>
      <w:r>
        <w:t>: Even if not explicitly</w:t>
      </w:r>
      <w:r w:rsidRPr="00CD705E">
        <w:t xml:space="preserve">, </w:t>
      </w:r>
      <w:r w:rsidRPr="007E304B">
        <w:t xml:space="preserve">the speaker justifies their stipulation </w:t>
      </w:r>
      <w:proofErr w:type="gramStart"/>
      <w:r w:rsidRPr="007E304B">
        <w:t>on the basis of</w:t>
      </w:r>
      <w:proofErr w:type="gramEnd"/>
      <w:r w:rsidRPr="007E304B">
        <w:t xml:space="preserve"> whether it serves the shared ends of speaker and audience, </w:t>
      </w:r>
      <w:r w:rsidRPr="00CD705E">
        <w:t xml:space="preserve">and the act </w:t>
      </w:r>
      <w:r>
        <w:t>is always subject to the felicitous criticism from the audience that it fails to serve these shared ends.</w:t>
      </w:r>
    </w:p>
    <w:p w14:paraId="26D7FB9D" w14:textId="77777777" w:rsidR="00601BAA" w:rsidRDefault="00601BAA" w:rsidP="00235817">
      <w:pPr>
        <w:spacing w:line="240" w:lineRule="auto"/>
        <w:ind w:left="720"/>
      </w:pPr>
    </w:p>
    <w:p w14:paraId="46DC804A" w14:textId="77777777" w:rsidR="00601BAA" w:rsidRDefault="00601BAA" w:rsidP="00235817">
      <w:pPr>
        <w:pStyle w:val="ListParagraph"/>
        <w:numPr>
          <w:ilvl w:val="0"/>
          <w:numId w:val="9"/>
        </w:numPr>
        <w:spacing w:line="240" w:lineRule="auto"/>
      </w:pPr>
      <w:r>
        <w:rPr>
          <w:i/>
        </w:rPr>
        <w:t>Corollary</w:t>
      </w:r>
      <w:r>
        <w:t>: Assertoric negations of stipulations are infelicitous.</w:t>
      </w:r>
      <w:r w:rsidR="00DB36B7">
        <w:rPr>
          <w:rStyle w:val="FootnoteReference"/>
        </w:rPr>
        <w:footnoteReference w:id="10"/>
      </w:r>
    </w:p>
    <w:p w14:paraId="143270F3" w14:textId="77777777" w:rsidR="007D3296" w:rsidRPr="00B5529E" w:rsidRDefault="007D3296" w:rsidP="00235817">
      <w:pPr>
        <w:spacing w:line="240" w:lineRule="auto"/>
        <w:ind w:left="1440"/>
      </w:pPr>
    </w:p>
    <w:p w14:paraId="6E23DA7D" w14:textId="77777777" w:rsidR="004879A7" w:rsidRDefault="00FA20BC" w:rsidP="00235817">
      <w:pPr>
        <w:spacing w:line="240" w:lineRule="auto"/>
        <w:ind w:firstLine="720"/>
        <w:rPr>
          <w:rFonts w:cs="Times New Roman"/>
          <w:szCs w:val="24"/>
        </w:rPr>
      </w:pPr>
      <w:r>
        <w:rPr>
          <w:rFonts w:cs="Times New Roman"/>
          <w:szCs w:val="24"/>
        </w:rPr>
        <w:t>L</w:t>
      </w:r>
      <w:r w:rsidR="007D3296">
        <w:rPr>
          <w:rFonts w:cs="Times New Roman"/>
          <w:szCs w:val="24"/>
        </w:rPr>
        <w:t xml:space="preserve">et’s now return to the question that launched us down this path. We wanted to know whether there was </w:t>
      </w:r>
      <w:r w:rsidR="005355EB">
        <w:rPr>
          <w:rFonts w:cs="Times New Roman"/>
          <w:szCs w:val="24"/>
        </w:rPr>
        <w:t xml:space="preserve">any speech act felicitously subject to what I have called </w:t>
      </w:r>
      <w:r w:rsidR="00551076">
        <w:rPr>
          <w:rFonts w:cs="Times New Roman"/>
          <w:szCs w:val="24"/>
        </w:rPr>
        <w:t>a constitutive</w:t>
      </w:r>
      <w:r w:rsidR="005355EB">
        <w:rPr>
          <w:rFonts w:cs="Times New Roman"/>
          <w:szCs w:val="24"/>
        </w:rPr>
        <w:t xml:space="preserve"> consequentialist objection – that is, whether </w:t>
      </w:r>
      <w:r w:rsidR="006614FD">
        <w:rPr>
          <w:rFonts w:cs="Times New Roman"/>
          <w:szCs w:val="24"/>
        </w:rPr>
        <w:t>we</w:t>
      </w:r>
      <w:r w:rsidR="005355EB">
        <w:rPr>
          <w:rFonts w:cs="Times New Roman"/>
          <w:szCs w:val="24"/>
        </w:rPr>
        <w:t xml:space="preserve"> can prompt a</w:t>
      </w:r>
      <w:r w:rsidR="006161F2">
        <w:rPr>
          <w:rFonts w:cs="Times New Roman"/>
          <w:szCs w:val="24"/>
        </w:rPr>
        <w:t xml:space="preserve"> misfire of </w:t>
      </w:r>
      <w:r w:rsidR="006614FD">
        <w:rPr>
          <w:rFonts w:cs="Times New Roman"/>
          <w:szCs w:val="24"/>
        </w:rPr>
        <w:t xml:space="preserve">a </w:t>
      </w:r>
      <w:r w:rsidR="006161F2">
        <w:rPr>
          <w:rFonts w:cs="Times New Roman"/>
          <w:szCs w:val="24"/>
        </w:rPr>
        <w:t xml:space="preserve">speech </w:t>
      </w:r>
      <w:r w:rsidR="00551076">
        <w:rPr>
          <w:rFonts w:cs="Times New Roman"/>
          <w:szCs w:val="24"/>
        </w:rPr>
        <w:t>act, rendering</w:t>
      </w:r>
      <w:r w:rsidR="006161F2">
        <w:rPr>
          <w:rFonts w:cs="Times New Roman"/>
          <w:szCs w:val="24"/>
        </w:rPr>
        <w:t xml:space="preserve"> its characteristic</w:t>
      </w:r>
      <w:r w:rsidR="005355EB">
        <w:rPr>
          <w:rFonts w:cs="Times New Roman"/>
          <w:szCs w:val="24"/>
        </w:rPr>
        <w:t xml:space="preserve"> effect</w:t>
      </w:r>
      <w:r w:rsidR="006161F2">
        <w:rPr>
          <w:rFonts w:cs="Times New Roman"/>
          <w:szCs w:val="24"/>
        </w:rPr>
        <w:t>s</w:t>
      </w:r>
      <w:r w:rsidR="005355EB">
        <w:rPr>
          <w:rFonts w:cs="Times New Roman"/>
          <w:szCs w:val="24"/>
        </w:rPr>
        <w:t xml:space="preserve"> null and void</w:t>
      </w:r>
      <w:r w:rsidR="00450C11">
        <w:rPr>
          <w:rFonts w:cs="Times New Roman"/>
          <w:szCs w:val="24"/>
        </w:rPr>
        <w:t>,</w:t>
      </w:r>
      <w:r w:rsidR="006161F2">
        <w:rPr>
          <w:rFonts w:cs="Times New Roman"/>
          <w:szCs w:val="24"/>
        </w:rPr>
        <w:t xml:space="preserve"> by pointing </w:t>
      </w:r>
      <w:r w:rsidR="005355EB">
        <w:rPr>
          <w:rFonts w:cs="Times New Roman"/>
          <w:szCs w:val="24"/>
        </w:rPr>
        <w:t xml:space="preserve">to </w:t>
      </w:r>
      <w:r w:rsidR="00450C11">
        <w:rPr>
          <w:rFonts w:cs="Times New Roman"/>
          <w:szCs w:val="24"/>
        </w:rPr>
        <w:t>the failure of the attempted</w:t>
      </w:r>
      <w:r w:rsidR="005355EB">
        <w:rPr>
          <w:rFonts w:cs="Times New Roman"/>
          <w:szCs w:val="24"/>
        </w:rPr>
        <w:t xml:space="preserve"> speech act performance to be useful. While </w:t>
      </w:r>
      <w:proofErr w:type="gramStart"/>
      <w:r w:rsidR="005355EB">
        <w:rPr>
          <w:rFonts w:cs="Times New Roman"/>
          <w:szCs w:val="24"/>
        </w:rPr>
        <w:t>it is clear that we</w:t>
      </w:r>
      <w:proofErr w:type="gramEnd"/>
      <w:r w:rsidR="005355EB">
        <w:rPr>
          <w:rFonts w:cs="Times New Roman"/>
          <w:szCs w:val="24"/>
        </w:rPr>
        <w:t xml:space="preserve"> can felicitously criticize speech act performances for failing to be useful in </w:t>
      </w:r>
      <w:r w:rsidR="00561145">
        <w:rPr>
          <w:rFonts w:cs="Times New Roman"/>
          <w:szCs w:val="24"/>
        </w:rPr>
        <w:t xml:space="preserve">a </w:t>
      </w:r>
      <w:r w:rsidR="00561145">
        <w:rPr>
          <w:rFonts w:cs="Times New Roman"/>
          <w:i/>
          <w:szCs w:val="24"/>
        </w:rPr>
        <w:t>non</w:t>
      </w:r>
      <w:r w:rsidR="00561145">
        <w:rPr>
          <w:rFonts w:cs="Times New Roman"/>
          <w:szCs w:val="24"/>
        </w:rPr>
        <w:t>-constitutive</w:t>
      </w:r>
      <w:r w:rsidR="005355EB">
        <w:rPr>
          <w:rFonts w:cs="Times New Roman"/>
          <w:szCs w:val="24"/>
        </w:rPr>
        <w:t xml:space="preserve"> sense (i.e., once the speech act has been performed), the puzzle is whether such a criticism can be felicitously deployed in </w:t>
      </w:r>
      <w:r w:rsidR="00551076">
        <w:rPr>
          <w:rFonts w:cs="Times New Roman"/>
          <w:szCs w:val="24"/>
        </w:rPr>
        <w:t xml:space="preserve">a </w:t>
      </w:r>
      <w:r w:rsidR="00551076">
        <w:rPr>
          <w:rFonts w:cs="Times New Roman"/>
          <w:i/>
          <w:szCs w:val="24"/>
        </w:rPr>
        <w:t xml:space="preserve">constitutive </w:t>
      </w:r>
      <w:r w:rsidR="005355EB">
        <w:rPr>
          <w:rFonts w:cs="Times New Roman"/>
          <w:szCs w:val="24"/>
        </w:rPr>
        <w:t xml:space="preserve">sense. Initially, it was unclear what kind of speech act could </w:t>
      </w:r>
      <w:r w:rsidR="006161F2">
        <w:rPr>
          <w:rFonts w:cs="Times New Roman"/>
          <w:szCs w:val="24"/>
        </w:rPr>
        <w:t xml:space="preserve">possibly play this role. </w:t>
      </w:r>
      <w:r>
        <w:rPr>
          <w:rFonts w:cs="Times New Roman"/>
          <w:szCs w:val="24"/>
        </w:rPr>
        <w:t>But w</w:t>
      </w:r>
      <w:r w:rsidR="006161F2">
        <w:rPr>
          <w:rFonts w:cs="Times New Roman"/>
          <w:szCs w:val="24"/>
        </w:rPr>
        <w:t xml:space="preserve">e have now found that it is </w:t>
      </w:r>
      <w:r w:rsidR="00E46240">
        <w:rPr>
          <w:rFonts w:cs="Times New Roman"/>
          <w:szCs w:val="24"/>
        </w:rPr>
        <w:lastRenderedPageBreak/>
        <w:t>stipulative speech act</w:t>
      </w:r>
      <w:r w:rsidR="006161F2">
        <w:rPr>
          <w:rFonts w:cs="Times New Roman"/>
          <w:szCs w:val="24"/>
        </w:rPr>
        <w:t xml:space="preserve">s, as I understand them, that can be felicitously criticized in </w:t>
      </w:r>
      <w:r w:rsidR="00551076">
        <w:rPr>
          <w:rFonts w:cs="Times New Roman"/>
          <w:szCs w:val="24"/>
        </w:rPr>
        <w:t>a constitutive</w:t>
      </w:r>
      <w:r w:rsidR="006161F2">
        <w:rPr>
          <w:rFonts w:cs="Times New Roman"/>
          <w:szCs w:val="24"/>
        </w:rPr>
        <w:t xml:space="preserve"> </w:t>
      </w:r>
      <w:r w:rsidR="004879A7">
        <w:rPr>
          <w:rFonts w:cs="Times New Roman"/>
          <w:szCs w:val="24"/>
        </w:rPr>
        <w:t>sense for failing to be useful.</w:t>
      </w:r>
    </w:p>
    <w:p w14:paraId="7081E0CC" w14:textId="1C7E3414" w:rsidR="006161F2" w:rsidRDefault="006161F2" w:rsidP="00235817">
      <w:pPr>
        <w:spacing w:line="240" w:lineRule="auto"/>
        <w:ind w:firstLine="720"/>
        <w:rPr>
          <w:rFonts w:cs="Times New Roman"/>
          <w:szCs w:val="24"/>
        </w:rPr>
      </w:pPr>
      <w:r>
        <w:rPr>
          <w:rFonts w:cs="Times New Roman"/>
          <w:szCs w:val="24"/>
        </w:rPr>
        <w:t>To make this point explicit, consider the following criticism of (3) or (3’):</w:t>
      </w:r>
    </w:p>
    <w:p w14:paraId="30A0AA13" w14:textId="77777777" w:rsidR="00CD7109" w:rsidRDefault="00CD7109" w:rsidP="00235817">
      <w:pPr>
        <w:spacing w:line="240" w:lineRule="auto"/>
        <w:ind w:firstLine="720"/>
        <w:rPr>
          <w:rFonts w:cs="Times New Roman"/>
          <w:szCs w:val="24"/>
        </w:rPr>
      </w:pPr>
    </w:p>
    <w:p w14:paraId="4199E7D2" w14:textId="77777777" w:rsidR="006161F2" w:rsidRPr="00122DE8" w:rsidRDefault="00FA20BC" w:rsidP="00235817">
      <w:pPr>
        <w:pStyle w:val="ListParagraph"/>
        <w:numPr>
          <w:ilvl w:val="0"/>
          <w:numId w:val="12"/>
        </w:numPr>
        <w:spacing w:line="240" w:lineRule="auto"/>
        <w:rPr>
          <w:rFonts w:cs="Times New Roman"/>
          <w:szCs w:val="24"/>
        </w:rPr>
      </w:pPr>
      <w:r w:rsidRPr="00122DE8">
        <w:rPr>
          <w:rFonts w:cs="Times New Roman"/>
          <w:szCs w:val="24"/>
        </w:rPr>
        <w:t>Having those trees be the goal posts isn’t a good idea</w:t>
      </w:r>
      <w:r w:rsidR="006161F2" w:rsidRPr="00122DE8">
        <w:rPr>
          <w:rFonts w:cs="Times New Roman"/>
          <w:szCs w:val="24"/>
        </w:rPr>
        <w:t xml:space="preserve"> because those trees are too close together, </w:t>
      </w:r>
      <w:r w:rsidRPr="00122DE8">
        <w:rPr>
          <w:rFonts w:cs="Times New Roman"/>
          <w:szCs w:val="24"/>
        </w:rPr>
        <w:t>so</w:t>
      </w:r>
      <w:r w:rsidR="006161F2" w:rsidRPr="00122DE8">
        <w:rPr>
          <w:rFonts w:cs="Times New Roman"/>
          <w:szCs w:val="24"/>
        </w:rPr>
        <w:t xml:space="preserve"> no one will ever manage to score.</w:t>
      </w:r>
    </w:p>
    <w:p w14:paraId="485F4AEA" w14:textId="77777777" w:rsidR="006161F2" w:rsidRDefault="006161F2" w:rsidP="00235817">
      <w:pPr>
        <w:spacing w:line="240" w:lineRule="auto"/>
        <w:rPr>
          <w:rFonts w:cs="Times New Roman"/>
          <w:szCs w:val="24"/>
        </w:rPr>
      </w:pPr>
    </w:p>
    <w:p w14:paraId="0AC9D4DE" w14:textId="77777777" w:rsidR="00891A23" w:rsidRDefault="00543304" w:rsidP="00235817">
      <w:pPr>
        <w:spacing w:line="240" w:lineRule="auto"/>
        <w:rPr>
          <w:rFonts w:cs="Times New Roman"/>
          <w:szCs w:val="24"/>
        </w:rPr>
      </w:pPr>
      <w:r>
        <w:rPr>
          <w:rFonts w:cs="Times New Roman"/>
          <w:szCs w:val="24"/>
        </w:rPr>
        <w:t>What make</w:t>
      </w:r>
      <w:r w:rsidRPr="009D4B6C">
        <w:rPr>
          <w:rFonts w:cs="Times New Roman"/>
          <w:szCs w:val="24"/>
        </w:rPr>
        <w:t>s</w:t>
      </w:r>
      <w:r w:rsidR="00FA20BC">
        <w:rPr>
          <w:rFonts w:cs="Times New Roman"/>
          <w:szCs w:val="24"/>
        </w:rPr>
        <w:t xml:space="preserve"> (4</w:t>
      </w:r>
      <w:r>
        <w:rPr>
          <w:rFonts w:cs="Times New Roman"/>
          <w:szCs w:val="24"/>
        </w:rPr>
        <w:t>)</w:t>
      </w:r>
      <w:r w:rsidRPr="009D4B6C">
        <w:rPr>
          <w:rFonts w:cs="Times New Roman"/>
          <w:szCs w:val="24"/>
        </w:rPr>
        <w:t xml:space="preserve"> an example of a felicitous objection</w:t>
      </w:r>
      <w:r w:rsidR="00FA20BC">
        <w:rPr>
          <w:rFonts w:cs="Times New Roman"/>
          <w:szCs w:val="24"/>
        </w:rPr>
        <w:t xml:space="preserve"> </w:t>
      </w:r>
      <w:r>
        <w:rPr>
          <w:rFonts w:cs="Times New Roman"/>
          <w:szCs w:val="24"/>
        </w:rPr>
        <w:t>is that it shows</w:t>
      </w:r>
      <w:r w:rsidRPr="009D4B6C">
        <w:rPr>
          <w:rFonts w:cs="Times New Roman"/>
          <w:szCs w:val="24"/>
        </w:rPr>
        <w:t xml:space="preserve"> that the attempted stipulation does not promote the speaker and audience’s joint ends </w:t>
      </w:r>
      <w:r>
        <w:rPr>
          <w:rFonts w:cs="Times New Roman"/>
          <w:szCs w:val="24"/>
        </w:rPr>
        <w:t xml:space="preserve">(e.g., of playing a good game). </w:t>
      </w:r>
      <w:r w:rsidR="006614FD">
        <w:rPr>
          <w:rFonts w:cs="Times New Roman"/>
          <w:szCs w:val="24"/>
        </w:rPr>
        <w:t>It</w:t>
      </w:r>
      <w:r w:rsidRPr="009D4B6C">
        <w:rPr>
          <w:rFonts w:cs="Times New Roman"/>
          <w:szCs w:val="24"/>
        </w:rPr>
        <w:t xml:space="preserve"> might </w:t>
      </w:r>
      <w:r w:rsidR="006614FD">
        <w:rPr>
          <w:rFonts w:cs="Times New Roman"/>
          <w:szCs w:val="24"/>
        </w:rPr>
        <w:t>seem</w:t>
      </w:r>
      <w:r w:rsidRPr="009D4B6C">
        <w:rPr>
          <w:rFonts w:cs="Times New Roman"/>
          <w:szCs w:val="24"/>
        </w:rPr>
        <w:t xml:space="preserve"> that this example is very similar to the case of the two professors, where </w:t>
      </w:r>
      <w:r>
        <w:rPr>
          <w:rFonts w:cs="Times New Roman"/>
          <w:szCs w:val="24"/>
        </w:rPr>
        <w:t>Lisa’s assertion is objected to by Paula who</w:t>
      </w:r>
      <w:r w:rsidRPr="009D4B6C">
        <w:rPr>
          <w:rFonts w:cs="Times New Roman"/>
          <w:szCs w:val="24"/>
        </w:rPr>
        <w:t xml:space="preserve"> thinks the value of making the assertion is outweighed by the negative c</w:t>
      </w:r>
      <w:r>
        <w:rPr>
          <w:rFonts w:cs="Times New Roman"/>
          <w:szCs w:val="24"/>
        </w:rPr>
        <w:t>onsequences of carrying out the</w:t>
      </w:r>
      <w:r w:rsidRPr="009D4B6C">
        <w:rPr>
          <w:rFonts w:cs="Times New Roman"/>
          <w:szCs w:val="24"/>
        </w:rPr>
        <w:t xml:space="preserve"> act. </w:t>
      </w:r>
      <w:r w:rsidR="00CB4057">
        <w:rPr>
          <w:rFonts w:cs="Times New Roman"/>
          <w:szCs w:val="24"/>
        </w:rPr>
        <w:t>But t</w:t>
      </w:r>
      <w:r w:rsidR="00891A23">
        <w:rPr>
          <w:rFonts w:cs="Times New Roman"/>
          <w:szCs w:val="24"/>
        </w:rPr>
        <w:t xml:space="preserve">he </w:t>
      </w:r>
      <w:r w:rsidRPr="009D4B6C">
        <w:rPr>
          <w:rFonts w:cs="Times New Roman"/>
          <w:szCs w:val="24"/>
        </w:rPr>
        <w:t>latter</w:t>
      </w:r>
      <w:r w:rsidR="00CB4057">
        <w:rPr>
          <w:rFonts w:cs="Times New Roman"/>
          <w:szCs w:val="24"/>
        </w:rPr>
        <w:t xml:space="preserve"> </w:t>
      </w:r>
      <w:r w:rsidR="00891A23">
        <w:rPr>
          <w:rFonts w:cs="Times New Roman"/>
          <w:szCs w:val="24"/>
        </w:rPr>
        <w:t xml:space="preserve">was </w:t>
      </w:r>
      <w:r w:rsidR="0094762F">
        <w:rPr>
          <w:rFonts w:cs="Times New Roman"/>
          <w:szCs w:val="24"/>
        </w:rPr>
        <w:t>taken</w:t>
      </w:r>
      <w:r w:rsidRPr="009D4B6C">
        <w:rPr>
          <w:rFonts w:cs="Times New Roman"/>
          <w:szCs w:val="24"/>
        </w:rPr>
        <w:t xml:space="preserve"> to </w:t>
      </w:r>
      <w:r w:rsidR="00561145">
        <w:rPr>
          <w:rFonts w:cs="Times New Roman"/>
          <w:szCs w:val="24"/>
        </w:rPr>
        <w:t xml:space="preserve">be a paradigmatic example of a </w:t>
      </w:r>
      <w:r w:rsidR="00561145" w:rsidRPr="004E4885">
        <w:rPr>
          <w:rFonts w:cs="Times New Roman"/>
          <w:i/>
          <w:szCs w:val="24"/>
        </w:rPr>
        <w:t>non</w:t>
      </w:r>
      <w:r w:rsidR="00561145">
        <w:rPr>
          <w:rFonts w:cs="Times New Roman"/>
          <w:szCs w:val="24"/>
        </w:rPr>
        <w:t xml:space="preserve">-constitutive </w:t>
      </w:r>
      <w:r w:rsidRPr="009D4B6C">
        <w:rPr>
          <w:rFonts w:cs="Times New Roman"/>
          <w:szCs w:val="24"/>
        </w:rPr>
        <w:t>consequentialist objection</w:t>
      </w:r>
      <w:r w:rsidR="00891A23">
        <w:rPr>
          <w:rFonts w:cs="Times New Roman"/>
          <w:szCs w:val="24"/>
        </w:rPr>
        <w:t>.</w:t>
      </w:r>
    </w:p>
    <w:p w14:paraId="7BF804AA" w14:textId="77777777" w:rsidR="008E4531" w:rsidRDefault="00543304" w:rsidP="00235817">
      <w:pPr>
        <w:spacing w:line="240" w:lineRule="auto"/>
        <w:rPr>
          <w:rFonts w:cs="Times New Roman"/>
          <w:szCs w:val="24"/>
        </w:rPr>
      </w:pPr>
      <w:r w:rsidRPr="009D4B6C">
        <w:rPr>
          <w:rFonts w:cs="Times New Roman"/>
          <w:szCs w:val="24"/>
        </w:rPr>
        <w:tab/>
        <w:t>The crucial difference between these two cases</w:t>
      </w:r>
      <w:r w:rsidR="001568B4">
        <w:rPr>
          <w:rFonts w:cs="Times New Roman"/>
          <w:szCs w:val="24"/>
        </w:rPr>
        <w:t>, however,</w:t>
      </w:r>
      <w:r>
        <w:rPr>
          <w:rFonts w:cs="Times New Roman"/>
          <w:szCs w:val="24"/>
        </w:rPr>
        <w:t xml:space="preserve"> </w:t>
      </w:r>
      <w:r w:rsidRPr="009D4B6C">
        <w:rPr>
          <w:rFonts w:cs="Times New Roman"/>
          <w:szCs w:val="24"/>
        </w:rPr>
        <w:t xml:space="preserve">lies in </w:t>
      </w:r>
      <w:r w:rsidRPr="00823F48">
        <w:rPr>
          <w:rFonts w:cs="Times New Roman"/>
          <w:iCs/>
          <w:szCs w:val="24"/>
        </w:rPr>
        <w:t>how</w:t>
      </w:r>
      <w:r w:rsidRPr="009D4B6C">
        <w:rPr>
          <w:rFonts w:cs="Times New Roman"/>
          <w:i/>
          <w:szCs w:val="24"/>
        </w:rPr>
        <w:t xml:space="preserve"> </w:t>
      </w:r>
      <w:r w:rsidRPr="009D4B6C">
        <w:rPr>
          <w:rFonts w:cs="Times New Roman"/>
          <w:szCs w:val="24"/>
        </w:rPr>
        <w:t xml:space="preserve">the consequences are relevant in </w:t>
      </w:r>
      <w:r>
        <w:rPr>
          <w:rFonts w:cs="Times New Roman"/>
          <w:szCs w:val="24"/>
        </w:rPr>
        <w:t>assessing the speech act. When Paula</w:t>
      </w:r>
      <w:r w:rsidRPr="009D4B6C">
        <w:rPr>
          <w:rFonts w:cs="Times New Roman"/>
          <w:szCs w:val="24"/>
        </w:rPr>
        <w:t xml:space="preserve"> raises her consequentialist objections to </w:t>
      </w:r>
      <w:r>
        <w:rPr>
          <w:rFonts w:cs="Times New Roman"/>
          <w:szCs w:val="24"/>
        </w:rPr>
        <w:t>Lisa’</w:t>
      </w:r>
      <w:r w:rsidRPr="009D4B6C">
        <w:rPr>
          <w:rFonts w:cs="Times New Roman"/>
          <w:szCs w:val="24"/>
        </w:rPr>
        <w:t>s assertion, these consequences, no matter how devastating, do</w:t>
      </w:r>
      <w:r>
        <w:rPr>
          <w:rFonts w:cs="Times New Roman"/>
          <w:szCs w:val="24"/>
        </w:rPr>
        <w:t xml:space="preserve"> not prevent Lisa from successfully</w:t>
      </w:r>
      <w:r w:rsidRPr="009D4B6C">
        <w:rPr>
          <w:rFonts w:cs="Times New Roman"/>
          <w:szCs w:val="24"/>
        </w:rPr>
        <w:t xml:space="preserve"> carrying out an assertion; they may well give her an all-things-considered reason </w:t>
      </w:r>
      <w:r w:rsidRPr="00BB07B8">
        <w:rPr>
          <w:rFonts w:cs="Times New Roman"/>
          <w:szCs w:val="24"/>
        </w:rPr>
        <w:t>not</w:t>
      </w:r>
      <w:r w:rsidRPr="009D4B6C">
        <w:rPr>
          <w:rFonts w:cs="Times New Roman"/>
          <w:szCs w:val="24"/>
        </w:rPr>
        <w:t xml:space="preserve"> to make this assertion, but the assertion can itself succeed </w:t>
      </w:r>
      <w:r w:rsidRPr="009D4B6C">
        <w:rPr>
          <w:rFonts w:cs="Times New Roman"/>
          <w:i/>
          <w:szCs w:val="24"/>
        </w:rPr>
        <w:t xml:space="preserve">qua </w:t>
      </w:r>
      <w:r w:rsidRPr="009D4B6C">
        <w:rPr>
          <w:rFonts w:cs="Times New Roman"/>
          <w:szCs w:val="24"/>
        </w:rPr>
        <w:t>assertion regardl</w:t>
      </w:r>
      <w:r w:rsidR="00D65EE4">
        <w:rPr>
          <w:rFonts w:cs="Times New Roman"/>
          <w:szCs w:val="24"/>
        </w:rPr>
        <w:t>ess. This is not the case for (4</w:t>
      </w:r>
      <w:r w:rsidRPr="009D4B6C">
        <w:rPr>
          <w:rFonts w:cs="Times New Roman"/>
          <w:szCs w:val="24"/>
        </w:rPr>
        <w:t>) as an o</w:t>
      </w:r>
      <w:r w:rsidR="00D65EE4">
        <w:rPr>
          <w:rFonts w:cs="Times New Roman"/>
          <w:szCs w:val="24"/>
        </w:rPr>
        <w:t>bjection to (3</w:t>
      </w:r>
      <w:r>
        <w:rPr>
          <w:rFonts w:cs="Times New Roman"/>
          <w:szCs w:val="24"/>
        </w:rPr>
        <w:t>)</w:t>
      </w:r>
      <w:r w:rsidR="00D65EE4">
        <w:rPr>
          <w:rFonts w:cs="Times New Roman"/>
          <w:szCs w:val="24"/>
        </w:rPr>
        <w:t xml:space="preserve"> or (3’)</w:t>
      </w:r>
      <w:r>
        <w:rPr>
          <w:rFonts w:cs="Times New Roman"/>
          <w:szCs w:val="24"/>
        </w:rPr>
        <w:t>. Th</w:t>
      </w:r>
      <w:r w:rsidR="00D65EE4">
        <w:rPr>
          <w:rFonts w:cs="Times New Roman"/>
          <w:szCs w:val="24"/>
        </w:rPr>
        <w:t>e raising of the objection in (4</w:t>
      </w:r>
      <w:r>
        <w:rPr>
          <w:rFonts w:cs="Times New Roman"/>
          <w:szCs w:val="24"/>
        </w:rPr>
        <w:t>) – all else being equal – prevents my stipulation from going into effect</w:t>
      </w:r>
      <w:r w:rsidR="00C23E5A">
        <w:rPr>
          <w:rFonts w:cs="Times New Roman"/>
          <w:szCs w:val="24"/>
        </w:rPr>
        <w:t>. A</w:t>
      </w:r>
      <w:r>
        <w:rPr>
          <w:rFonts w:cs="Times New Roman"/>
          <w:szCs w:val="24"/>
        </w:rPr>
        <w:t>fter the other p</w:t>
      </w:r>
      <w:r w:rsidR="00D65EE4">
        <w:rPr>
          <w:rFonts w:cs="Times New Roman"/>
          <w:szCs w:val="24"/>
        </w:rPr>
        <w:t>layer raises the objection in (4</w:t>
      </w:r>
      <w:r>
        <w:rPr>
          <w:rFonts w:cs="Times New Roman"/>
          <w:szCs w:val="24"/>
        </w:rPr>
        <w:t>), were I to begin trying to play with the rule in place, the other players would be rightly confused by what I w</w:t>
      </w:r>
      <w:r w:rsidR="00C23E5A">
        <w:rPr>
          <w:rFonts w:cs="Times New Roman"/>
          <w:szCs w:val="24"/>
        </w:rPr>
        <w:t>as doing.</w:t>
      </w:r>
      <w:r w:rsidR="006A1601">
        <w:rPr>
          <w:rFonts w:cs="Times New Roman"/>
          <w:szCs w:val="24"/>
        </w:rPr>
        <w:t xml:space="preserve"> No entitlement</w:t>
      </w:r>
      <w:r w:rsidR="001B3040">
        <w:rPr>
          <w:rFonts w:cs="Times New Roman"/>
          <w:szCs w:val="24"/>
        </w:rPr>
        <w:t xml:space="preserve"> has been generated</w:t>
      </w:r>
      <w:r w:rsidR="007311DB">
        <w:rPr>
          <w:rFonts w:cs="Times New Roman"/>
          <w:szCs w:val="24"/>
        </w:rPr>
        <w:t xml:space="preserve"> to act in this way</w:t>
      </w:r>
      <w:r w:rsidR="006A1601">
        <w:rPr>
          <w:rFonts w:cs="Times New Roman"/>
          <w:szCs w:val="24"/>
        </w:rPr>
        <w:t xml:space="preserve"> without the other players</w:t>
      </w:r>
      <w:r w:rsidR="00CB7287">
        <w:rPr>
          <w:rFonts w:cs="Times New Roman"/>
          <w:szCs w:val="24"/>
        </w:rPr>
        <w:t>’</w:t>
      </w:r>
      <w:r w:rsidR="006A1601">
        <w:rPr>
          <w:rFonts w:cs="Times New Roman"/>
          <w:szCs w:val="24"/>
        </w:rPr>
        <w:t xml:space="preserve"> </w:t>
      </w:r>
      <w:r w:rsidR="00CB7287">
        <w:rPr>
          <w:rFonts w:cs="Times New Roman"/>
          <w:szCs w:val="24"/>
        </w:rPr>
        <w:t>endorsement</w:t>
      </w:r>
      <w:r w:rsidR="006A1601">
        <w:rPr>
          <w:rFonts w:cs="Times New Roman"/>
          <w:szCs w:val="24"/>
        </w:rPr>
        <w:t>.</w:t>
      </w:r>
      <w:r w:rsidR="006A1601">
        <w:rPr>
          <w:rStyle w:val="FootnoteReference"/>
          <w:rFonts w:cs="Times New Roman"/>
          <w:szCs w:val="24"/>
        </w:rPr>
        <w:footnoteReference w:id="11"/>
      </w:r>
    </w:p>
    <w:p w14:paraId="74D7DA8D" w14:textId="30873E92" w:rsidR="006B2292" w:rsidRDefault="006B2292" w:rsidP="00235817">
      <w:pPr>
        <w:spacing w:line="240" w:lineRule="auto"/>
        <w:ind w:firstLine="720"/>
        <w:rPr>
          <w:rFonts w:cs="Times New Roman"/>
          <w:szCs w:val="24"/>
        </w:rPr>
      </w:pPr>
      <w:r>
        <w:rPr>
          <w:rFonts w:cs="Times New Roman"/>
          <w:szCs w:val="24"/>
        </w:rPr>
        <w:t>Note that, by contrast, the following attempt</w:t>
      </w:r>
      <w:r w:rsidR="00FF4BEC">
        <w:rPr>
          <w:rFonts w:cs="Times New Roman"/>
          <w:szCs w:val="24"/>
        </w:rPr>
        <w:t>s</w:t>
      </w:r>
      <w:r>
        <w:rPr>
          <w:rFonts w:cs="Times New Roman"/>
          <w:szCs w:val="24"/>
        </w:rPr>
        <w:t xml:space="preserve"> to object</w:t>
      </w:r>
      <w:r w:rsidR="00BB143B">
        <w:rPr>
          <w:rFonts w:cs="Times New Roman"/>
          <w:szCs w:val="24"/>
        </w:rPr>
        <w:t xml:space="preserve"> </w:t>
      </w:r>
      <w:r w:rsidR="00CB7287">
        <w:rPr>
          <w:rFonts w:cs="Times New Roman"/>
          <w:szCs w:val="24"/>
        </w:rPr>
        <w:t xml:space="preserve">to </w:t>
      </w:r>
      <w:r>
        <w:rPr>
          <w:rFonts w:cs="Times New Roman"/>
          <w:szCs w:val="24"/>
        </w:rPr>
        <w:t>my stipulations in (3)</w:t>
      </w:r>
      <w:r w:rsidR="005C1092">
        <w:rPr>
          <w:rFonts w:cs="Times New Roman"/>
          <w:szCs w:val="24"/>
        </w:rPr>
        <w:t xml:space="preserve"> or (3’) would be infelicitous:</w:t>
      </w:r>
    </w:p>
    <w:p w14:paraId="4F782215" w14:textId="77777777" w:rsidR="00A164F7" w:rsidRDefault="00A164F7" w:rsidP="00235817">
      <w:pPr>
        <w:spacing w:line="240" w:lineRule="auto"/>
        <w:ind w:firstLine="720"/>
        <w:rPr>
          <w:rFonts w:cs="Times New Roman"/>
          <w:szCs w:val="24"/>
        </w:rPr>
      </w:pPr>
    </w:p>
    <w:p w14:paraId="17E8498A" w14:textId="77777777" w:rsidR="006B2292" w:rsidRDefault="006B2292" w:rsidP="00235817">
      <w:pPr>
        <w:spacing w:line="240" w:lineRule="auto"/>
        <w:jc w:val="center"/>
        <w:rPr>
          <w:rFonts w:cs="Times New Roman"/>
          <w:szCs w:val="24"/>
        </w:rPr>
      </w:pPr>
      <w:r>
        <w:rPr>
          <w:rFonts w:cs="Times New Roman"/>
          <w:szCs w:val="24"/>
        </w:rPr>
        <w:t># (5) It is not the case that the trees count as goal posts.</w:t>
      </w:r>
    </w:p>
    <w:p w14:paraId="4559DF6A" w14:textId="77777777" w:rsidR="008E4531" w:rsidRDefault="008E4531" w:rsidP="00235817">
      <w:pPr>
        <w:spacing w:line="240" w:lineRule="auto"/>
        <w:jc w:val="center"/>
        <w:rPr>
          <w:rFonts w:cs="Times New Roman"/>
          <w:szCs w:val="24"/>
        </w:rPr>
      </w:pPr>
    </w:p>
    <w:p w14:paraId="23DCCCC3" w14:textId="77777777" w:rsidR="006B2292" w:rsidRDefault="006B2292" w:rsidP="00235817">
      <w:pPr>
        <w:spacing w:line="240" w:lineRule="auto"/>
        <w:jc w:val="center"/>
        <w:rPr>
          <w:rFonts w:cs="Times New Roman"/>
          <w:szCs w:val="24"/>
        </w:rPr>
      </w:pPr>
      <w:r>
        <w:rPr>
          <w:rFonts w:cs="Times New Roman"/>
          <w:szCs w:val="24"/>
        </w:rPr>
        <w:t># (6) It is not true that the trees count as goal posts.</w:t>
      </w:r>
    </w:p>
    <w:p w14:paraId="68A813DA" w14:textId="77777777" w:rsidR="008E4531" w:rsidRDefault="008E4531" w:rsidP="00235817">
      <w:pPr>
        <w:spacing w:line="240" w:lineRule="auto"/>
        <w:jc w:val="center"/>
        <w:rPr>
          <w:rFonts w:cs="Times New Roman"/>
          <w:szCs w:val="24"/>
        </w:rPr>
      </w:pPr>
    </w:p>
    <w:p w14:paraId="130E892F" w14:textId="77777777" w:rsidR="006B2292" w:rsidRDefault="006B2292" w:rsidP="00235817">
      <w:pPr>
        <w:spacing w:line="240" w:lineRule="auto"/>
        <w:jc w:val="center"/>
        <w:rPr>
          <w:rFonts w:cs="Times New Roman"/>
          <w:szCs w:val="24"/>
        </w:rPr>
      </w:pPr>
      <w:r>
        <w:rPr>
          <w:rFonts w:cs="Times New Roman"/>
          <w:szCs w:val="24"/>
        </w:rPr>
        <w:t># (7) It is false that the trees count as goal posts.</w:t>
      </w:r>
    </w:p>
    <w:p w14:paraId="2FB194A3" w14:textId="77777777" w:rsidR="006B2292" w:rsidRDefault="006B2292" w:rsidP="00235817">
      <w:pPr>
        <w:spacing w:line="240" w:lineRule="auto"/>
        <w:rPr>
          <w:rFonts w:cs="Times New Roman"/>
          <w:szCs w:val="24"/>
        </w:rPr>
      </w:pPr>
    </w:p>
    <w:p w14:paraId="4A9FEC68" w14:textId="77777777" w:rsidR="006B2292" w:rsidRDefault="006B2292" w:rsidP="00235817">
      <w:pPr>
        <w:spacing w:line="240" w:lineRule="auto"/>
        <w:rPr>
          <w:rFonts w:cs="Times New Roman"/>
          <w:szCs w:val="24"/>
        </w:rPr>
      </w:pPr>
      <w:r>
        <w:rPr>
          <w:rFonts w:cs="Times New Roman"/>
          <w:szCs w:val="24"/>
        </w:rPr>
        <w:t xml:space="preserve">(5)-(7) are all infelicitous objections to my stipulative speech acts because I am not saying in (3) or (3’) that it is </w:t>
      </w:r>
      <w:proofErr w:type="gramStart"/>
      <w:r>
        <w:rPr>
          <w:rFonts w:cs="Times New Roman"/>
          <w:szCs w:val="24"/>
        </w:rPr>
        <w:t>true</w:t>
      </w:r>
      <w:proofErr w:type="gramEnd"/>
      <w:r>
        <w:rPr>
          <w:rFonts w:cs="Times New Roman"/>
          <w:szCs w:val="24"/>
        </w:rPr>
        <w:t xml:space="preserve"> or it is the case that the trees count as goal posts. Rather, I am saying that it will</w:t>
      </w:r>
      <w:r w:rsidR="00E838C9">
        <w:rPr>
          <w:rFonts w:cs="Times New Roman"/>
          <w:szCs w:val="24"/>
        </w:rPr>
        <w:t xml:space="preserve"> be useful to take the trees to </w:t>
      </w:r>
      <w:r>
        <w:rPr>
          <w:rFonts w:cs="Times New Roman"/>
          <w:szCs w:val="24"/>
        </w:rPr>
        <w:t xml:space="preserve">be goal posts, not that they already </w:t>
      </w:r>
      <w:r w:rsidR="008E4531">
        <w:rPr>
          <w:rFonts w:cs="Times New Roman"/>
          <w:szCs w:val="24"/>
        </w:rPr>
        <w:t xml:space="preserve">somehow </w:t>
      </w:r>
      <w:r>
        <w:rPr>
          <w:rFonts w:cs="Times New Roman"/>
          <w:szCs w:val="24"/>
        </w:rPr>
        <w:t>are.</w:t>
      </w:r>
      <w:r w:rsidR="00036732">
        <w:rPr>
          <w:rFonts w:cs="Times New Roman"/>
          <w:szCs w:val="24"/>
        </w:rPr>
        <w:t xml:space="preserve"> After a </w:t>
      </w:r>
      <w:r w:rsidR="00561145">
        <w:rPr>
          <w:rFonts w:cs="Times New Roman"/>
          <w:szCs w:val="24"/>
        </w:rPr>
        <w:t>successful performance</w:t>
      </w:r>
      <w:r w:rsidR="00036732">
        <w:rPr>
          <w:rFonts w:cs="Times New Roman"/>
          <w:szCs w:val="24"/>
        </w:rPr>
        <w:t xml:space="preserve"> for (3) or (3’</w:t>
      </w:r>
      <w:r w:rsidR="008E4531">
        <w:rPr>
          <w:rFonts w:cs="Times New Roman"/>
          <w:szCs w:val="24"/>
        </w:rPr>
        <w:t>), my friend and I</w:t>
      </w:r>
      <w:r w:rsidR="00036732">
        <w:rPr>
          <w:rFonts w:cs="Times New Roman"/>
          <w:szCs w:val="24"/>
        </w:rPr>
        <w:t xml:space="preserve"> can</w:t>
      </w:r>
      <w:r w:rsidR="008E4531">
        <w:rPr>
          <w:rFonts w:cs="Times New Roman"/>
          <w:szCs w:val="24"/>
        </w:rPr>
        <w:t xml:space="preserve"> </w:t>
      </w:r>
      <w:r w:rsidR="008E4531">
        <w:rPr>
          <w:rFonts w:cs="Times New Roman"/>
          <w:i/>
          <w:szCs w:val="24"/>
        </w:rPr>
        <w:t>then</w:t>
      </w:r>
      <w:r w:rsidR="00036732">
        <w:rPr>
          <w:rFonts w:cs="Times New Roman"/>
          <w:szCs w:val="24"/>
        </w:rPr>
        <w:t xml:space="preserve"> make felicitous assertions about the trees </w:t>
      </w:r>
      <w:r w:rsidR="00036732">
        <w:rPr>
          <w:rFonts w:cs="Times New Roman"/>
          <w:szCs w:val="24"/>
        </w:rPr>
        <w:lastRenderedPageBreak/>
        <w:t xml:space="preserve">counting or not counting as goal posts, but (3) or (3’) – as the inappropriateness of these assertoric objections </w:t>
      </w:r>
      <w:r w:rsidR="003425BD">
        <w:rPr>
          <w:rFonts w:cs="Times New Roman"/>
          <w:szCs w:val="24"/>
        </w:rPr>
        <w:t>demonstrate</w:t>
      </w:r>
      <w:r w:rsidR="00036732">
        <w:rPr>
          <w:rFonts w:cs="Times New Roman"/>
          <w:szCs w:val="24"/>
        </w:rPr>
        <w:t xml:space="preserve"> – are not helpfully construed as assertions.</w:t>
      </w:r>
    </w:p>
    <w:p w14:paraId="743D3EA6" w14:textId="77777777" w:rsidR="00D87161" w:rsidRDefault="004A474C" w:rsidP="00235817">
      <w:pPr>
        <w:spacing w:line="240" w:lineRule="auto"/>
        <w:rPr>
          <w:rFonts w:cs="Times New Roman"/>
          <w:szCs w:val="24"/>
        </w:rPr>
      </w:pPr>
      <w:r>
        <w:rPr>
          <w:rFonts w:cs="Times New Roman"/>
          <w:szCs w:val="24"/>
        </w:rPr>
        <w:tab/>
        <w:t xml:space="preserve">What this discussion has revealed is that there is a class of speech act that is not an assertion and that constitutively aims at promoting the ends of speaker and audience (and is therefore always subject to the felicitous </w:t>
      </w:r>
      <w:r w:rsidR="00D209B8">
        <w:rPr>
          <w:rFonts w:cs="Times New Roman"/>
          <w:szCs w:val="24"/>
        </w:rPr>
        <w:t>constitutive objection</w:t>
      </w:r>
      <w:r>
        <w:rPr>
          <w:rFonts w:cs="Times New Roman"/>
          <w:szCs w:val="24"/>
        </w:rPr>
        <w:t xml:space="preserve"> that it fails to do so). </w:t>
      </w:r>
      <w:r w:rsidR="00450C11">
        <w:rPr>
          <w:rFonts w:cs="Times New Roman"/>
          <w:szCs w:val="24"/>
        </w:rPr>
        <w:t>We therefore seem to have a good candidate for</w:t>
      </w:r>
      <w:r w:rsidR="00D87161">
        <w:rPr>
          <w:rFonts w:cs="Times New Roman"/>
          <w:szCs w:val="24"/>
        </w:rPr>
        <w:t xml:space="preserve"> the kind of speech act we have been </w:t>
      </w:r>
      <w:r w:rsidR="00450C11">
        <w:rPr>
          <w:rFonts w:cs="Times New Roman"/>
          <w:szCs w:val="24"/>
        </w:rPr>
        <w:t xml:space="preserve">searching for – one that will allow us to introduce a novel way of talking and thinking about a particular linguistic context </w:t>
      </w:r>
      <w:proofErr w:type="gramStart"/>
      <w:r w:rsidR="00450C11">
        <w:rPr>
          <w:rFonts w:cs="Times New Roman"/>
          <w:szCs w:val="24"/>
        </w:rPr>
        <w:t>on t</w:t>
      </w:r>
      <w:r w:rsidR="00B210CF">
        <w:rPr>
          <w:rFonts w:cs="Times New Roman"/>
          <w:szCs w:val="24"/>
        </w:rPr>
        <w:t>he basis of</w:t>
      </w:r>
      <w:proofErr w:type="gramEnd"/>
      <w:r w:rsidR="00B210CF">
        <w:rPr>
          <w:rFonts w:cs="Times New Roman"/>
          <w:szCs w:val="24"/>
        </w:rPr>
        <w:t xml:space="preserve"> its utility</w:t>
      </w:r>
      <w:r w:rsidR="00D87161">
        <w:rPr>
          <w:rFonts w:cs="Times New Roman"/>
          <w:szCs w:val="24"/>
        </w:rPr>
        <w:t>.</w:t>
      </w:r>
    </w:p>
    <w:p w14:paraId="6C996395" w14:textId="77777777" w:rsidR="008968C1" w:rsidRPr="00CB7287" w:rsidRDefault="00453775" w:rsidP="00235817">
      <w:pPr>
        <w:spacing w:line="240" w:lineRule="auto"/>
        <w:ind w:firstLine="720"/>
        <w:rPr>
          <w:rFonts w:cs="Times New Roman"/>
          <w:szCs w:val="24"/>
        </w:rPr>
      </w:pPr>
      <w:r>
        <w:rPr>
          <w:rFonts w:cs="Times New Roman"/>
          <w:szCs w:val="24"/>
        </w:rPr>
        <w:t>So far, however</w:t>
      </w:r>
      <w:r w:rsidR="00D87161">
        <w:rPr>
          <w:rFonts w:cs="Times New Roman"/>
          <w:szCs w:val="24"/>
        </w:rPr>
        <w:t>,</w:t>
      </w:r>
      <w:r>
        <w:rPr>
          <w:rFonts w:cs="Times New Roman"/>
          <w:szCs w:val="24"/>
        </w:rPr>
        <w:t xml:space="preserve"> </w:t>
      </w:r>
      <w:r w:rsidR="00D87161">
        <w:rPr>
          <w:rFonts w:cs="Times New Roman"/>
          <w:szCs w:val="24"/>
        </w:rPr>
        <w:t xml:space="preserve">the examples of stipulation </w:t>
      </w:r>
      <w:r w:rsidR="004A474C">
        <w:rPr>
          <w:rFonts w:cs="Times New Roman"/>
          <w:szCs w:val="24"/>
        </w:rPr>
        <w:t xml:space="preserve">discussed </w:t>
      </w:r>
      <w:r w:rsidR="000C7A7B">
        <w:rPr>
          <w:rFonts w:cs="Times New Roman"/>
          <w:szCs w:val="24"/>
        </w:rPr>
        <w:t xml:space="preserve">have </w:t>
      </w:r>
      <w:r w:rsidR="004A474C">
        <w:rPr>
          <w:rFonts w:cs="Times New Roman"/>
          <w:szCs w:val="24"/>
        </w:rPr>
        <w:t>not involve</w:t>
      </w:r>
      <w:r w:rsidR="000C7A7B">
        <w:rPr>
          <w:rFonts w:cs="Times New Roman"/>
          <w:szCs w:val="24"/>
        </w:rPr>
        <w:t>d</w:t>
      </w:r>
      <w:r w:rsidR="00D87161">
        <w:rPr>
          <w:rFonts w:cs="Times New Roman"/>
          <w:szCs w:val="24"/>
        </w:rPr>
        <w:t xml:space="preserve"> the question of</w:t>
      </w:r>
      <w:r w:rsidR="004A474C">
        <w:rPr>
          <w:rFonts w:cs="Times New Roman"/>
          <w:szCs w:val="24"/>
        </w:rPr>
        <w:t xml:space="preserve"> how a particular term or concept is to be understood</w:t>
      </w:r>
      <w:r>
        <w:rPr>
          <w:rFonts w:cs="Times New Roman"/>
          <w:szCs w:val="24"/>
        </w:rPr>
        <w:t xml:space="preserve">. </w:t>
      </w:r>
      <w:r w:rsidR="000807D6">
        <w:rPr>
          <w:rFonts w:cs="Times New Roman"/>
          <w:szCs w:val="24"/>
        </w:rPr>
        <w:t>But recall my cl</w:t>
      </w:r>
      <w:r w:rsidR="00D87161">
        <w:rPr>
          <w:rFonts w:cs="Times New Roman"/>
          <w:szCs w:val="24"/>
        </w:rPr>
        <w:t>aim</w:t>
      </w:r>
      <w:r w:rsidR="004A474C" w:rsidRPr="00453775">
        <w:rPr>
          <w:rFonts w:cs="Times New Roman"/>
          <w:szCs w:val="24"/>
        </w:rPr>
        <w:t xml:space="preserve"> </w:t>
      </w:r>
      <w:r w:rsidR="00427061">
        <w:rPr>
          <w:rFonts w:cs="Times New Roman"/>
          <w:szCs w:val="24"/>
        </w:rPr>
        <w:t>that</w:t>
      </w:r>
      <w:r w:rsidR="004A474C" w:rsidRPr="00453775">
        <w:rPr>
          <w:rFonts w:cs="Times New Roman"/>
          <w:szCs w:val="24"/>
        </w:rPr>
        <w:t xml:space="preserve"> stipulations do </w:t>
      </w:r>
      <w:r w:rsidR="004A474C" w:rsidRPr="00453775">
        <w:rPr>
          <w:rFonts w:cs="Times New Roman"/>
          <w:i/>
          <w:szCs w:val="24"/>
        </w:rPr>
        <w:t xml:space="preserve">not </w:t>
      </w:r>
      <w:r w:rsidR="004A474C" w:rsidRPr="00453775">
        <w:rPr>
          <w:rFonts w:cs="Times New Roman"/>
          <w:szCs w:val="24"/>
        </w:rPr>
        <w:t xml:space="preserve">have a determinate content they must take as input. There is no reason, then, that a stipulative speech act cannot be performed </w:t>
      </w:r>
      <w:r w:rsidR="009D225F">
        <w:rPr>
          <w:rFonts w:cs="Times New Roman"/>
          <w:szCs w:val="24"/>
        </w:rPr>
        <w:t>that concerns</w:t>
      </w:r>
      <w:r w:rsidR="004A474C" w:rsidRPr="00453775">
        <w:rPr>
          <w:rFonts w:cs="Times New Roman"/>
          <w:szCs w:val="24"/>
        </w:rPr>
        <w:t xml:space="preserve"> how a particular term or concept is to be understood</w:t>
      </w:r>
      <w:r w:rsidR="002E78E9">
        <w:rPr>
          <w:rFonts w:cs="Times New Roman"/>
          <w:szCs w:val="24"/>
        </w:rPr>
        <w:t xml:space="preserve">, and I turn to </w:t>
      </w:r>
      <w:r w:rsidR="00CB7287">
        <w:rPr>
          <w:rFonts w:cs="Times New Roman"/>
          <w:szCs w:val="24"/>
        </w:rPr>
        <w:t>these cases</w:t>
      </w:r>
      <w:r w:rsidR="002E78E9">
        <w:rPr>
          <w:rFonts w:cs="Times New Roman"/>
          <w:szCs w:val="24"/>
        </w:rPr>
        <w:t xml:space="preserve"> now.</w:t>
      </w:r>
    </w:p>
    <w:p w14:paraId="538E3FF1" w14:textId="77777777" w:rsidR="00410157" w:rsidRDefault="00410157" w:rsidP="00235817">
      <w:pPr>
        <w:spacing w:line="240" w:lineRule="auto"/>
        <w:rPr>
          <w:rFonts w:cs="Times New Roman"/>
          <w:szCs w:val="24"/>
        </w:rPr>
      </w:pPr>
    </w:p>
    <w:p w14:paraId="1337E149" w14:textId="77777777" w:rsidR="00D36B07" w:rsidRPr="00D36B07" w:rsidRDefault="00AD7511" w:rsidP="00235817">
      <w:pPr>
        <w:pStyle w:val="ListParagraph"/>
        <w:numPr>
          <w:ilvl w:val="0"/>
          <w:numId w:val="15"/>
        </w:numPr>
        <w:spacing w:line="240" w:lineRule="auto"/>
        <w:rPr>
          <w:rFonts w:cs="Times New Roman"/>
          <w:b/>
          <w:i/>
          <w:szCs w:val="24"/>
        </w:rPr>
      </w:pPr>
      <w:r>
        <w:rPr>
          <w:rFonts w:cs="Times New Roman"/>
          <w:b/>
          <w:i/>
          <w:szCs w:val="24"/>
        </w:rPr>
        <w:t>S</w:t>
      </w:r>
      <w:r w:rsidR="00D36B07" w:rsidRPr="00D36B07">
        <w:rPr>
          <w:rFonts w:cs="Times New Roman"/>
          <w:b/>
          <w:i/>
          <w:szCs w:val="24"/>
        </w:rPr>
        <w:t>tipulation</w:t>
      </w:r>
      <w:r w:rsidR="00CB7287">
        <w:rPr>
          <w:rFonts w:cs="Times New Roman"/>
          <w:b/>
          <w:i/>
          <w:szCs w:val="24"/>
        </w:rPr>
        <w:t xml:space="preserve">, </w:t>
      </w:r>
      <w:r>
        <w:rPr>
          <w:rFonts w:cs="Times New Roman"/>
          <w:b/>
          <w:i/>
          <w:szCs w:val="24"/>
        </w:rPr>
        <w:t>C</w:t>
      </w:r>
      <w:r w:rsidR="00D36B07" w:rsidRPr="00D36B07">
        <w:rPr>
          <w:rFonts w:cs="Times New Roman"/>
          <w:b/>
          <w:i/>
          <w:szCs w:val="24"/>
        </w:rPr>
        <w:t>oncepts</w:t>
      </w:r>
      <w:r w:rsidR="00CB7287">
        <w:rPr>
          <w:rFonts w:cs="Times New Roman"/>
          <w:b/>
          <w:i/>
          <w:szCs w:val="24"/>
        </w:rPr>
        <w:t>, and Philosophy</w:t>
      </w:r>
    </w:p>
    <w:p w14:paraId="61CA741A" w14:textId="77777777" w:rsidR="00D36B07" w:rsidRPr="00D36B07" w:rsidRDefault="00D36B07" w:rsidP="00235817">
      <w:pPr>
        <w:spacing w:line="240" w:lineRule="auto"/>
        <w:rPr>
          <w:rFonts w:cs="Times New Roman"/>
          <w:szCs w:val="24"/>
        </w:rPr>
      </w:pPr>
    </w:p>
    <w:p w14:paraId="2ED4E755" w14:textId="4EC05E90" w:rsidR="001E1602" w:rsidRDefault="003D4EF2" w:rsidP="00235817">
      <w:pPr>
        <w:spacing w:line="240" w:lineRule="auto"/>
        <w:ind w:firstLine="720"/>
        <w:rPr>
          <w:rFonts w:cs="Times New Roman"/>
          <w:szCs w:val="24"/>
        </w:rPr>
      </w:pPr>
      <w:r>
        <w:rPr>
          <w:rFonts w:cs="Times New Roman"/>
          <w:szCs w:val="24"/>
        </w:rPr>
        <w:t>In a discussion</w:t>
      </w:r>
      <w:r w:rsidR="00E50A94">
        <w:rPr>
          <w:rFonts w:cs="Times New Roman"/>
          <w:szCs w:val="24"/>
        </w:rPr>
        <w:t xml:space="preserve"> </w:t>
      </w:r>
      <w:r w:rsidR="008737A9">
        <w:rPr>
          <w:rFonts w:cs="Times New Roman"/>
          <w:szCs w:val="24"/>
        </w:rPr>
        <w:t>in political philosophy</w:t>
      </w:r>
      <w:r>
        <w:rPr>
          <w:rFonts w:cs="Times New Roman"/>
          <w:szCs w:val="24"/>
        </w:rPr>
        <w:t>, I say:</w:t>
      </w:r>
    </w:p>
    <w:p w14:paraId="44F89979" w14:textId="77777777" w:rsidR="00A164F7" w:rsidRDefault="00A164F7" w:rsidP="00235817">
      <w:pPr>
        <w:spacing w:line="240" w:lineRule="auto"/>
        <w:ind w:firstLine="720"/>
        <w:rPr>
          <w:rFonts w:cs="Times New Roman"/>
          <w:szCs w:val="24"/>
        </w:rPr>
      </w:pPr>
    </w:p>
    <w:p w14:paraId="0A193C4A" w14:textId="1BC3C1A6" w:rsidR="001E1602" w:rsidRPr="00A164F7" w:rsidRDefault="003D4EF2" w:rsidP="00A164F7">
      <w:pPr>
        <w:pStyle w:val="ListParagraph"/>
        <w:numPr>
          <w:ilvl w:val="0"/>
          <w:numId w:val="14"/>
        </w:numPr>
        <w:spacing w:line="240" w:lineRule="auto"/>
        <w:rPr>
          <w:rFonts w:cs="Times New Roman"/>
          <w:szCs w:val="24"/>
        </w:rPr>
      </w:pPr>
      <w:r w:rsidRPr="00BB4D54">
        <w:rPr>
          <w:rFonts w:cs="Times New Roman"/>
          <w:szCs w:val="24"/>
        </w:rPr>
        <w:t xml:space="preserve">I stipulate that </w:t>
      </w:r>
      <w:r w:rsidR="00E50A94" w:rsidRPr="00BB4D54">
        <w:rPr>
          <w:rFonts w:cs="Times New Roman"/>
          <w:szCs w:val="24"/>
        </w:rPr>
        <w:t>‘</w:t>
      </w:r>
      <w:r w:rsidR="007C3912" w:rsidRPr="00BB4D54">
        <w:rPr>
          <w:rFonts w:cs="Times New Roman"/>
          <w:szCs w:val="24"/>
        </w:rPr>
        <w:t>oppression</w:t>
      </w:r>
      <w:r w:rsidR="00E50A94" w:rsidRPr="00BB4D54">
        <w:rPr>
          <w:rFonts w:cs="Times New Roman"/>
          <w:szCs w:val="24"/>
        </w:rPr>
        <w:t xml:space="preserve">’ </w:t>
      </w:r>
      <w:r w:rsidR="00F872A6" w:rsidRPr="00BB4D54">
        <w:rPr>
          <w:rFonts w:cs="Times New Roman"/>
          <w:szCs w:val="24"/>
        </w:rPr>
        <w:t>means</w:t>
      </w:r>
      <w:r w:rsidR="00E50A94" w:rsidRPr="00BB4D54">
        <w:rPr>
          <w:rFonts w:cs="Times New Roman"/>
          <w:szCs w:val="24"/>
        </w:rPr>
        <w:t xml:space="preserve"> </w:t>
      </w:r>
      <w:r w:rsidR="007C3912" w:rsidRPr="00BB4D54">
        <w:rPr>
          <w:szCs w:val="24"/>
        </w:rPr>
        <w:t>institutional constraints on a social group’s self-</w:t>
      </w:r>
      <w:r w:rsidR="007C3912" w:rsidRPr="00A164F7">
        <w:rPr>
          <w:szCs w:val="24"/>
        </w:rPr>
        <w:t>development</w:t>
      </w:r>
      <w:r w:rsidR="00E50A94" w:rsidRPr="00A164F7">
        <w:rPr>
          <w:rFonts w:cs="Times New Roman"/>
          <w:szCs w:val="24"/>
        </w:rPr>
        <w:t>.</w:t>
      </w:r>
    </w:p>
    <w:p w14:paraId="052A9EFB" w14:textId="77777777" w:rsidR="00967BC5" w:rsidRDefault="00967BC5" w:rsidP="00235817">
      <w:pPr>
        <w:spacing w:line="240" w:lineRule="auto"/>
        <w:rPr>
          <w:rFonts w:cs="Times New Roman"/>
          <w:szCs w:val="24"/>
        </w:rPr>
      </w:pPr>
    </w:p>
    <w:p w14:paraId="4F21AA38" w14:textId="77777777" w:rsidR="00CE572B" w:rsidRDefault="00D25140" w:rsidP="00235817">
      <w:pPr>
        <w:spacing w:line="240" w:lineRule="auto"/>
        <w:rPr>
          <w:rFonts w:cs="Times New Roman"/>
          <w:szCs w:val="24"/>
        </w:rPr>
      </w:pPr>
      <w:r>
        <w:rPr>
          <w:rFonts w:cs="Times New Roman"/>
          <w:szCs w:val="24"/>
        </w:rPr>
        <w:t>As</w:t>
      </w:r>
      <w:r w:rsidR="00BB4D54">
        <w:rPr>
          <w:rFonts w:cs="Times New Roman"/>
          <w:szCs w:val="24"/>
        </w:rPr>
        <w:t xml:space="preserve"> phrased, (8</w:t>
      </w:r>
      <w:r w:rsidR="00B42746">
        <w:rPr>
          <w:rFonts w:cs="Times New Roman"/>
          <w:szCs w:val="24"/>
        </w:rPr>
        <w:t>) m</w:t>
      </w:r>
      <w:r>
        <w:rPr>
          <w:rFonts w:cs="Times New Roman"/>
          <w:szCs w:val="24"/>
        </w:rPr>
        <w:t xml:space="preserve">ay </w:t>
      </w:r>
      <w:r w:rsidR="00B42746">
        <w:rPr>
          <w:rFonts w:cs="Times New Roman"/>
          <w:szCs w:val="24"/>
        </w:rPr>
        <w:t>sound as though it is addressing a marginal issue, rather than givi</w:t>
      </w:r>
      <w:r w:rsidR="0070749F">
        <w:rPr>
          <w:rFonts w:cs="Times New Roman"/>
          <w:szCs w:val="24"/>
        </w:rPr>
        <w:t>ng an account of</w:t>
      </w:r>
      <w:r w:rsidR="00B42746">
        <w:rPr>
          <w:rFonts w:cs="Times New Roman"/>
          <w:szCs w:val="24"/>
        </w:rPr>
        <w:t xml:space="preserve"> how the term ‘</w:t>
      </w:r>
      <w:r w:rsidR="007C3912">
        <w:rPr>
          <w:rFonts w:cs="Times New Roman"/>
          <w:szCs w:val="24"/>
        </w:rPr>
        <w:t>oppression’ (or the concept of oppression</w:t>
      </w:r>
      <w:r w:rsidR="00B42746">
        <w:rPr>
          <w:rFonts w:cs="Times New Roman"/>
          <w:szCs w:val="24"/>
        </w:rPr>
        <w:t xml:space="preserve">) should be understood, </w:t>
      </w:r>
      <w:r w:rsidR="00F872A6">
        <w:rPr>
          <w:rFonts w:cs="Times New Roman"/>
          <w:szCs w:val="24"/>
        </w:rPr>
        <w:t>but</w:t>
      </w:r>
      <w:r w:rsidR="00B42746">
        <w:rPr>
          <w:rFonts w:cs="Times New Roman"/>
          <w:szCs w:val="24"/>
        </w:rPr>
        <w:t xml:space="preserve"> it is the latter</w:t>
      </w:r>
      <w:r>
        <w:rPr>
          <w:rFonts w:cs="Times New Roman"/>
          <w:szCs w:val="24"/>
        </w:rPr>
        <w:t xml:space="preserve"> (it may be </w:t>
      </w:r>
      <w:r w:rsidR="00C859FE">
        <w:rPr>
          <w:rFonts w:cs="Times New Roman"/>
          <w:szCs w:val="24"/>
        </w:rPr>
        <w:t>objected</w:t>
      </w:r>
      <w:r>
        <w:rPr>
          <w:rFonts w:cs="Times New Roman"/>
          <w:szCs w:val="24"/>
        </w:rPr>
        <w:t>)</w:t>
      </w:r>
      <w:r w:rsidR="00B42746">
        <w:rPr>
          <w:rFonts w:cs="Times New Roman"/>
          <w:szCs w:val="24"/>
        </w:rPr>
        <w:t xml:space="preserve"> that philosophers are concerned to give. Note, however, that my account of stipulati</w:t>
      </w:r>
      <w:r w:rsidR="008E3CE7">
        <w:rPr>
          <w:rFonts w:cs="Times New Roman"/>
          <w:szCs w:val="24"/>
        </w:rPr>
        <w:t>o</w:t>
      </w:r>
      <w:r w:rsidR="00BB4D54">
        <w:rPr>
          <w:rFonts w:cs="Times New Roman"/>
          <w:szCs w:val="24"/>
        </w:rPr>
        <w:t>n covers both cases. Suppose (8</w:t>
      </w:r>
      <w:r w:rsidR="00B42746">
        <w:rPr>
          <w:rFonts w:cs="Times New Roman"/>
          <w:szCs w:val="24"/>
        </w:rPr>
        <w:t>) is</w:t>
      </w:r>
      <w:r>
        <w:rPr>
          <w:rFonts w:cs="Times New Roman"/>
          <w:szCs w:val="24"/>
        </w:rPr>
        <w:t xml:space="preserve"> indeed</w:t>
      </w:r>
      <w:r w:rsidR="00B42746">
        <w:rPr>
          <w:rFonts w:cs="Times New Roman"/>
          <w:szCs w:val="24"/>
        </w:rPr>
        <w:t xml:space="preserve"> addressing a marginal issue that I want to </w:t>
      </w:r>
      <w:r w:rsidR="00A72C12">
        <w:rPr>
          <w:rFonts w:cs="Times New Roman"/>
          <w:szCs w:val="24"/>
        </w:rPr>
        <w:t xml:space="preserve">quickly settle and not </w:t>
      </w:r>
      <w:r w:rsidR="00CE572B">
        <w:rPr>
          <w:rFonts w:cs="Times New Roman"/>
          <w:szCs w:val="24"/>
        </w:rPr>
        <w:t xml:space="preserve">have us </w:t>
      </w:r>
      <w:r w:rsidR="00A72C12">
        <w:rPr>
          <w:rFonts w:cs="Times New Roman"/>
          <w:szCs w:val="24"/>
        </w:rPr>
        <w:t xml:space="preserve">get </w:t>
      </w:r>
      <w:r w:rsidR="00F872A6">
        <w:rPr>
          <w:rFonts w:cs="Times New Roman"/>
          <w:szCs w:val="24"/>
        </w:rPr>
        <w:t>si</w:t>
      </w:r>
      <w:r w:rsidR="00A72C12">
        <w:rPr>
          <w:rFonts w:cs="Times New Roman"/>
          <w:szCs w:val="24"/>
        </w:rPr>
        <w:t>d</w:t>
      </w:r>
      <w:r w:rsidR="00F872A6">
        <w:rPr>
          <w:rFonts w:cs="Times New Roman"/>
          <w:szCs w:val="24"/>
        </w:rPr>
        <w:t>etracked</w:t>
      </w:r>
      <w:r w:rsidR="00A72C12">
        <w:rPr>
          <w:rFonts w:cs="Times New Roman"/>
          <w:szCs w:val="24"/>
        </w:rPr>
        <w:t xml:space="preserve"> by. Then the end I will either implicitly or ex</w:t>
      </w:r>
      <w:r w:rsidR="004F2424">
        <w:rPr>
          <w:rFonts w:cs="Times New Roman"/>
          <w:szCs w:val="24"/>
        </w:rPr>
        <w:t xml:space="preserve">plicitly appeal </w:t>
      </w:r>
      <w:r w:rsidR="0028557A">
        <w:rPr>
          <w:rFonts w:cs="Times New Roman"/>
          <w:szCs w:val="24"/>
        </w:rPr>
        <w:t xml:space="preserve">to </w:t>
      </w:r>
      <w:r w:rsidR="00BB4D54">
        <w:rPr>
          <w:rFonts w:cs="Times New Roman"/>
          <w:szCs w:val="24"/>
        </w:rPr>
        <w:t>in justifying (8</w:t>
      </w:r>
      <w:r>
        <w:rPr>
          <w:rFonts w:cs="Times New Roman"/>
          <w:szCs w:val="24"/>
        </w:rPr>
        <w:t>) is that my</w:t>
      </w:r>
      <w:r w:rsidR="00A72C12">
        <w:rPr>
          <w:rFonts w:cs="Times New Roman"/>
          <w:szCs w:val="24"/>
        </w:rPr>
        <w:t xml:space="preserve"> st</w:t>
      </w:r>
      <w:r w:rsidR="00CE572B">
        <w:rPr>
          <w:rFonts w:cs="Times New Roman"/>
          <w:szCs w:val="24"/>
        </w:rPr>
        <w:t xml:space="preserve">ipulation will help us get </w:t>
      </w:r>
      <w:r>
        <w:rPr>
          <w:rFonts w:cs="Times New Roman"/>
          <w:szCs w:val="24"/>
        </w:rPr>
        <w:t xml:space="preserve">right </w:t>
      </w:r>
      <w:r w:rsidR="00A72C12">
        <w:rPr>
          <w:rFonts w:cs="Times New Roman"/>
          <w:szCs w:val="24"/>
        </w:rPr>
        <w:t>to the questi</w:t>
      </w:r>
      <w:r w:rsidR="00CE572B">
        <w:rPr>
          <w:rFonts w:cs="Times New Roman"/>
          <w:szCs w:val="24"/>
        </w:rPr>
        <w:t xml:space="preserve">ons </w:t>
      </w:r>
      <w:r w:rsidR="001D644D">
        <w:rPr>
          <w:rFonts w:cs="Times New Roman"/>
          <w:szCs w:val="24"/>
        </w:rPr>
        <w:t>of primary interest</w:t>
      </w:r>
      <w:r w:rsidR="00CE572B">
        <w:rPr>
          <w:rFonts w:cs="Times New Roman"/>
          <w:szCs w:val="24"/>
        </w:rPr>
        <w:t>.</w:t>
      </w:r>
    </w:p>
    <w:p w14:paraId="598C1889" w14:textId="77777777" w:rsidR="008E3CE7" w:rsidRDefault="00BB4D54" w:rsidP="00235817">
      <w:pPr>
        <w:spacing w:line="240" w:lineRule="auto"/>
        <w:ind w:firstLine="720"/>
        <w:rPr>
          <w:rFonts w:cs="Times New Roman"/>
          <w:szCs w:val="24"/>
        </w:rPr>
      </w:pPr>
      <w:r>
        <w:rPr>
          <w:rFonts w:cs="Times New Roman"/>
          <w:szCs w:val="24"/>
        </w:rPr>
        <w:t>But perhaps in (8</w:t>
      </w:r>
      <w:r w:rsidR="00A72C12">
        <w:rPr>
          <w:rFonts w:cs="Times New Roman"/>
          <w:szCs w:val="24"/>
        </w:rPr>
        <w:t xml:space="preserve">) I am aiming to give a more robust account. </w:t>
      </w:r>
      <w:r>
        <w:rPr>
          <w:rFonts w:cs="Times New Roman"/>
          <w:szCs w:val="24"/>
        </w:rPr>
        <w:t>Indeed, the view in (8</w:t>
      </w:r>
      <w:r w:rsidR="008E3CE7">
        <w:rPr>
          <w:rFonts w:cs="Times New Roman"/>
          <w:szCs w:val="24"/>
        </w:rPr>
        <w:t xml:space="preserve">) is taken from the work of Iris Marion Young, and I turn now to details of </w:t>
      </w:r>
      <w:r w:rsidR="008737A9">
        <w:rPr>
          <w:rFonts w:cs="Times New Roman"/>
          <w:szCs w:val="24"/>
        </w:rPr>
        <w:t xml:space="preserve">her account of this concept </w:t>
      </w:r>
      <w:r w:rsidR="005411DB">
        <w:rPr>
          <w:rFonts w:cs="Times New Roman"/>
          <w:szCs w:val="24"/>
        </w:rPr>
        <w:t>for</w:t>
      </w:r>
      <w:r w:rsidR="008E3CE7">
        <w:rPr>
          <w:rFonts w:cs="Times New Roman"/>
          <w:szCs w:val="24"/>
        </w:rPr>
        <w:t xml:space="preserve"> the first of two applications of my account of stipul</w:t>
      </w:r>
      <w:r w:rsidR="00536AEE">
        <w:rPr>
          <w:rFonts w:cs="Times New Roman"/>
          <w:szCs w:val="24"/>
        </w:rPr>
        <w:t xml:space="preserve">ation. </w:t>
      </w:r>
      <w:r w:rsidR="008E3CE7">
        <w:rPr>
          <w:rFonts w:cs="Times New Roman"/>
          <w:szCs w:val="24"/>
        </w:rPr>
        <w:t>These applications should help</w:t>
      </w:r>
      <w:r w:rsidR="00536AEE">
        <w:rPr>
          <w:rFonts w:cs="Times New Roman"/>
          <w:szCs w:val="24"/>
        </w:rPr>
        <w:t xml:space="preserve"> to </w:t>
      </w:r>
      <w:r w:rsidR="005F6807">
        <w:rPr>
          <w:rFonts w:cs="Times New Roman"/>
          <w:szCs w:val="24"/>
        </w:rPr>
        <w:t>further clarify</w:t>
      </w:r>
      <w:r w:rsidR="00536AEE">
        <w:rPr>
          <w:rFonts w:cs="Times New Roman"/>
          <w:szCs w:val="24"/>
        </w:rPr>
        <w:t xml:space="preserve"> the details of the account and demonstrate </w:t>
      </w:r>
      <w:r w:rsidR="00AE25A4">
        <w:rPr>
          <w:rFonts w:cs="Times New Roman"/>
          <w:szCs w:val="24"/>
        </w:rPr>
        <w:t xml:space="preserve">its </w:t>
      </w:r>
      <w:r w:rsidR="00536AEE">
        <w:rPr>
          <w:rFonts w:cs="Times New Roman"/>
          <w:szCs w:val="24"/>
        </w:rPr>
        <w:t xml:space="preserve">utility as a </w:t>
      </w:r>
      <w:r w:rsidR="008737A9">
        <w:rPr>
          <w:rFonts w:cs="Times New Roman"/>
          <w:szCs w:val="24"/>
        </w:rPr>
        <w:t>view of philosophical language</w:t>
      </w:r>
      <w:r w:rsidR="00536AEE">
        <w:rPr>
          <w:rFonts w:cs="Times New Roman"/>
          <w:szCs w:val="24"/>
        </w:rPr>
        <w:t>.</w:t>
      </w:r>
    </w:p>
    <w:p w14:paraId="6E9612B6" w14:textId="77777777" w:rsidR="00E1517C" w:rsidRPr="00DE14F3" w:rsidRDefault="002E78E9" w:rsidP="00235817">
      <w:pPr>
        <w:spacing w:line="240" w:lineRule="auto"/>
        <w:ind w:firstLine="720"/>
        <w:rPr>
          <w:rFonts w:cs="Times New Roman"/>
          <w:bCs/>
          <w:sz w:val="22"/>
        </w:rPr>
      </w:pPr>
      <w:r>
        <w:t xml:space="preserve">In </w:t>
      </w:r>
      <w:r>
        <w:rPr>
          <w:i/>
        </w:rPr>
        <w:t>Justice and the Politics of Difference</w:t>
      </w:r>
      <w:r>
        <w:t xml:space="preserve">, </w:t>
      </w:r>
      <w:r w:rsidR="00E1517C">
        <w:t xml:space="preserve">Young explains </w:t>
      </w:r>
      <w:r w:rsidR="00A606CA">
        <w:t xml:space="preserve">that </w:t>
      </w:r>
      <w:r w:rsidR="00E1517C">
        <w:t>she will apply the term ‘oppression’ to the context of late twentieth-century American society. She acknowledges that this use of the te</w:t>
      </w:r>
      <w:r w:rsidR="008737A9">
        <w:t>rm will be surprising to many: ‘</w:t>
      </w:r>
      <w:r w:rsidR="00E1517C">
        <w:t>One reason that many people would not use the term oppression to describe injustice in our society is that they do not understand the term in the same way as do new social movements. In its traditional usage, oppression means the exerci</w:t>
      </w:r>
      <w:r w:rsidR="008737A9">
        <w:t>se of tyranny by a ruling group’</w:t>
      </w:r>
      <w:r w:rsidR="00AC0E1B">
        <w:t xml:space="preserve"> </w:t>
      </w:r>
      <w:r w:rsidR="00862DE2">
        <w:t>(Young, 1990, p. 40)</w:t>
      </w:r>
      <w:r w:rsidR="00E1517C">
        <w:t>. When under</w:t>
      </w:r>
      <w:r w:rsidR="00B50B4F">
        <w:t>stood as fundamentally tied to ‘</w:t>
      </w:r>
      <w:r w:rsidR="00E1517C">
        <w:t>the exerci</w:t>
      </w:r>
      <w:r w:rsidR="00B50B4F">
        <w:t>se of tyranny by a ruling group’</w:t>
      </w:r>
      <w:r w:rsidR="00E1517C">
        <w:t>, the concept of oppression</w:t>
      </w:r>
      <w:r w:rsidR="00B50B4F">
        <w:t xml:space="preserve"> is therefore assumed to apply ‘</w:t>
      </w:r>
      <w:r w:rsidR="00E1517C">
        <w:t>societies</w:t>
      </w:r>
      <w:r w:rsidR="00310E48">
        <w:t xml:space="preserve"> other</w:t>
      </w:r>
      <w:r w:rsidR="00E1517C">
        <w:t xml:space="preserve"> than our own</w:t>
      </w:r>
      <w:r w:rsidR="00B50B4F">
        <w:t>’</w:t>
      </w:r>
      <w:r w:rsidR="00E1517C">
        <w:t xml:space="preserve">, that is, those governed by explicitly authoritarian regimes and those enforcing </w:t>
      </w:r>
      <w:r w:rsidR="00E1517C">
        <w:rPr>
          <w:i/>
        </w:rPr>
        <w:t>de jure</w:t>
      </w:r>
      <w:r w:rsidR="00E1517C">
        <w:t xml:space="preserve"> discrimination, suc</w:t>
      </w:r>
      <w:r w:rsidR="00B50B4F">
        <w:t>h as apartheid South Africa</w:t>
      </w:r>
      <w:r w:rsidR="008B5B5E">
        <w:t xml:space="preserve"> (Young, 1990, p. 41).</w:t>
      </w:r>
      <w:r w:rsidR="00E1517C">
        <w:t xml:space="preserve"> Young, by contrast, takes up the usage and understanding o</w:t>
      </w:r>
      <w:r w:rsidR="00B50B4F">
        <w:t>f the concept of oppression by ‘</w:t>
      </w:r>
      <w:r w:rsidR="00E1517C">
        <w:t>[n]ew left social move</w:t>
      </w:r>
      <w:r w:rsidR="00B50B4F">
        <w:t>ments of the 1960s and 1970s’</w:t>
      </w:r>
      <w:r w:rsidR="00E1517C">
        <w:t xml:space="preserve"> that severs any fundamental link between the concept of oppression and a determinate figure or group of authoritarian leaders</w:t>
      </w:r>
      <w:r w:rsidR="00D36CCC">
        <w:t xml:space="preserve"> (1990, p. 41)</w:t>
      </w:r>
      <w:r w:rsidR="00E1517C">
        <w:t xml:space="preserve">. We are told: </w:t>
      </w:r>
      <w:r w:rsidR="00B50B4F">
        <w:rPr>
          <w:szCs w:val="24"/>
        </w:rPr>
        <w:t>‘</w:t>
      </w:r>
      <w:r w:rsidR="00E1517C">
        <w:rPr>
          <w:rFonts w:cs="Times New Roman"/>
          <w:bCs/>
          <w:szCs w:val="24"/>
        </w:rPr>
        <w:t>O</w:t>
      </w:r>
      <w:r w:rsidR="00E1517C" w:rsidRPr="00470E8A">
        <w:rPr>
          <w:rFonts w:cs="Times New Roman"/>
          <w:bCs/>
          <w:szCs w:val="24"/>
        </w:rPr>
        <w:t>ppression refers to structural phenomena that</w:t>
      </w:r>
      <w:r w:rsidR="00B50B4F">
        <w:rPr>
          <w:rFonts w:cs="Times New Roman"/>
          <w:bCs/>
          <w:szCs w:val="24"/>
        </w:rPr>
        <w:t xml:space="preserve"> immobilize or diminish a group’</w:t>
      </w:r>
      <w:r w:rsidR="00E1517C">
        <w:rPr>
          <w:rFonts w:cs="Times New Roman"/>
          <w:bCs/>
          <w:szCs w:val="24"/>
        </w:rPr>
        <w:t>, specifically in terms of its self-development</w:t>
      </w:r>
      <w:r w:rsidR="000F0E33">
        <w:rPr>
          <w:rFonts w:cs="Times New Roman"/>
          <w:bCs/>
          <w:szCs w:val="24"/>
        </w:rPr>
        <w:t xml:space="preserve"> (Young, 1990, p. 42)</w:t>
      </w:r>
      <w:r w:rsidR="00E1517C" w:rsidRPr="00470E8A">
        <w:rPr>
          <w:rFonts w:cs="Times New Roman"/>
          <w:bCs/>
          <w:szCs w:val="24"/>
        </w:rPr>
        <w:t>.</w:t>
      </w:r>
      <w:r w:rsidR="00E1517C">
        <w:rPr>
          <w:rFonts w:cs="Times New Roman"/>
          <w:bCs/>
          <w:szCs w:val="24"/>
        </w:rPr>
        <w:t xml:space="preserve"> </w:t>
      </w:r>
      <w:r w:rsidR="00DE14F3">
        <w:rPr>
          <w:szCs w:val="24"/>
        </w:rPr>
        <w:t xml:space="preserve">The ‘structural phenomena’ </w:t>
      </w:r>
      <w:r w:rsidR="00E1517C" w:rsidRPr="00BD6F6E">
        <w:rPr>
          <w:szCs w:val="24"/>
        </w:rPr>
        <w:t xml:space="preserve">constraining a social group’s self-development need </w:t>
      </w:r>
      <w:r>
        <w:rPr>
          <w:szCs w:val="24"/>
        </w:rPr>
        <w:t xml:space="preserve">not </w:t>
      </w:r>
      <w:r w:rsidR="006A3AC1">
        <w:rPr>
          <w:szCs w:val="24"/>
        </w:rPr>
        <w:t>‘</w:t>
      </w:r>
      <w:r w:rsidR="00E1517C" w:rsidRPr="00BD6F6E">
        <w:rPr>
          <w:rFonts w:cs="Times New Roman"/>
          <w:bCs/>
          <w:szCs w:val="24"/>
        </w:rPr>
        <w:t xml:space="preserve">be understood as perpetrated </w:t>
      </w:r>
      <w:r w:rsidR="006A3AC1">
        <w:rPr>
          <w:rFonts w:cs="Times New Roman"/>
          <w:bCs/>
          <w:szCs w:val="24"/>
        </w:rPr>
        <w:t>by particular oppressing agents’</w:t>
      </w:r>
      <w:r w:rsidR="00E1517C" w:rsidRPr="00BD6F6E">
        <w:rPr>
          <w:rFonts w:cs="Times New Roman"/>
          <w:bCs/>
          <w:szCs w:val="24"/>
        </w:rPr>
        <w:t xml:space="preserve">, </w:t>
      </w:r>
      <w:r w:rsidR="00E1517C">
        <w:rPr>
          <w:rFonts w:cs="Times New Roman"/>
          <w:bCs/>
          <w:szCs w:val="24"/>
        </w:rPr>
        <w:t xml:space="preserve">otherwise </w:t>
      </w:r>
      <w:r w:rsidR="006A3AC1">
        <w:rPr>
          <w:rFonts w:cs="Times New Roman"/>
          <w:bCs/>
          <w:szCs w:val="24"/>
        </w:rPr>
        <w:t>‘</w:t>
      </w:r>
      <w:r w:rsidR="00E1517C" w:rsidRPr="00BD6F6E">
        <w:rPr>
          <w:rFonts w:cs="Times New Roman"/>
          <w:bCs/>
          <w:szCs w:val="24"/>
        </w:rPr>
        <w:t xml:space="preserve">one misses the </w:t>
      </w:r>
      <w:r w:rsidR="00E1517C" w:rsidRPr="00BD6F6E">
        <w:rPr>
          <w:rFonts w:cs="Times New Roman"/>
          <w:bCs/>
          <w:szCs w:val="24"/>
        </w:rPr>
        <w:lastRenderedPageBreak/>
        <w:t>mundane and sys</w:t>
      </w:r>
      <w:r w:rsidR="006A3AC1">
        <w:rPr>
          <w:rFonts w:cs="Times New Roman"/>
          <w:bCs/>
          <w:szCs w:val="24"/>
        </w:rPr>
        <w:t>tematic character of oppression’</w:t>
      </w:r>
      <w:r w:rsidR="009C136F">
        <w:rPr>
          <w:rFonts w:cs="Times New Roman"/>
          <w:bCs/>
          <w:szCs w:val="24"/>
        </w:rPr>
        <w:t xml:space="preserve"> (Young, 1990, p. 196)</w:t>
      </w:r>
      <w:r w:rsidR="00E1517C" w:rsidRPr="00BD6F6E">
        <w:rPr>
          <w:rFonts w:cs="Times New Roman"/>
          <w:bCs/>
          <w:szCs w:val="24"/>
        </w:rPr>
        <w:t>. That is, we e</w:t>
      </w:r>
      <w:r w:rsidR="006A3AC1">
        <w:rPr>
          <w:rFonts w:cs="Times New Roman"/>
          <w:bCs/>
          <w:szCs w:val="24"/>
        </w:rPr>
        <w:t>nd up missing ‘</w:t>
      </w:r>
      <w:r w:rsidR="00E1517C" w:rsidRPr="00BD6F6E">
        <w:rPr>
          <w:szCs w:val="24"/>
        </w:rPr>
        <w:t>the disadvantage and injustice some people suffer not because a tyrannical power coerces them, but because of the everyday practices of a well-i</w:t>
      </w:r>
      <w:r w:rsidR="006A3AC1">
        <w:rPr>
          <w:szCs w:val="24"/>
        </w:rPr>
        <w:t>ntentioned liberal society’</w:t>
      </w:r>
      <w:r w:rsidR="007C375C">
        <w:rPr>
          <w:szCs w:val="24"/>
        </w:rPr>
        <w:t xml:space="preserve"> (Young, 1990, p. 41)</w:t>
      </w:r>
      <w:r w:rsidR="00E1517C" w:rsidRPr="00BD6F6E">
        <w:rPr>
          <w:szCs w:val="24"/>
        </w:rPr>
        <w:t>.</w:t>
      </w:r>
    </w:p>
    <w:p w14:paraId="0E58D33F" w14:textId="77777777" w:rsidR="00E1517C" w:rsidRDefault="00E1517C" w:rsidP="00235817">
      <w:pPr>
        <w:spacing w:line="240" w:lineRule="auto"/>
        <w:rPr>
          <w:szCs w:val="24"/>
        </w:rPr>
      </w:pPr>
      <w:r>
        <w:rPr>
          <w:szCs w:val="24"/>
        </w:rPr>
        <w:tab/>
        <w:t xml:space="preserve">What sort of speech act should we say Young is performing in articulating this understanding of the concept of oppression? </w:t>
      </w:r>
      <w:r w:rsidR="00401D41">
        <w:rPr>
          <w:szCs w:val="24"/>
        </w:rPr>
        <w:t>Many</w:t>
      </w:r>
      <w:r>
        <w:rPr>
          <w:szCs w:val="24"/>
        </w:rPr>
        <w:t xml:space="preserve"> of her formulations are assertoric. They appear to state what is the case with respect</w:t>
      </w:r>
      <w:r w:rsidR="005B5A1D">
        <w:rPr>
          <w:szCs w:val="24"/>
        </w:rPr>
        <w:t xml:space="preserve"> to the concept of oppression: ‘Oppression consists in…’</w:t>
      </w:r>
      <w:r w:rsidR="007C375C">
        <w:rPr>
          <w:szCs w:val="24"/>
        </w:rPr>
        <w:t xml:space="preserve"> (1990, p. 38)</w:t>
      </w:r>
      <w:r w:rsidR="005B5A1D">
        <w:rPr>
          <w:szCs w:val="24"/>
        </w:rPr>
        <w:t>; ‘Oppression refers to…’</w:t>
      </w:r>
      <w:r>
        <w:rPr>
          <w:szCs w:val="24"/>
        </w:rPr>
        <w:t>; the traditional understandin</w:t>
      </w:r>
      <w:r w:rsidR="005B5A1D">
        <w:rPr>
          <w:szCs w:val="24"/>
        </w:rPr>
        <w:t>g of the concept of oppression ‘</w:t>
      </w:r>
      <w:r>
        <w:rPr>
          <w:szCs w:val="24"/>
        </w:rPr>
        <w:t>misses [its] m</w:t>
      </w:r>
      <w:r w:rsidR="005B5A1D">
        <w:rPr>
          <w:szCs w:val="24"/>
        </w:rPr>
        <w:t>undane and systematic character’</w:t>
      </w:r>
      <w:r>
        <w:rPr>
          <w:szCs w:val="24"/>
        </w:rPr>
        <w:t xml:space="preserve">. </w:t>
      </w:r>
      <w:r w:rsidR="001241FD">
        <w:rPr>
          <w:szCs w:val="24"/>
        </w:rPr>
        <w:t>But</w:t>
      </w:r>
      <w:r>
        <w:rPr>
          <w:szCs w:val="24"/>
        </w:rPr>
        <w:t xml:space="preserve"> Young explicitly acknowledges that her account of this concept will be surprising to many precisely because it does </w:t>
      </w:r>
      <w:r>
        <w:rPr>
          <w:i/>
          <w:szCs w:val="24"/>
        </w:rPr>
        <w:t>not</w:t>
      </w:r>
      <w:r>
        <w:rPr>
          <w:szCs w:val="24"/>
        </w:rPr>
        <w:t xml:space="preserve"> represent how this concept is currently used and understood by </w:t>
      </w:r>
      <w:proofErr w:type="gramStart"/>
      <w:r>
        <w:rPr>
          <w:szCs w:val="24"/>
        </w:rPr>
        <w:t>the vast</w:t>
      </w:r>
      <w:r w:rsidR="003970DE">
        <w:rPr>
          <w:szCs w:val="24"/>
        </w:rPr>
        <w:t xml:space="preserve"> majority of</w:t>
      </w:r>
      <w:proofErr w:type="gramEnd"/>
      <w:r w:rsidR="003970DE">
        <w:rPr>
          <w:szCs w:val="24"/>
        </w:rPr>
        <w:t xml:space="preserve"> speakers: it is a ‘new’ and ‘extended’</w:t>
      </w:r>
      <w:r>
        <w:rPr>
          <w:szCs w:val="24"/>
        </w:rPr>
        <w:t xml:space="preserve"> usage that therefore does not seem to state what is the case with respect t</w:t>
      </w:r>
      <w:r w:rsidR="003970DE">
        <w:rPr>
          <w:szCs w:val="24"/>
        </w:rPr>
        <w:t>o the concept of oppression</w:t>
      </w:r>
      <w:r w:rsidR="00375E9B">
        <w:rPr>
          <w:szCs w:val="24"/>
        </w:rPr>
        <w:t xml:space="preserve"> (Young, 1990, p. </w:t>
      </w:r>
      <w:r>
        <w:rPr>
          <w:szCs w:val="24"/>
        </w:rPr>
        <w:t>.</w:t>
      </w:r>
      <w:r w:rsidR="00375E9B">
        <w:rPr>
          <w:szCs w:val="24"/>
        </w:rPr>
        <w:t>41).</w:t>
      </w:r>
      <w:r>
        <w:rPr>
          <w:szCs w:val="24"/>
        </w:rPr>
        <w:t xml:space="preserve"> But Young is also not simply saying that we should adopt this usage </w:t>
      </w:r>
      <w:proofErr w:type="gramStart"/>
      <w:r>
        <w:rPr>
          <w:szCs w:val="24"/>
        </w:rPr>
        <w:t>on the basis of</w:t>
      </w:r>
      <w:proofErr w:type="gramEnd"/>
      <w:r>
        <w:rPr>
          <w:szCs w:val="24"/>
        </w:rPr>
        <w:t xml:space="preserve"> her speaker authority or the authority of these social movem</w:t>
      </w:r>
      <w:r w:rsidR="00C77BDF">
        <w:rPr>
          <w:szCs w:val="24"/>
        </w:rPr>
        <w:t>ents.</w:t>
      </w:r>
    </w:p>
    <w:p w14:paraId="00ACC692" w14:textId="77777777" w:rsidR="00E1517C" w:rsidRDefault="00E1517C" w:rsidP="00235817">
      <w:pPr>
        <w:spacing w:line="240" w:lineRule="auto"/>
        <w:rPr>
          <w:szCs w:val="24"/>
        </w:rPr>
      </w:pPr>
      <w:r>
        <w:rPr>
          <w:szCs w:val="24"/>
        </w:rPr>
        <w:tab/>
        <w:t>My preferred interpretation</w:t>
      </w:r>
      <w:r w:rsidR="00E221F5">
        <w:rPr>
          <w:szCs w:val="24"/>
        </w:rPr>
        <w:t xml:space="preserve"> </w:t>
      </w:r>
      <w:r>
        <w:rPr>
          <w:szCs w:val="24"/>
        </w:rPr>
        <w:t>is that Young is engaging in an act of stipulation: she is attempting to impart an inferential entitlement to both herself and her readers that they understand the concept of oppression in a specific way</w:t>
      </w:r>
      <w:r w:rsidR="00C77BDF">
        <w:rPr>
          <w:szCs w:val="24"/>
        </w:rPr>
        <w:t xml:space="preserve"> because doing so has a host of advantages</w:t>
      </w:r>
      <w:r>
        <w:rPr>
          <w:szCs w:val="24"/>
        </w:rPr>
        <w:t xml:space="preserve">. That is, Young is saying that whenever the concept </w:t>
      </w:r>
      <w:r w:rsidRPr="00160A73">
        <w:rPr>
          <w:sz w:val="18"/>
          <w:szCs w:val="18"/>
        </w:rPr>
        <w:t>OPPRESSION</w:t>
      </w:r>
      <w:r>
        <w:rPr>
          <w:sz w:val="18"/>
          <w:szCs w:val="18"/>
        </w:rPr>
        <w:t xml:space="preserve"> </w:t>
      </w:r>
      <w:r>
        <w:rPr>
          <w:szCs w:val="24"/>
        </w:rPr>
        <w:t>is invoked, speaker and audience are entitled to make the fo</w:t>
      </w:r>
      <w:r w:rsidR="00724D2B">
        <w:rPr>
          <w:szCs w:val="24"/>
        </w:rPr>
        <w:t>llowing inference: it involves ‘</w:t>
      </w:r>
      <w:r>
        <w:rPr>
          <w:szCs w:val="24"/>
        </w:rPr>
        <w:t>institutional</w:t>
      </w:r>
      <w:r w:rsidR="00724D2B">
        <w:rPr>
          <w:szCs w:val="24"/>
        </w:rPr>
        <w:t xml:space="preserve"> constraint on self-development’</w:t>
      </w:r>
      <w:r>
        <w:rPr>
          <w:szCs w:val="24"/>
        </w:rPr>
        <w:t xml:space="preserve"> in a way that does not require specific, individual agents having the conscious intent to impose the</w:t>
      </w:r>
      <w:r w:rsidR="00724D2B">
        <w:rPr>
          <w:szCs w:val="24"/>
        </w:rPr>
        <w:t>se constraints</w:t>
      </w:r>
      <w:r w:rsidR="004C2935">
        <w:rPr>
          <w:szCs w:val="24"/>
        </w:rPr>
        <w:t xml:space="preserve"> (Young, 1990, p. 37)</w:t>
      </w:r>
      <w:r>
        <w:rPr>
          <w:szCs w:val="24"/>
        </w:rPr>
        <w:t xml:space="preserve">. Speaker and audience should be entitled to this inference </w:t>
      </w:r>
      <w:proofErr w:type="gramStart"/>
      <w:r>
        <w:rPr>
          <w:szCs w:val="24"/>
        </w:rPr>
        <w:t>on the basis of</w:t>
      </w:r>
      <w:proofErr w:type="gramEnd"/>
      <w:r>
        <w:rPr>
          <w:szCs w:val="24"/>
        </w:rPr>
        <w:t xml:space="preserve"> what Young takes to be ends shared with her readers. What are these ends? It seems that she </w:t>
      </w:r>
      <w:r w:rsidR="000B1810">
        <w:rPr>
          <w:szCs w:val="24"/>
        </w:rPr>
        <w:t>takes</w:t>
      </w:r>
      <w:r w:rsidR="005F07FD">
        <w:rPr>
          <w:szCs w:val="24"/>
        </w:rPr>
        <w:t xml:space="preserve"> view</w:t>
      </w:r>
      <w:r w:rsidR="000B1810">
        <w:rPr>
          <w:szCs w:val="24"/>
        </w:rPr>
        <w:t>s</w:t>
      </w:r>
      <w:r w:rsidR="005F07FD">
        <w:rPr>
          <w:szCs w:val="24"/>
        </w:rPr>
        <w:t xml:space="preserve"> of</w:t>
      </w:r>
      <w:r>
        <w:rPr>
          <w:szCs w:val="24"/>
        </w:rPr>
        <w:t xml:space="preserve"> political concept</w:t>
      </w:r>
      <w:r w:rsidR="005F07FD">
        <w:rPr>
          <w:szCs w:val="24"/>
        </w:rPr>
        <w:t>s</w:t>
      </w:r>
      <w:r>
        <w:rPr>
          <w:szCs w:val="24"/>
        </w:rPr>
        <w:t xml:space="preserve"> such as oppression </w:t>
      </w:r>
      <w:r w:rsidR="00724D2B">
        <w:rPr>
          <w:szCs w:val="24"/>
        </w:rPr>
        <w:t>to be</w:t>
      </w:r>
      <w:r>
        <w:rPr>
          <w:szCs w:val="24"/>
        </w:rPr>
        <w:t xml:space="preserve"> accountable to how </w:t>
      </w:r>
      <w:r w:rsidR="005F07FD">
        <w:rPr>
          <w:szCs w:val="24"/>
        </w:rPr>
        <w:t>they are</w:t>
      </w:r>
      <w:r>
        <w:rPr>
          <w:szCs w:val="24"/>
        </w:rPr>
        <w:t xml:space="preserve"> understood by a broad range of political actors, not just </w:t>
      </w:r>
      <w:r w:rsidR="00023F4D">
        <w:rPr>
          <w:szCs w:val="24"/>
        </w:rPr>
        <w:t xml:space="preserve">those </w:t>
      </w:r>
      <w:r w:rsidR="000B1810">
        <w:rPr>
          <w:szCs w:val="24"/>
        </w:rPr>
        <w:t>with existing</w:t>
      </w:r>
      <w:r>
        <w:rPr>
          <w:szCs w:val="24"/>
        </w:rPr>
        <w:t xml:space="preserve"> institutional power. Young</w:t>
      </w:r>
      <w:r w:rsidR="000405CB">
        <w:rPr>
          <w:szCs w:val="24"/>
        </w:rPr>
        <w:t xml:space="preserve"> also</w:t>
      </w:r>
      <w:r>
        <w:rPr>
          <w:szCs w:val="24"/>
        </w:rPr>
        <w:t xml:space="preserve"> seems to believe that a</w:t>
      </w:r>
      <w:r w:rsidR="00724D2B">
        <w:rPr>
          <w:szCs w:val="24"/>
        </w:rPr>
        <w:t>ny</w:t>
      </w:r>
      <w:r>
        <w:rPr>
          <w:szCs w:val="24"/>
        </w:rPr>
        <w:t xml:space="preserve"> view of the concept of oppression is one that should help to explain the presence of pervasive and grave injustices and inequalities generally, regardless of whether the society’s dominant</w:t>
      </w:r>
      <w:r w:rsidR="00023F4D">
        <w:rPr>
          <w:szCs w:val="24"/>
        </w:rPr>
        <w:t xml:space="preserve"> political institutions are</w:t>
      </w:r>
      <w:r>
        <w:rPr>
          <w:szCs w:val="24"/>
        </w:rPr>
        <w:t xml:space="preserve"> typically viewed as democratic or liberal. </w:t>
      </w:r>
    </w:p>
    <w:p w14:paraId="7F4A88BB" w14:textId="77777777" w:rsidR="00E1517C" w:rsidRDefault="00E1517C" w:rsidP="00235817">
      <w:pPr>
        <w:spacing w:line="240" w:lineRule="auto"/>
        <w:rPr>
          <w:szCs w:val="24"/>
        </w:rPr>
      </w:pPr>
      <w:r>
        <w:rPr>
          <w:szCs w:val="24"/>
        </w:rPr>
        <w:tab/>
        <w:t xml:space="preserve">If Young’s audience gives uptake to her attempted stipulative act – treating this inferential entitlement as shared – then neither she nor her audience will be able to appropriately deny this inference and will </w:t>
      </w:r>
      <w:r w:rsidR="00E13E9B">
        <w:rPr>
          <w:szCs w:val="24"/>
        </w:rPr>
        <w:t>be appropriately</w:t>
      </w:r>
      <w:r>
        <w:rPr>
          <w:szCs w:val="24"/>
        </w:rPr>
        <w:t xml:space="preserve"> subject to censure if they attempt to do so. For example, someone cannot appropriately cla</w:t>
      </w:r>
      <w:r w:rsidR="002A3A49">
        <w:rPr>
          <w:szCs w:val="24"/>
        </w:rPr>
        <w:t>im, after granting Young’s stipulative act</w:t>
      </w:r>
      <w:r>
        <w:rPr>
          <w:szCs w:val="24"/>
        </w:rPr>
        <w:t xml:space="preserve"> uptake, that a certain policy </w:t>
      </w:r>
      <w:r w:rsidR="00E13E9B">
        <w:rPr>
          <w:szCs w:val="24"/>
        </w:rPr>
        <w:t>is not</w:t>
      </w:r>
      <w:r>
        <w:rPr>
          <w:szCs w:val="24"/>
        </w:rPr>
        <w:t xml:space="preserve"> oppressive because it was not formulated by specific, individual agents consciously intending to subordinate a social group. Such a move would ignore the inferential entitlement that is now shared in this context. </w:t>
      </w:r>
      <w:r w:rsidR="002A3A49">
        <w:rPr>
          <w:szCs w:val="24"/>
        </w:rPr>
        <w:t>A</w:t>
      </w:r>
      <w:r>
        <w:rPr>
          <w:szCs w:val="24"/>
        </w:rPr>
        <w:t xml:space="preserve"> critic can</w:t>
      </w:r>
      <w:r w:rsidR="005F07FD">
        <w:rPr>
          <w:szCs w:val="24"/>
        </w:rPr>
        <w:t>, however,</w:t>
      </w:r>
      <w:r>
        <w:rPr>
          <w:szCs w:val="24"/>
        </w:rPr>
        <w:t xml:space="preserve"> migrate to </w:t>
      </w:r>
      <w:r w:rsidR="00724D2B">
        <w:rPr>
          <w:szCs w:val="24"/>
        </w:rPr>
        <w:t>a constitutive</w:t>
      </w:r>
      <w:r>
        <w:rPr>
          <w:szCs w:val="24"/>
        </w:rPr>
        <w:t xml:space="preserve"> consequentialist objection that Young’s understanding of the concept of oppression is not useful and therefo</w:t>
      </w:r>
      <w:r w:rsidR="00663AEE">
        <w:rPr>
          <w:szCs w:val="24"/>
        </w:rPr>
        <w:t>re should not be given uptake. B</w:t>
      </w:r>
      <w:r>
        <w:rPr>
          <w:szCs w:val="24"/>
        </w:rPr>
        <w:t xml:space="preserve">ut assertoric objections that the concept of oppression </w:t>
      </w:r>
      <w:r w:rsidRPr="00E43DCC">
        <w:rPr>
          <w:i/>
          <w:szCs w:val="24"/>
        </w:rPr>
        <w:t>is</w:t>
      </w:r>
      <w:r>
        <w:rPr>
          <w:szCs w:val="24"/>
        </w:rPr>
        <w:t xml:space="preserve"> not or </w:t>
      </w:r>
      <w:r w:rsidRPr="00E43DCC">
        <w:rPr>
          <w:i/>
          <w:szCs w:val="24"/>
        </w:rPr>
        <w:t>does</w:t>
      </w:r>
      <w:r>
        <w:rPr>
          <w:szCs w:val="24"/>
        </w:rPr>
        <w:t xml:space="preserve"> not consist in what Young says it does after granting uptake to this stipulative act are no longer felicitous.</w:t>
      </w:r>
    </w:p>
    <w:p w14:paraId="696C68E4" w14:textId="39323540" w:rsidR="00E1517C" w:rsidRDefault="00E1517C" w:rsidP="00235817">
      <w:pPr>
        <w:spacing w:line="240" w:lineRule="auto"/>
      </w:pPr>
      <w:r>
        <w:rPr>
          <w:szCs w:val="24"/>
        </w:rPr>
        <w:tab/>
        <w:t>Why</w:t>
      </w:r>
      <w:r>
        <w:t xml:space="preserve"> would such a reading of </w:t>
      </w:r>
      <w:proofErr w:type="gramStart"/>
      <w:r>
        <w:t>Young’s</w:t>
      </w:r>
      <w:proofErr w:type="gramEnd"/>
      <w:r>
        <w:t xml:space="preserve"> account be helpful? </w:t>
      </w:r>
      <w:r w:rsidR="00663AEE">
        <w:t>To begin</w:t>
      </w:r>
      <w:r>
        <w:t xml:space="preserve">, it makes the contours of subsequent debate about this understanding of the concept of oppression clearer. It is easy to imagine the following </w:t>
      </w:r>
      <w:r w:rsidR="00DD6AA8">
        <w:t xml:space="preserve">genre of </w:t>
      </w:r>
      <w:r w:rsidR="00663AEE">
        <w:t xml:space="preserve">response to </w:t>
      </w:r>
      <w:proofErr w:type="gramStart"/>
      <w:r w:rsidR="00663AEE">
        <w:t>Young’s</w:t>
      </w:r>
      <w:proofErr w:type="gramEnd"/>
      <w:r w:rsidR="00663AEE">
        <w:t xml:space="preserve"> account:</w:t>
      </w:r>
    </w:p>
    <w:p w14:paraId="56319923" w14:textId="77777777" w:rsidR="00D9373F" w:rsidRPr="00357633" w:rsidRDefault="00D9373F" w:rsidP="00235817">
      <w:pPr>
        <w:spacing w:line="240" w:lineRule="auto"/>
        <w:rPr>
          <w:szCs w:val="24"/>
        </w:rPr>
      </w:pPr>
    </w:p>
    <w:p w14:paraId="7F00DB0D" w14:textId="77777777" w:rsidR="00E1517C" w:rsidRDefault="00E1517C" w:rsidP="00235817">
      <w:pPr>
        <w:spacing w:line="240" w:lineRule="auto"/>
        <w:ind w:left="720"/>
      </w:pPr>
      <w:r>
        <w:t>Young</w:t>
      </w:r>
      <w:r w:rsidR="007D7756">
        <w:t xml:space="preserve"> </w:t>
      </w:r>
      <w:r>
        <w:t xml:space="preserve">simply gets the concept of oppression wrong. What she is talking and thinking about when she discusses this concept has nothing to with what </w:t>
      </w:r>
      <w:proofErr w:type="gramStart"/>
      <w:r>
        <w:t>the vast majority of</w:t>
      </w:r>
      <w:proofErr w:type="gramEnd"/>
      <w:r>
        <w:t xml:space="preserve"> us are talking and thinking about when we discuss this concept. Whatever injustices and inequalities certain social groups face in contemporary liberal societies, they simply are not </w:t>
      </w:r>
      <w:proofErr w:type="gramStart"/>
      <w:r>
        <w:t>forms</w:t>
      </w:r>
      <w:proofErr w:type="gramEnd"/>
      <w:r>
        <w:t xml:space="preserve"> of oppression. She and sympathetic readers are of course welcome to talk however they wish</w:t>
      </w:r>
      <w:r w:rsidR="003F2634">
        <w:t>, but</w:t>
      </w:r>
      <w:r>
        <w:t xml:space="preserve"> there is no reason anyone else needs to take the</w:t>
      </w:r>
      <w:r w:rsidR="00357633">
        <w:t>ir concept seriously.</w:t>
      </w:r>
    </w:p>
    <w:p w14:paraId="5EE074F6" w14:textId="77777777" w:rsidR="00357633" w:rsidRDefault="00357633" w:rsidP="00235817">
      <w:pPr>
        <w:spacing w:line="240" w:lineRule="auto"/>
        <w:ind w:left="720"/>
      </w:pPr>
    </w:p>
    <w:p w14:paraId="63F3E94A" w14:textId="77777777" w:rsidR="00E1517C" w:rsidRDefault="00E1517C" w:rsidP="00235817">
      <w:pPr>
        <w:spacing w:line="240" w:lineRule="auto"/>
      </w:pPr>
      <w:r>
        <w:lastRenderedPageBreak/>
        <w:t>Though typical, such a resp</w:t>
      </w:r>
      <w:r w:rsidR="002A3A49">
        <w:t>onse on my re-reading of Young</w:t>
      </w:r>
      <w:r w:rsidR="00357633">
        <w:t xml:space="preserve"> represent</w:t>
      </w:r>
      <w:r w:rsidR="002A3A49">
        <w:t>s</w:t>
      </w:r>
      <w:r>
        <w:t xml:space="preserve"> a non-sequitur.</w:t>
      </w:r>
      <w:r w:rsidR="00357633">
        <w:rPr>
          <w:rStyle w:val="FootnoteReference"/>
        </w:rPr>
        <w:footnoteReference w:id="12"/>
      </w:r>
      <w:r>
        <w:t xml:space="preserve"> If Young is not making an assertion regarding this concept, then she is not primarily aiming to state what is the case regarding this concept. </w:t>
      </w:r>
      <w:r w:rsidR="002A3A49">
        <w:t>If Young</w:t>
      </w:r>
      <w:r>
        <w:t xml:space="preserve"> is</w:t>
      </w:r>
      <w:r w:rsidR="00391692">
        <w:t>, as I have argued,</w:t>
      </w:r>
      <w:r>
        <w:t xml:space="preserve"> stipulating an understanding of this concept, </w:t>
      </w:r>
      <w:r w:rsidR="002A3A49">
        <w:t xml:space="preserve">then </w:t>
      </w:r>
      <w:r>
        <w:t>she is</w:t>
      </w:r>
      <w:r w:rsidR="00391692">
        <w:t xml:space="preserve"> not</w:t>
      </w:r>
      <w:r>
        <w:t xml:space="preserve"> saying</w:t>
      </w:r>
      <w:r w:rsidR="00391692">
        <w:t xml:space="preserve"> </w:t>
      </w:r>
      <w:r>
        <w:t>that we already</w:t>
      </w:r>
      <w:r w:rsidR="002A3A49">
        <w:t xml:space="preserve"> understand it in this way</w:t>
      </w:r>
      <w:r>
        <w:t xml:space="preserve"> o</w:t>
      </w:r>
      <w:r w:rsidR="00357633">
        <w:t xml:space="preserve">r that this represents the ‘true’ </w:t>
      </w:r>
      <w:r>
        <w:t>nature of the concept</w:t>
      </w:r>
      <w:r w:rsidR="002A3A49">
        <w:t xml:space="preserve">, but that we </w:t>
      </w:r>
      <w:r w:rsidR="002A3A49" w:rsidRPr="004E2A36">
        <w:rPr>
          <w:i/>
        </w:rPr>
        <w:t>should</w:t>
      </w:r>
      <w:r w:rsidR="002A3A49">
        <w:t xml:space="preserve"> understand the concept in </w:t>
      </w:r>
      <w:r w:rsidR="00391692">
        <w:t>this</w:t>
      </w:r>
      <w:r w:rsidR="002A3A49">
        <w:t xml:space="preserve"> way</w:t>
      </w:r>
      <w:r>
        <w:t>. Now we might not want to accept this usage and understanding. But our objection cannot be that it falsely represents what is the case regarding this concept.</w:t>
      </w:r>
      <w:r w:rsidR="007C026D">
        <w:t xml:space="preserve"> The latter</w:t>
      </w:r>
      <w:r>
        <w:t xml:space="preserve"> misunderstands what Young is doing. </w:t>
      </w:r>
    </w:p>
    <w:p w14:paraId="1F49B99D" w14:textId="77777777" w:rsidR="00E1517C" w:rsidRDefault="00E1517C" w:rsidP="00235817">
      <w:pPr>
        <w:spacing w:line="240" w:lineRule="auto"/>
      </w:pPr>
      <w:r>
        <w:tab/>
        <w:t xml:space="preserve">At the same time, a version of this objection with genuine bite for </w:t>
      </w:r>
      <w:proofErr w:type="gramStart"/>
      <w:r>
        <w:t>Young’s</w:t>
      </w:r>
      <w:proofErr w:type="gramEnd"/>
      <w:r>
        <w:t xml:space="preserve"> account can now be formulated. Here the critic could be read as defending the importance of preserving continuity with existing usage and understanding in articulating our understandings of certain concepts. Perhaps the critic would further argue that any utility to </w:t>
      </w:r>
      <w:proofErr w:type="gramStart"/>
      <w:r>
        <w:t>Young’s</w:t>
      </w:r>
      <w:proofErr w:type="gramEnd"/>
      <w:r>
        <w:t xml:space="preserve"> account is outweighed by how it will confuse researchers and other speakers not familiar with Young’s work. The critic would then be arguing that Young’s attempted act of stipulation fails to be useful and so should not be taken as binding on other speakers (as it aims to </w:t>
      </w:r>
      <w:r w:rsidR="00391692">
        <w:t>be</w:t>
      </w:r>
      <w:r>
        <w:t xml:space="preserve">). Or the critic may argue that </w:t>
      </w:r>
      <w:proofErr w:type="gramStart"/>
      <w:r>
        <w:t>Young’s</w:t>
      </w:r>
      <w:proofErr w:type="gramEnd"/>
      <w:r>
        <w:t xml:space="preserve"> view fails to clearly delineate instances of oppression in ways that are important, say, for social and political science</w:t>
      </w:r>
      <w:r w:rsidR="00357633">
        <w:t xml:space="preserve"> or for political action</w:t>
      </w:r>
      <w:r>
        <w:t>. These are debates well worth having: the degree to which ends such as preserving continuity with existing usage and understanding as well as fruitfulness for forms of empirical inquiry</w:t>
      </w:r>
      <w:r w:rsidR="00357633">
        <w:t xml:space="preserve"> or specific</w:t>
      </w:r>
      <w:r w:rsidR="002A3A49">
        <w:t xml:space="preserve"> political</w:t>
      </w:r>
      <w:r w:rsidR="00357633">
        <w:t xml:space="preserve"> projects</w:t>
      </w:r>
      <w:r>
        <w:t xml:space="preserve"> should factor into our articulation of </w:t>
      </w:r>
      <w:r w:rsidR="002A3A49">
        <w:t>certain</w:t>
      </w:r>
      <w:r>
        <w:t xml:space="preserve"> concepts.</w:t>
      </w:r>
      <w:r w:rsidR="008834BC">
        <w:rPr>
          <w:rStyle w:val="FootnoteReference"/>
        </w:rPr>
        <w:footnoteReference w:id="13"/>
      </w:r>
      <w:r>
        <w:t xml:space="preserve"> The</w:t>
      </w:r>
      <w:r w:rsidR="00391692">
        <w:t>se are also difficult questions. T</w:t>
      </w:r>
      <w:r>
        <w:t>rying to pin down what we care about when it comes to our concepts and conceptual schemes is no easy task. But the importance of these issues and the need for positive arguments concerning them risk being obscured by standard assertoric formulations, such as the above imagined objection.</w:t>
      </w:r>
    </w:p>
    <w:p w14:paraId="6A628DEE" w14:textId="77777777" w:rsidR="000D4EDC" w:rsidRPr="00234D27" w:rsidRDefault="009246BB" w:rsidP="00235817">
      <w:pPr>
        <w:spacing w:line="240" w:lineRule="auto"/>
        <w:ind w:firstLine="720"/>
        <w:rPr>
          <w:rFonts w:cs="Times New Roman"/>
          <w:szCs w:val="24"/>
        </w:rPr>
      </w:pPr>
      <w:r>
        <w:rPr>
          <w:rFonts w:cs="Times New Roman"/>
          <w:szCs w:val="24"/>
        </w:rPr>
        <w:t xml:space="preserve">A </w:t>
      </w:r>
      <w:r w:rsidR="00234D27">
        <w:rPr>
          <w:rFonts w:cs="Times New Roman"/>
          <w:szCs w:val="24"/>
        </w:rPr>
        <w:t xml:space="preserve">final note on this case. The ends </w:t>
      </w:r>
      <w:proofErr w:type="gramStart"/>
      <w:r w:rsidR="00234D27">
        <w:rPr>
          <w:rFonts w:cs="Times New Roman"/>
          <w:szCs w:val="24"/>
        </w:rPr>
        <w:t>Young</w:t>
      </w:r>
      <w:proofErr w:type="gramEnd"/>
      <w:r w:rsidR="00234D27">
        <w:rPr>
          <w:rFonts w:cs="Times New Roman"/>
          <w:szCs w:val="24"/>
        </w:rPr>
        <w:t xml:space="preserve"> </w:t>
      </w:r>
      <w:r w:rsidR="00BB4D54">
        <w:rPr>
          <w:rFonts w:cs="Times New Roman"/>
          <w:szCs w:val="24"/>
        </w:rPr>
        <w:t xml:space="preserve">appeals </w:t>
      </w:r>
      <w:r w:rsidR="00234D27">
        <w:rPr>
          <w:rFonts w:cs="Times New Roman"/>
          <w:szCs w:val="24"/>
        </w:rPr>
        <w:t>to here</w:t>
      </w:r>
      <w:r>
        <w:rPr>
          <w:rFonts w:cs="Times New Roman"/>
          <w:szCs w:val="24"/>
        </w:rPr>
        <w:t xml:space="preserve"> – </w:t>
      </w:r>
      <w:r w:rsidR="00BB4D54">
        <w:rPr>
          <w:rFonts w:cs="Times New Roman"/>
          <w:szCs w:val="24"/>
        </w:rPr>
        <w:t>accounting</w:t>
      </w:r>
      <w:r>
        <w:rPr>
          <w:rFonts w:cs="Times New Roman"/>
          <w:szCs w:val="24"/>
        </w:rPr>
        <w:t xml:space="preserve"> for a range of injustices and </w:t>
      </w:r>
      <w:r w:rsidR="00BB4D54">
        <w:rPr>
          <w:rFonts w:cs="Times New Roman"/>
          <w:szCs w:val="24"/>
        </w:rPr>
        <w:t xml:space="preserve">accounting for </w:t>
      </w:r>
      <w:r w:rsidR="00391692">
        <w:rPr>
          <w:rFonts w:cs="Times New Roman"/>
          <w:szCs w:val="24"/>
        </w:rPr>
        <w:t>usage</w:t>
      </w:r>
      <w:r>
        <w:rPr>
          <w:rFonts w:cs="Times New Roman"/>
          <w:szCs w:val="24"/>
        </w:rPr>
        <w:t xml:space="preserve"> among </w:t>
      </w:r>
      <w:r w:rsidR="00391692">
        <w:rPr>
          <w:rFonts w:cs="Times New Roman"/>
          <w:szCs w:val="24"/>
        </w:rPr>
        <w:t>various</w:t>
      </w:r>
      <w:r>
        <w:rPr>
          <w:rFonts w:cs="Times New Roman"/>
          <w:szCs w:val="24"/>
        </w:rPr>
        <w:t xml:space="preserve"> political actors – </w:t>
      </w:r>
      <w:r w:rsidR="00234D27">
        <w:rPr>
          <w:rFonts w:cs="Times New Roman"/>
          <w:szCs w:val="24"/>
        </w:rPr>
        <w:t>are</w:t>
      </w:r>
      <w:r w:rsidR="008E3CE7">
        <w:rPr>
          <w:rFonts w:cs="Times New Roman"/>
          <w:szCs w:val="24"/>
        </w:rPr>
        <w:t xml:space="preserve"> very different from </w:t>
      </w:r>
      <w:r w:rsidR="00234D27">
        <w:rPr>
          <w:rFonts w:cs="Times New Roman"/>
          <w:szCs w:val="24"/>
        </w:rPr>
        <w:t>those</w:t>
      </w:r>
      <w:r w:rsidR="008E3CE7">
        <w:rPr>
          <w:rFonts w:cs="Times New Roman"/>
          <w:szCs w:val="24"/>
        </w:rPr>
        <w:t xml:space="preserve"> at stake in</w:t>
      </w:r>
      <w:r w:rsidR="00750439">
        <w:rPr>
          <w:rFonts w:cs="Times New Roman"/>
          <w:szCs w:val="24"/>
        </w:rPr>
        <w:t xml:space="preserve"> (8</w:t>
      </w:r>
      <w:r w:rsidR="008E3CE7">
        <w:rPr>
          <w:rFonts w:cs="Times New Roman"/>
          <w:szCs w:val="24"/>
        </w:rPr>
        <w:t xml:space="preserve">). </w:t>
      </w:r>
      <w:r w:rsidR="00234D27">
        <w:rPr>
          <w:rFonts w:cs="Times New Roman"/>
          <w:szCs w:val="24"/>
        </w:rPr>
        <w:t>They are not the ends</w:t>
      </w:r>
      <w:r w:rsidR="008E3CE7">
        <w:rPr>
          <w:rFonts w:cs="Times New Roman"/>
          <w:szCs w:val="24"/>
        </w:rPr>
        <w:t xml:space="preserve"> of overcoming a conversational impasse or facilitating </w:t>
      </w:r>
      <w:r w:rsidR="00CB44FE">
        <w:rPr>
          <w:rFonts w:cs="Times New Roman"/>
          <w:szCs w:val="24"/>
        </w:rPr>
        <w:t xml:space="preserve">easier </w:t>
      </w:r>
      <w:r w:rsidR="008E3CE7">
        <w:rPr>
          <w:rFonts w:cs="Times New Roman"/>
          <w:szCs w:val="24"/>
        </w:rPr>
        <w:t>discussion</w:t>
      </w:r>
      <w:r w:rsidR="00234D27">
        <w:rPr>
          <w:rFonts w:cs="Times New Roman"/>
          <w:szCs w:val="24"/>
        </w:rPr>
        <w:t>. The</w:t>
      </w:r>
      <w:r w:rsidR="00D25140">
        <w:rPr>
          <w:rFonts w:cs="Times New Roman"/>
          <w:szCs w:val="24"/>
        </w:rPr>
        <w:t xml:space="preserve"> end</w:t>
      </w:r>
      <w:r w:rsidR="00E1517C">
        <w:rPr>
          <w:rFonts w:cs="Times New Roman"/>
          <w:szCs w:val="24"/>
        </w:rPr>
        <w:t>s</w:t>
      </w:r>
      <w:r w:rsidR="00D25140">
        <w:rPr>
          <w:rFonts w:cs="Times New Roman"/>
          <w:szCs w:val="24"/>
        </w:rPr>
        <w:t xml:space="preserve"> </w:t>
      </w:r>
      <w:proofErr w:type="gramStart"/>
      <w:r w:rsidR="00E1517C">
        <w:rPr>
          <w:rFonts w:cs="Times New Roman"/>
          <w:szCs w:val="24"/>
        </w:rPr>
        <w:t>Young</w:t>
      </w:r>
      <w:proofErr w:type="gramEnd"/>
      <w:r w:rsidR="00E1517C">
        <w:rPr>
          <w:rFonts w:cs="Times New Roman"/>
          <w:szCs w:val="24"/>
        </w:rPr>
        <w:t xml:space="preserve"> appeals to</w:t>
      </w:r>
      <w:r w:rsidR="00D25140">
        <w:rPr>
          <w:rFonts w:cs="Times New Roman"/>
          <w:szCs w:val="24"/>
        </w:rPr>
        <w:t xml:space="preserve"> – because </w:t>
      </w:r>
      <w:r w:rsidR="00E1517C">
        <w:rPr>
          <w:rFonts w:cs="Times New Roman"/>
          <w:szCs w:val="24"/>
        </w:rPr>
        <w:t xml:space="preserve">they are </w:t>
      </w:r>
      <w:r w:rsidR="00D25140">
        <w:rPr>
          <w:rFonts w:cs="Times New Roman"/>
          <w:szCs w:val="24"/>
        </w:rPr>
        <w:t xml:space="preserve">not indexed to </w:t>
      </w:r>
      <w:r w:rsidR="00E1517C">
        <w:rPr>
          <w:rFonts w:cs="Times New Roman"/>
          <w:szCs w:val="24"/>
        </w:rPr>
        <w:t>a single</w:t>
      </w:r>
      <w:r w:rsidR="00D25140">
        <w:rPr>
          <w:rFonts w:cs="Times New Roman"/>
          <w:szCs w:val="24"/>
        </w:rPr>
        <w:t xml:space="preserve"> conversation – </w:t>
      </w:r>
      <w:r w:rsidR="004965A4">
        <w:rPr>
          <w:rFonts w:cs="Times New Roman"/>
          <w:szCs w:val="24"/>
        </w:rPr>
        <w:t>entail that</w:t>
      </w:r>
      <w:r w:rsidR="00D25140">
        <w:rPr>
          <w:rFonts w:cs="Times New Roman"/>
          <w:szCs w:val="24"/>
        </w:rPr>
        <w:t xml:space="preserve"> the applicability of </w:t>
      </w:r>
      <w:r w:rsidR="00E1517C">
        <w:rPr>
          <w:rFonts w:cs="Times New Roman"/>
          <w:szCs w:val="24"/>
        </w:rPr>
        <w:t>this</w:t>
      </w:r>
      <w:r w:rsidR="00D25140">
        <w:rPr>
          <w:rFonts w:cs="Times New Roman"/>
          <w:szCs w:val="24"/>
        </w:rPr>
        <w:t xml:space="preserve"> stipulative act is not constrained to </w:t>
      </w:r>
      <w:r w:rsidR="00E1517C">
        <w:rPr>
          <w:rFonts w:cs="Times New Roman"/>
          <w:szCs w:val="24"/>
        </w:rPr>
        <w:t>only one linguistic context</w:t>
      </w:r>
      <w:r w:rsidR="00D25140">
        <w:rPr>
          <w:rFonts w:cs="Times New Roman"/>
          <w:szCs w:val="24"/>
        </w:rPr>
        <w:t>. Unless otherwise specified</w:t>
      </w:r>
      <w:r w:rsidR="00E1517C">
        <w:rPr>
          <w:rFonts w:cs="Times New Roman"/>
          <w:szCs w:val="24"/>
        </w:rPr>
        <w:t>, the</w:t>
      </w:r>
      <w:r w:rsidR="003D64D9">
        <w:rPr>
          <w:rFonts w:cs="Times New Roman"/>
          <w:szCs w:val="24"/>
        </w:rPr>
        <w:t xml:space="preserve"> act aims to apply whenever the term ‘</w:t>
      </w:r>
      <w:r w:rsidR="00E1517C">
        <w:rPr>
          <w:rFonts w:cs="Times New Roman"/>
          <w:szCs w:val="24"/>
        </w:rPr>
        <w:t>oppression</w:t>
      </w:r>
      <w:r w:rsidR="003D64D9">
        <w:rPr>
          <w:rFonts w:cs="Times New Roman"/>
          <w:szCs w:val="24"/>
        </w:rPr>
        <w:t>’ or</w:t>
      </w:r>
      <w:r w:rsidR="00F907CC">
        <w:rPr>
          <w:rFonts w:cs="Times New Roman"/>
          <w:szCs w:val="24"/>
        </w:rPr>
        <w:t xml:space="preserve"> concept of </w:t>
      </w:r>
      <w:r w:rsidR="00E1517C">
        <w:rPr>
          <w:rFonts w:cs="Times New Roman"/>
          <w:szCs w:val="24"/>
        </w:rPr>
        <w:t>oppression</w:t>
      </w:r>
      <w:r w:rsidR="003D64D9">
        <w:rPr>
          <w:rFonts w:cs="Times New Roman"/>
          <w:szCs w:val="24"/>
        </w:rPr>
        <w:t xml:space="preserve"> is </w:t>
      </w:r>
      <w:r w:rsidR="00485FFF">
        <w:rPr>
          <w:rFonts w:cs="Times New Roman"/>
          <w:szCs w:val="24"/>
        </w:rPr>
        <w:t>invoked</w:t>
      </w:r>
      <w:r w:rsidR="003D64D9">
        <w:rPr>
          <w:rFonts w:cs="Times New Roman"/>
          <w:szCs w:val="24"/>
        </w:rPr>
        <w:t>.</w:t>
      </w:r>
      <w:r w:rsidR="004965A4">
        <w:rPr>
          <w:rStyle w:val="FootnoteReference"/>
          <w:rFonts w:cs="Times New Roman"/>
          <w:szCs w:val="24"/>
        </w:rPr>
        <w:footnoteReference w:id="14"/>
      </w:r>
      <w:r w:rsidR="003D64D9">
        <w:rPr>
          <w:rFonts w:cs="Times New Roman"/>
          <w:szCs w:val="24"/>
        </w:rPr>
        <w:t xml:space="preserve"> And this is exactly what my general account of stipulation predicts: differences in both the content stipulated and the ends speakers appeal to (neither of which my account restricts) will lead to stipulations whose effects will often be very different for the subsequent linguistic context. The same fundamental pragmatic structure will nonetheless be at play: a shared inferential entitlement for speaker and audience justified </w:t>
      </w:r>
      <w:proofErr w:type="gramStart"/>
      <w:r w:rsidR="003D64D9">
        <w:rPr>
          <w:rFonts w:cs="Times New Roman"/>
          <w:szCs w:val="24"/>
        </w:rPr>
        <w:t>on the basis of</w:t>
      </w:r>
      <w:proofErr w:type="gramEnd"/>
      <w:r w:rsidR="003D64D9">
        <w:rPr>
          <w:rFonts w:cs="Times New Roman"/>
          <w:szCs w:val="24"/>
        </w:rPr>
        <w:t xml:space="preserve"> the shared ends of speaker and audience,</w:t>
      </w:r>
      <w:r w:rsidR="00234D27">
        <w:rPr>
          <w:rFonts w:cs="Times New Roman"/>
          <w:szCs w:val="24"/>
        </w:rPr>
        <w:t xml:space="preserve"> not on the basis of its truth.</w:t>
      </w:r>
      <w:r w:rsidR="000D4EDC">
        <w:tab/>
        <w:t xml:space="preserve"> </w:t>
      </w:r>
    </w:p>
    <w:p w14:paraId="61EBD1C1" w14:textId="47CCB918" w:rsidR="000D4EDC" w:rsidRDefault="000D4EDC" w:rsidP="00235817">
      <w:pPr>
        <w:spacing w:line="240" w:lineRule="auto"/>
        <w:ind w:firstLine="720"/>
      </w:pPr>
      <w:r>
        <w:t xml:space="preserve">The second example is from a very different area of philosophy – debates over the nature of linguistic reference. The tradition of semantic externalism claims that linguistic meaning is not importantly determined by the mental states of speakers, but instead by the references of words to extra-linguistic objects in the world. I will return to </w:t>
      </w:r>
      <w:r w:rsidR="00391692">
        <w:t xml:space="preserve">specific </w:t>
      </w:r>
      <w:r>
        <w:t>arguments</w:t>
      </w:r>
      <w:r w:rsidR="00BE15CC">
        <w:t xml:space="preserve"> for this view</w:t>
      </w:r>
      <w:r>
        <w:t xml:space="preserve"> </w:t>
      </w:r>
      <w:r w:rsidR="002A3A49">
        <w:t>shortly, but first</w:t>
      </w:r>
      <w:r w:rsidR="00DD1503">
        <w:t xml:space="preserve"> </w:t>
      </w:r>
      <w:r>
        <w:t xml:space="preserve">consider how </w:t>
      </w:r>
      <w:r w:rsidR="002A3A49">
        <w:t>proponents</w:t>
      </w:r>
      <w:r w:rsidR="00BE15CC">
        <w:t xml:space="preserve"> themselves</w:t>
      </w:r>
      <w:r w:rsidR="002A3A49">
        <w:t xml:space="preserve"> </w:t>
      </w:r>
      <w:r w:rsidR="00BE15CC">
        <w:t>articulate their position</w:t>
      </w:r>
      <w:r w:rsidR="00391692">
        <w:t>:</w:t>
      </w:r>
    </w:p>
    <w:p w14:paraId="13E59E58" w14:textId="77777777" w:rsidR="00D9373F" w:rsidRDefault="00D9373F" w:rsidP="00235817">
      <w:pPr>
        <w:spacing w:line="240" w:lineRule="auto"/>
        <w:ind w:firstLine="720"/>
      </w:pPr>
    </w:p>
    <w:p w14:paraId="2EDAC157" w14:textId="77777777" w:rsidR="000D4EDC" w:rsidRPr="00BE15CC" w:rsidRDefault="002A3A49" w:rsidP="00235817">
      <w:pPr>
        <w:spacing w:line="240" w:lineRule="auto"/>
        <w:ind w:left="720"/>
        <w:rPr>
          <w:szCs w:val="24"/>
        </w:rPr>
      </w:pPr>
      <w:r w:rsidRPr="00BE15CC">
        <w:rPr>
          <w:szCs w:val="24"/>
        </w:rPr>
        <w:t xml:space="preserve">Saul </w:t>
      </w:r>
      <w:r w:rsidR="00D652B5" w:rsidRPr="00BE15CC">
        <w:rPr>
          <w:szCs w:val="24"/>
        </w:rPr>
        <w:t>Kripke: ‘</w:t>
      </w:r>
      <w:r w:rsidR="000D4EDC" w:rsidRPr="00BE15CC">
        <w:rPr>
          <w:szCs w:val="24"/>
        </w:rPr>
        <w:t xml:space="preserve">It is in general not the case that the reference of a name is determined by some uniquely identifying marks, some unique properties satisfied by the referent and known or believed to be true </w:t>
      </w:r>
      <w:r w:rsidR="00BE15CC" w:rsidRPr="00BE15CC">
        <w:rPr>
          <w:szCs w:val="24"/>
        </w:rPr>
        <w:t>of that referent by the speaker’ because</w:t>
      </w:r>
      <w:r w:rsidR="00551DDC">
        <w:rPr>
          <w:szCs w:val="24"/>
        </w:rPr>
        <w:t xml:space="preserve"> such</w:t>
      </w:r>
      <w:r w:rsidR="00BE15CC" w:rsidRPr="00BE15CC">
        <w:rPr>
          <w:szCs w:val="24"/>
        </w:rPr>
        <w:t xml:space="preserve"> a description </w:t>
      </w:r>
      <w:r w:rsidR="00BE15CC" w:rsidRPr="00BE15CC">
        <w:rPr>
          <w:rFonts w:cs="Fd251958-Identity-H"/>
          <w:szCs w:val="24"/>
        </w:rPr>
        <w:t>‘</w:t>
      </w:r>
      <w:r w:rsidR="000D4EDC" w:rsidRPr="00BE15CC">
        <w:rPr>
          <w:rFonts w:cs="Fd251958-Identity-H"/>
          <w:szCs w:val="24"/>
        </w:rPr>
        <w:t xml:space="preserve">is not giving a </w:t>
      </w:r>
      <w:r w:rsidR="000D4EDC" w:rsidRPr="00BE15CC">
        <w:rPr>
          <w:rFonts w:cs="Fd251958-Identity-H"/>
          <w:szCs w:val="24"/>
        </w:rPr>
        <w:lastRenderedPageBreak/>
        <w:t>synonym, giving something for which the name is an abbreviation; it is, rather, fixing a reference</w:t>
      </w:r>
      <w:r w:rsidR="00D652B5" w:rsidRPr="00BE15CC">
        <w:rPr>
          <w:rFonts w:cs="Fd251958-Identity-H"/>
          <w:szCs w:val="24"/>
        </w:rPr>
        <w:t>’</w:t>
      </w:r>
      <w:r w:rsidR="00322C54">
        <w:rPr>
          <w:rFonts w:cs="Fd251958-Identity-H"/>
          <w:szCs w:val="24"/>
        </w:rPr>
        <w:t xml:space="preserve"> (1980, p. 106)</w:t>
      </w:r>
      <w:r w:rsidR="000D4EDC" w:rsidRPr="00BE15CC">
        <w:rPr>
          <w:rFonts w:cs="Fd251958-Identity-H"/>
          <w:szCs w:val="24"/>
        </w:rPr>
        <w:t>.</w:t>
      </w:r>
    </w:p>
    <w:p w14:paraId="1937F37C" w14:textId="77777777" w:rsidR="000D4EDC" w:rsidRPr="00BE15CC" w:rsidRDefault="000D4EDC" w:rsidP="00235817">
      <w:pPr>
        <w:spacing w:line="240" w:lineRule="auto"/>
        <w:ind w:firstLine="720"/>
        <w:rPr>
          <w:szCs w:val="24"/>
        </w:rPr>
      </w:pPr>
    </w:p>
    <w:p w14:paraId="12849D76" w14:textId="77777777" w:rsidR="000D4EDC" w:rsidRPr="00BE15CC" w:rsidRDefault="002A3A49" w:rsidP="00235817">
      <w:pPr>
        <w:spacing w:line="240" w:lineRule="auto"/>
        <w:ind w:left="720"/>
        <w:rPr>
          <w:szCs w:val="24"/>
        </w:rPr>
      </w:pPr>
      <w:r w:rsidRPr="00BE15CC">
        <w:rPr>
          <w:szCs w:val="24"/>
        </w:rPr>
        <w:t xml:space="preserve">Hilary </w:t>
      </w:r>
      <w:r w:rsidR="00D652B5" w:rsidRPr="00BE15CC">
        <w:rPr>
          <w:szCs w:val="24"/>
        </w:rPr>
        <w:t>Putnam: ‘</w:t>
      </w:r>
      <w:r w:rsidR="000D4EDC" w:rsidRPr="00BE15CC">
        <w:rPr>
          <w:szCs w:val="24"/>
        </w:rPr>
        <w:t xml:space="preserve">[T]he psychological state of the speaker does </w:t>
      </w:r>
      <w:r w:rsidR="000D4EDC" w:rsidRPr="00BE15CC">
        <w:rPr>
          <w:i/>
          <w:szCs w:val="24"/>
        </w:rPr>
        <w:t>not</w:t>
      </w:r>
      <w:r w:rsidR="000D4EDC" w:rsidRPr="00BE15CC">
        <w:rPr>
          <w:szCs w:val="24"/>
        </w:rPr>
        <w:t xml:space="preserve"> determine the extension (</w:t>
      </w:r>
      <w:r w:rsidR="000D4EDC" w:rsidRPr="00BE15CC">
        <w:rPr>
          <w:i/>
          <w:szCs w:val="24"/>
        </w:rPr>
        <w:t>or</w:t>
      </w:r>
      <w:r w:rsidR="000D4EDC" w:rsidRPr="00BE15CC">
        <w:rPr>
          <w:szCs w:val="24"/>
        </w:rPr>
        <w:t xml:space="preserve"> the ‘meaning’, speaki</w:t>
      </w:r>
      <w:r w:rsidR="0005440E" w:rsidRPr="00BE15CC">
        <w:rPr>
          <w:szCs w:val="24"/>
        </w:rPr>
        <w:t>ng preanalytically) of the word’</w:t>
      </w:r>
      <w:r w:rsidR="002A0139">
        <w:rPr>
          <w:szCs w:val="24"/>
        </w:rPr>
        <w:t xml:space="preserve"> (1986, p. 226)</w:t>
      </w:r>
      <w:r w:rsidR="000D4EDC" w:rsidRPr="00BE15CC">
        <w:rPr>
          <w:szCs w:val="24"/>
        </w:rPr>
        <w:t xml:space="preserve">. </w:t>
      </w:r>
      <w:r w:rsidR="008A12CB" w:rsidRPr="00BE15CC">
        <w:rPr>
          <w:szCs w:val="24"/>
        </w:rPr>
        <w:t>He famously continues: ‘</w:t>
      </w:r>
      <w:r w:rsidR="000D4EDC" w:rsidRPr="00BE15CC">
        <w:rPr>
          <w:szCs w:val="24"/>
        </w:rPr>
        <w:t xml:space="preserve">Cut the pie any way you like, ‘meanings’ just ain’t in the </w:t>
      </w:r>
      <w:r w:rsidR="000D4EDC" w:rsidRPr="00BE15CC">
        <w:rPr>
          <w:i/>
          <w:szCs w:val="24"/>
        </w:rPr>
        <w:t>head</w:t>
      </w:r>
      <w:r w:rsidR="00D652B5" w:rsidRPr="00BE15CC">
        <w:rPr>
          <w:szCs w:val="24"/>
        </w:rPr>
        <w:t>!’</w:t>
      </w:r>
      <w:r w:rsidR="00322C54">
        <w:rPr>
          <w:szCs w:val="24"/>
        </w:rPr>
        <w:t xml:space="preserve"> (1986, p. 227)</w:t>
      </w:r>
      <w:r w:rsidR="002A0139">
        <w:rPr>
          <w:szCs w:val="24"/>
        </w:rPr>
        <w:t>.</w:t>
      </w:r>
    </w:p>
    <w:p w14:paraId="0499814D" w14:textId="77777777" w:rsidR="000D4EDC" w:rsidRDefault="000D4EDC" w:rsidP="00235817">
      <w:pPr>
        <w:spacing w:line="240" w:lineRule="auto"/>
      </w:pPr>
    </w:p>
    <w:p w14:paraId="10021AC0" w14:textId="77777777" w:rsidR="000D4EDC" w:rsidRDefault="000D4EDC" w:rsidP="00235817">
      <w:pPr>
        <w:spacing w:line="240" w:lineRule="auto"/>
      </w:pPr>
      <w:r>
        <w:t xml:space="preserve">Note here that both Kripke and Putnam frame what they say about linguistic meaning and reference assertorically. Reference, Kripke argues, </w:t>
      </w:r>
      <w:r>
        <w:rPr>
          <w:i/>
        </w:rPr>
        <w:t>is</w:t>
      </w:r>
      <w:r>
        <w:t xml:space="preserve"> not determined by an object satisfying a particular </w:t>
      </w:r>
      <w:r w:rsidR="0038705E">
        <w:t>description, but by a reference-</w:t>
      </w:r>
      <w:r>
        <w:t xml:space="preserve">fixing event. For Putnam, linguistic meaning </w:t>
      </w:r>
      <w:r>
        <w:rPr>
          <w:i/>
        </w:rPr>
        <w:t>is</w:t>
      </w:r>
      <w:r>
        <w:t xml:space="preserve"> not determined by the psychological state of the speaker, but primarily by the extra-linguistic reference of their words. They present themselves as representing what is the case with respect to the nature of linguistic meaning and reference.</w:t>
      </w:r>
    </w:p>
    <w:p w14:paraId="3BC8FEEF" w14:textId="77777777" w:rsidR="000D4EDC" w:rsidRPr="0017255E" w:rsidRDefault="000D4EDC" w:rsidP="00235817">
      <w:pPr>
        <w:spacing w:line="240" w:lineRule="auto"/>
      </w:pPr>
      <w:r>
        <w:tab/>
      </w:r>
      <w:r w:rsidRPr="0017255E">
        <w:t xml:space="preserve">But despite the assertoric surface grammar of these accounts, is this the best way to interpret them? Two sets of considerations suggest not. First, while Putnam, for example, does say that </w:t>
      </w:r>
      <w:r w:rsidR="001E41E9">
        <w:t>his view of linguistic meaning ‘</w:t>
      </w:r>
      <w:r w:rsidRPr="0017255E">
        <w:t>recovers as much of ordinary usage in common sense talk and in linguistics as one is likely to b</w:t>
      </w:r>
      <w:r w:rsidR="001E41E9">
        <w:t>e able to conveniently preserve’, he also concedes that ‘</w:t>
      </w:r>
      <w:r w:rsidRPr="0017255E">
        <w:t>no reconstruction is going to be without some</w:t>
      </w:r>
      <w:r w:rsidR="001E41E9">
        <w:t xml:space="preserve"> counter-intuitive consequences’</w:t>
      </w:r>
      <w:r w:rsidRPr="0017255E">
        <w:t>, and his view</w:t>
      </w:r>
      <w:r w:rsidR="001E41E9">
        <w:t xml:space="preserve"> is no exception</w:t>
      </w:r>
      <w:r w:rsidR="00784E9F">
        <w:t xml:space="preserve"> (1986, pp</w:t>
      </w:r>
      <w:r w:rsidRPr="0017255E">
        <w:t>.</w:t>
      </w:r>
      <w:r w:rsidR="00784E9F">
        <w:t xml:space="preserve"> 268</w:t>
      </w:r>
      <w:r w:rsidR="00B03C32" w:rsidRPr="00B03C32">
        <w:rPr>
          <w:rFonts w:cs="MinionPro-Regular"/>
          <w:szCs w:val="24"/>
        </w:rPr>
        <w:t>–</w:t>
      </w:r>
      <w:r w:rsidR="00784E9F">
        <w:t>269).</w:t>
      </w:r>
      <w:r w:rsidRPr="0017255E">
        <w:t xml:space="preserve"> Second, despite Putnam’s claim to be aiming to capture our </w:t>
      </w:r>
      <w:proofErr w:type="gramStart"/>
      <w:r w:rsidRPr="0017255E">
        <w:t>common sense</w:t>
      </w:r>
      <w:proofErr w:type="gramEnd"/>
      <w:r w:rsidRPr="0017255E">
        <w:t xml:space="preserve"> notion of linguistic meaning – a</w:t>
      </w:r>
      <w:r w:rsidR="001E41E9">
        <w:t>nd Kripke’s similar claim that ‘</w:t>
      </w:r>
      <w:r w:rsidRPr="0017255E">
        <w:rPr>
          <w:rFonts w:cs="Fd369658-Identity-H"/>
          <w:szCs w:val="24"/>
        </w:rPr>
        <w:t xml:space="preserve">having intuitive content…is </w:t>
      </w:r>
      <w:r w:rsidR="001E41E9">
        <w:rPr>
          <w:rFonts w:cs="Fd369658-Identity-H"/>
          <w:szCs w:val="24"/>
        </w:rPr>
        <w:t>very heavy evidence in favor of’</w:t>
      </w:r>
      <w:r w:rsidR="00A64F8C">
        <w:rPr>
          <w:rFonts w:cs="Fd369658-Identity-H"/>
          <w:szCs w:val="24"/>
        </w:rPr>
        <w:t xml:space="preserve"> his</w:t>
      </w:r>
      <w:r w:rsidRPr="0017255E">
        <w:rPr>
          <w:rFonts w:cs="Fd369658-Identity-H"/>
          <w:szCs w:val="24"/>
        </w:rPr>
        <w:t xml:space="preserve"> views</w:t>
      </w:r>
      <w:r w:rsidR="00A64F8C">
        <w:rPr>
          <w:rFonts w:cs="Fd369658-Identity-H"/>
          <w:szCs w:val="24"/>
        </w:rPr>
        <w:t xml:space="preserve"> </w:t>
      </w:r>
      <w:r w:rsidRPr="0017255E">
        <w:rPr>
          <w:rFonts w:cs="Fd369658-Identity-H"/>
          <w:szCs w:val="24"/>
        </w:rPr>
        <w:t xml:space="preserve">– neither </w:t>
      </w:r>
      <w:r>
        <w:rPr>
          <w:rFonts w:cs="Fd369658-Identity-H"/>
          <w:szCs w:val="24"/>
        </w:rPr>
        <w:t>carries out</w:t>
      </w:r>
      <w:r w:rsidRPr="0017255E">
        <w:rPr>
          <w:rFonts w:cs="Fd369658-Identity-H"/>
          <w:szCs w:val="24"/>
        </w:rPr>
        <w:t xml:space="preserve"> any</w:t>
      </w:r>
      <w:r>
        <w:rPr>
          <w:rFonts w:cs="Fd369658-Identity-H"/>
          <w:szCs w:val="24"/>
        </w:rPr>
        <w:t xml:space="preserve"> kind of</w:t>
      </w:r>
      <w:r w:rsidRPr="0017255E">
        <w:rPr>
          <w:rFonts w:cs="Fd369658-Identity-H"/>
          <w:szCs w:val="24"/>
        </w:rPr>
        <w:t xml:space="preserve"> systematic </w:t>
      </w:r>
      <w:r>
        <w:rPr>
          <w:rFonts w:cs="Fd369658-Identity-H"/>
          <w:szCs w:val="24"/>
        </w:rPr>
        <w:t>empirical study</w:t>
      </w:r>
      <w:r w:rsidRPr="0017255E">
        <w:rPr>
          <w:rFonts w:cs="Fd369658-Identity-H"/>
          <w:szCs w:val="24"/>
        </w:rPr>
        <w:t xml:space="preserve"> to show that their usage and understanding of </w:t>
      </w:r>
      <w:r>
        <w:rPr>
          <w:rFonts w:cs="Fd369658-Identity-H"/>
          <w:szCs w:val="24"/>
        </w:rPr>
        <w:t>‘</w:t>
      </w:r>
      <w:r w:rsidRPr="0017255E">
        <w:rPr>
          <w:rFonts w:cs="Fd369658-Identity-H"/>
          <w:szCs w:val="24"/>
        </w:rPr>
        <w:t>reference</w:t>
      </w:r>
      <w:r>
        <w:rPr>
          <w:rFonts w:cs="Fd369658-Identity-H"/>
          <w:szCs w:val="24"/>
        </w:rPr>
        <w:t>’ and ‘meaning’ track</w:t>
      </w:r>
      <w:r w:rsidR="002625DF">
        <w:rPr>
          <w:rFonts w:cs="Fd369658-Identity-H"/>
          <w:szCs w:val="24"/>
        </w:rPr>
        <w:t xml:space="preserve"> intuitive</w:t>
      </w:r>
      <w:r w:rsidRPr="0017255E">
        <w:rPr>
          <w:rFonts w:cs="Fd369658-Identity-H"/>
          <w:szCs w:val="24"/>
        </w:rPr>
        <w:t>, ordinary us</w:t>
      </w:r>
      <w:r w:rsidR="001E41E9">
        <w:rPr>
          <w:rFonts w:cs="Fd369658-Identity-H"/>
          <w:szCs w:val="24"/>
        </w:rPr>
        <w:t>age and understanding</w:t>
      </w:r>
      <w:r w:rsidR="00672C9A">
        <w:rPr>
          <w:rFonts w:cs="Fd369658-Identity-H"/>
          <w:szCs w:val="24"/>
        </w:rPr>
        <w:t xml:space="preserve"> (Kripke, 1980, 42)</w:t>
      </w:r>
      <w:r w:rsidRPr="0017255E">
        <w:rPr>
          <w:rFonts w:cs="Fd369658-Identity-H"/>
          <w:szCs w:val="24"/>
        </w:rPr>
        <w:t xml:space="preserve">. </w:t>
      </w:r>
      <w:r>
        <w:rPr>
          <w:rFonts w:cs="Fd369658-Identity-H"/>
          <w:szCs w:val="24"/>
        </w:rPr>
        <w:t xml:space="preserve">Furthermore, as Noam Chomsky </w:t>
      </w:r>
      <w:r w:rsidR="00A64F8C">
        <w:rPr>
          <w:rFonts w:cs="Fd369658-Identity-H"/>
          <w:szCs w:val="24"/>
        </w:rPr>
        <w:t>points</w:t>
      </w:r>
      <w:r>
        <w:rPr>
          <w:rFonts w:cs="Fd369658-Identity-H"/>
          <w:szCs w:val="24"/>
        </w:rPr>
        <w:t xml:space="preserve"> out, it is not even clear that such a study could be designed because </w:t>
      </w:r>
      <w:r w:rsidRPr="0017255E">
        <w:rPr>
          <w:rFonts w:cs="Fd369658-Identity-H"/>
          <w:szCs w:val="24"/>
        </w:rPr>
        <w:t>while we ma</w:t>
      </w:r>
      <w:r w:rsidR="001E41E9">
        <w:rPr>
          <w:rFonts w:cs="Fd369658-Identity-H"/>
          <w:szCs w:val="24"/>
        </w:rPr>
        <w:t>y have ‘</w:t>
      </w:r>
      <w:r w:rsidRPr="0017255E">
        <w:rPr>
          <w:rFonts w:cs="Fd369658-Identity-H"/>
          <w:szCs w:val="24"/>
        </w:rPr>
        <w:t xml:space="preserve">intuitive judgments about the notion used in such expressions as </w:t>
      </w:r>
      <w:r w:rsidRPr="0017255E">
        <w:rPr>
          <w:rFonts w:cs="Fd369658-Identity-H"/>
          <w:i/>
          <w:szCs w:val="24"/>
        </w:rPr>
        <w:t>Mary often refers to the young man as a friend (to the average man as John Doe, to good health as life’s highest goal</w:t>
      </w:r>
      <w:r w:rsidR="001E41E9">
        <w:rPr>
          <w:rFonts w:cs="Fd369658-Identity-H"/>
          <w:szCs w:val="24"/>
        </w:rPr>
        <w:t>)’</w:t>
      </w:r>
      <w:r w:rsidRPr="0017255E">
        <w:rPr>
          <w:rFonts w:cs="Fd369658-Identity-H"/>
          <w:szCs w:val="24"/>
        </w:rPr>
        <w:t xml:space="preserve">, we </w:t>
      </w:r>
      <w:r>
        <w:rPr>
          <w:rFonts w:cs="Fd369658-Identity-H"/>
          <w:szCs w:val="24"/>
        </w:rPr>
        <w:t>do not seem to have any</w:t>
      </w:r>
      <w:r w:rsidR="001E41E9">
        <w:rPr>
          <w:rFonts w:cs="Fd369658-Identity-H"/>
          <w:szCs w:val="24"/>
        </w:rPr>
        <w:t xml:space="preserve"> intuitions about a term of ‘</w:t>
      </w:r>
      <w:r w:rsidRPr="0017255E">
        <w:rPr>
          <w:rFonts w:cs="Fd369658-Identity-H"/>
          <w:szCs w:val="24"/>
        </w:rPr>
        <w:t>technic</w:t>
      </w:r>
      <w:r w:rsidR="001E41E9">
        <w:rPr>
          <w:rFonts w:cs="Fd369658-Identity-H"/>
          <w:szCs w:val="24"/>
        </w:rPr>
        <w:t>al discourse’</w:t>
      </w:r>
      <w:r w:rsidRPr="0017255E">
        <w:rPr>
          <w:rFonts w:cs="Fd369658-Identity-H"/>
          <w:szCs w:val="24"/>
        </w:rPr>
        <w:t xml:space="preserve"> such as ‘reference’ </w:t>
      </w:r>
      <w:r>
        <w:rPr>
          <w:rFonts w:cs="Fd369658-Identity-H"/>
          <w:szCs w:val="24"/>
        </w:rPr>
        <w:t>as</w:t>
      </w:r>
      <w:r w:rsidRPr="0017255E">
        <w:rPr>
          <w:rFonts w:cs="Fd369658-Identity-H"/>
          <w:szCs w:val="24"/>
        </w:rPr>
        <w:t xml:space="preserve"> Kripke and Putnam are articulating it, </w:t>
      </w:r>
      <w:r w:rsidR="002625DF">
        <w:rPr>
          <w:rFonts w:cs="Fd369658-Identity-H"/>
          <w:szCs w:val="24"/>
        </w:rPr>
        <w:t>i.e.</w:t>
      </w:r>
      <w:r>
        <w:rPr>
          <w:rFonts w:cs="Fd369658-Identity-H"/>
          <w:szCs w:val="24"/>
        </w:rPr>
        <w:t>, we have no intuitions about a term</w:t>
      </w:r>
      <w:r w:rsidRPr="0017255E">
        <w:rPr>
          <w:rFonts w:cs="Fd369658-Identity-H"/>
          <w:szCs w:val="24"/>
        </w:rPr>
        <w:t xml:space="preserve"> </w:t>
      </w:r>
      <w:r>
        <w:rPr>
          <w:rFonts w:cs="Fd369658-Identity-H"/>
          <w:szCs w:val="24"/>
        </w:rPr>
        <w:t>as it appears</w:t>
      </w:r>
      <w:r w:rsidRPr="0017255E">
        <w:rPr>
          <w:rFonts w:cs="Fd369658-Identity-H"/>
          <w:szCs w:val="24"/>
        </w:rPr>
        <w:t xml:space="preserve"> </w:t>
      </w:r>
      <w:r>
        <w:rPr>
          <w:rFonts w:cs="Fd369658-Identity-H"/>
          <w:szCs w:val="24"/>
        </w:rPr>
        <w:t>outside of</w:t>
      </w:r>
      <w:r w:rsidRPr="0017255E">
        <w:rPr>
          <w:rFonts w:cs="Fd369658-Identity-H"/>
          <w:szCs w:val="24"/>
        </w:rPr>
        <w:t xml:space="preserve"> natu</w:t>
      </w:r>
      <w:r w:rsidR="001E41E9">
        <w:rPr>
          <w:rFonts w:cs="Fd369658-Identity-H"/>
          <w:szCs w:val="24"/>
        </w:rPr>
        <w:t>ral language contexts</w:t>
      </w:r>
      <w:r w:rsidR="00672C9A">
        <w:rPr>
          <w:rFonts w:cs="Fd369658-Identity-H"/>
          <w:szCs w:val="24"/>
        </w:rPr>
        <w:t xml:space="preserve"> (Chomsky, 2000, p. 40).</w:t>
      </w:r>
    </w:p>
    <w:p w14:paraId="28E8DFBB" w14:textId="77777777" w:rsidR="000D4EDC" w:rsidRPr="009425F1" w:rsidRDefault="000D4EDC" w:rsidP="00235817">
      <w:pPr>
        <w:spacing w:line="240" w:lineRule="auto"/>
      </w:pPr>
      <w:r>
        <w:tab/>
        <w:t>Consider</w:t>
      </w:r>
      <w:r w:rsidR="0038705E">
        <w:t>, then,</w:t>
      </w:r>
      <w:r>
        <w:t xml:space="preserve"> an interpretation of what Kripke and Putnam are doing using my account of stipulation. Rather than saddling them with the implausible claim that they are simply trying to represent common usage and understanding regarding ‘meaning’ and ‘reference’ (even if some of their own formulations suggest this</w:t>
      </w:r>
      <w:r w:rsidR="00D0675D">
        <w:t xml:space="preserve">) or trying to represent their ‘true’ </w:t>
      </w:r>
      <w:r>
        <w:t xml:space="preserve">nature, we can instead take them to be saying that we </w:t>
      </w:r>
      <w:r>
        <w:rPr>
          <w:i/>
        </w:rPr>
        <w:t>should</w:t>
      </w:r>
      <w:r>
        <w:t xml:space="preserve"> use and understand these terms and underlying concepts in a specific way in order to advance certain ends that are assumed to be shared with their audience. But what kinds of ends? Here we can re-visit </w:t>
      </w:r>
      <w:r w:rsidR="00A20966">
        <w:t>some of</w:t>
      </w:r>
      <w:r>
        <w:t xml:space="preserve"> Putnam</w:t>
      </w:r>
      <w:r w:rsidR="00A20966">
        <w:t>’s</w:t>
      </w:r>
      <w:r>
        <w:t xml:space="preserve"> and Kripke</w:t>
      </w:r>
      <w:r w:rsidR="00A20966">
        <w:t xml:space="preserve">’s arguments. </w:t>
      </w:r>
      <w:r>
        <w:t xml:space="preserve">Putnam, for example, explains that his account of reference can help avoid what he takes to be the disastrous views of philosophers such as Paul Feyerabend, </w:t>
      </w:r>
      <w:r w:rsidR="00B2295A">
        <w:t>where</w:t>
      </w:r>
      <w:r>
        <w:t xml:space="preserve"> linguistic meaning </w:t>
      </w:r>
      <w:r w:rsidR="00B2295A">
        <w:t>i</w:t>
      </w:r>
      <w:r>
        <w:t>s</w:t>
      </w:r>
      <w:r w:rsidR="00B2295A">
        <w:t xml:space="preserve"> taken to be</w:t>
      </w:r>
      <w:r>
        <w:t xml:space="preserve"> inextricably linked to the scientific theory and beliefs in which terms are situated.</w:t>
      </w:r>
      <w:r w:rsidR="00A20966">
        <w:t xml:space="preserve"> On such views,</w:t>
      </w:r>
      <w:r>
        <w:t xml:space="preserve"> </w:t>
      </w:r>
      <w:r w:rsidR="00A20966">
        <w:t>d</w:t>
      </w:r>
      <w:r w:rsidR="00B2295A">
        <w:t>ifferences</w:t>
      </w:r>
      <w:r>
        <w:t xml:space="preserve"> in theory entail differences in the meanings of terms, so apparent advances in our understanding of a phenomenon are </w:t>
      </w:r>
      <w:r w:rsidR="00A64F8C">
        <w:t xml:space="preserve">not advances, but simply </w:t>
      </w:r>
      <w:r>
        <w:t>changes i</w:t>
      </w:r>
      <w:r w:rsidR="00A64F8C">
        <w:t>n subject</w:t>
      </w:r>
      <w:r w:rsidR="00B2295A">
        <w:t>.</w:t>
      </w:r>
      <w:r w:rsidR="00D52861">
        <w:t xml:space="preserve"> </w:t>
      </w:r>
      <w:r w:rsidR="00C81D16">
        <w:t>I</w:t>
      </w:r>
      <w:r>
        <w:t>f</w:t>
      </w:r>
      <w:r w:rsidR="00C81D16">
        <w:t>, however,</w:t>
      </w:r>
      <w:r>
        <w:t xml:space="preserve"> we opt for an understanding of the concept of linguistic m</w:t>
      </w:r>
      <w:r w:rsidR="00084E89">
        <w:t>eaning where it is taken to be ‘largely determined by reference’</w:t>
      </w:r>
      <w:r>
        <w:t xml:space="preserve"> to extra-linguistic objects or kinds</w:t>
      </w:r>
      <w:r w:rsidR="00D52861">
        <w:t xml:space="preserve"> and not speakers’ beliefs</w:t>
      </w:r>
      <w:r>
        <w:t>, then we can avoid these unacceptable relativist consequences</w:t>
      </w:r>
      <w:r w:rsidR="00793E87">
        <w:t xml:space="preserve"> (Putnam, 1986, p</w:t>
      </w:r>
      <w:r>
        <w:t>.</w:t>
      </w:r>
      <w:r w:rsidR="00793E87">
        <w:t xml:space="preserve"> x).</w:t>
      </w:r>
      <w:r w:rsidR="00A20966">
        <w:t xml:space="preserve"> On my</w:t>
      </w:r>
      <w:r>
        <w:t xml:space="preserve"> re-reading</w:t>
      </w:r>
      <w:r w:rsidR="00A20966">
        <w:t xml:space="preserve"> and despite his own assertoric formulations</w:t>
      </w:r>
      <w:r>
        <w:t xml:space="preserve">, </w:t>
      </w:r>
      <w:r w:rsidR="00A20966">
        <w:t xml:space="preserve">Putnam </w:t>
      </w:r>
      <w:r w:rsidR="00C81D16">
        <w:t xml:space="preserve">is </w:t>
      </w:r>
      <w:r w:rsidR="00C56E28">
        <w:t xml:space="preserve">therefore </w:t>
      </w:r>
      <w:r w:rsidR="00C81D16">
        <w:t>helpfully read as</w:t>
      </w:r>
      <w:r w:rsidR="008A12CB">
        <w:t xml:space="preserve"> </w:t>
      </w:r>
      <w:r w:rsidRPr="008A12CB">
        <w:rPr>
          <w:i/>
        </w:rPr>
        <w:t>stipulating</w:t>
      </w:r>
      <w:r>
        <w:t xml:space="preserve"> that when the term ‘meaning’ or concept </w:t>
      </w:r>
      <w:r w:rsidRPr="00F2618A">
        <w:rPr>
          <w:sz w:val="18"/>
          <w:szCs w:val="18"/>
        </w:rPr>
        <w:t>MEANING</w:t>
      </w:r>
      <w:r>
        <w:rPr>
          <w:sz w:val="18"/>
          <w:szCs w:val="18"/>
        </w:rPr>
        <w:t xml:space="preserve"> </w:t>
      </w:r>
      <w:r>
        <w:rPr>
          <w:szCs w:val="24"/>
        </w:rPr>
        <w:t xml:space="preserve">is invoked, speakers </w:t>
      </w:r>
      <w:r w:rsidR="004A2780">
        <w:rPr>
          <w:szCs w:val="24"/>
        </w:rPr>
        <w:t xml:space="preserve">should </w:t>
      </w:r>
      <w:r>
        <w:rPr>
          <w:szCs w:val="24"/>
        </w:rPr>
        <w:t xml:space="preserve">be entitled to infer that it is largely determined by reference to extra-linguistic objects or kinds, and they are entitled because of the advantages of such an understanding – for example, in how it allows us to avoid </w:t>
      </w:r>
      <w:r>
        <w:t>relativist views in the history and philosophy of science.</w:t>
      </w:r>
    </w:p>
    <w:p w14:paraId="08DBD8A9" w14:textId="77777777" w:rsidR="000D4EDC" w:rsidRPr="00247EE0" w:rsidRDefault="000D4EDC" w:rsidP="00235817">
      <w:pPr>
        <w:spacing w:line="240" w:lineRule="auto"/>
        <w:rPr>
          <w:rFonts w:cs="Fd35768-Identity-H"/>
          <w:szCs w:val="24"/>
        </w:rPr>
      </w:pPr>
      <w:r>
        <w:lastRenderedPageBreak/>
        <w:tab/>
      </w:r>
      <w:r w:rsidRPr="00203763">
        <w:rPr>
          <w:szCs w:val="24"/>
        </w:rPr>
        <w:t xml:space="preserve">For Kripke, a major consideration in favor of his kindred view of linguistic meaning is that it seems to capture the modal dimensions of our ordinary talk surrounding proper names. For example, </w:t>
      </w:r>
      <w:r>
        <w:rPr>
          <w:szCs w:val="24"/>
        </w:rPr>
        <w:t>we typically say of someone that they might not have done thus and such – that, say, Nixon might not have won t</w:t>
      </w:r>
      <w:r w:rsidR="001E41E9">
        <w:rPr>
          <w:szCs w:val="24"/>
        </w:rPr>
        <w:t>he election in 1968</w:t>
      </w:r>
      <w:r w:rsidR="00FB134C">
        <w:rPr>
          <w:szCs w:val="24"/>
        </w:rPr>
        <w:t xml:space="preserve"> (Kripke, 1980, pp. </w:t>
      </w:r>
      <w:r w:rsidR="00FB134C">
        <w:t>40</w:t>
      </w:r>
      <w:r w:rsidR="00FB134C" w:rsidRPr="00B03C32">
        <w:rPr>
          <w:rFonts w:cs="MinionPro-Regular"/>
          <w:szCs w:val="24"/>
        </w:rPr>
        <w:t>–</w:t>
      </w:r>
      <w:r w:rsidR="00FB134C">
        <w:t>49)</w:t>
      </w:r>
      <w:r>
        <w:rPr>
          <w:szCs w:val="24"/>
        </w:rPr>
        <w:t xml:space="preserve">. </w:t>
      </w:r>
      <w:r>
        <w:rPr>
          <w:rFonts w:cs="Fd35768-Identity-H"/>
          <w:szCs w:val="24"/>
        </w:rPr>
        <w:t xml:space="preserve">For such utterances to make sense, it seems that it must be the case that the meaning of proper names is not reducible to beliefs we have about that individual since we can always imagine that any of these beliefs might not be true of the individual in question, and we would nonetheless, in imagining such scenarios, still be referring to the same individual. Kripke says that he is capturing our intuitions about such cases </w:t>
      </w:r>
      <w:r w:rsidR="004A2780">
        <w:rPr>
          <w:rFonts w:cs="Fd35768-Identity-H"/>
          <w:szCs w:val="24"/>
        </w:rPr>
        <w:t>while</w:t>
      </w:r>
      <w:r>
        <w:rPr>
          <w:rFonts w:cs="Fd35768-Identity-H"/>
          <w:szCs w:val="24"/>
        </w:rPr>
        <w:t xml:space="preserve"> different </w:t>
      </w:r>
      <w:r w:rsidR="001E41E9">
        <w:rPr>
          <w:rFonts w:cs="Fd35768-Identity-H"/>
          <w:szCs w:val="24"/>
        </w:rPr>
        <w:t>views are simply ‘wrong’ or ‘false’</w:t>
      </w:r>
      <w:r>
        <w:rPr>
          <w:rFonts w:cs="Fd35768-Identity-H"/>
          <w:szCs w:val="24"/>
        </w:rPr>
        <w:t xml:space="preserve">. On my re-reading, however, this language is misleading. Kripke (like Putnam) is stipulating that when the concept of meaning is invoked, we are entitled to infer that it is determined primarily by reference to extra-linguistic objects. This is not because Kripke has </w:t>
      </w:r>
      <w:r w:rsidRPr="00247EE0">
        <w:rPr>
          <w:rFonts w:cs="Fd35768-Identity-H"/>
          <w:szCs w:val="24"/>
        </w:rPr>
        <w:t xml:space="preserve">represented the concept of meaning correctly, as his own wording suggests; it is because this view of the concept of meaning has the advantage of preserving certain everyday linguistic </w:t>
      </w:r>
      <w:proofErr w:type="gramStart"/>
      <w:r w:rsidRPr="00247EE0">
        <w:rPr>
          <w:rFonts w:cs="Fd35768-Identity-H"/>
          <w:szCs w:val="24"/>
        </w:rPr>
        <w:t>practices</w:t>
      </w:r>
      <w:proofErr w:type="gramEnd"/>
      <w:r w:rsidRPr="00247EE0">
        <w:rPr>
          <w:rFonts w:cs="Fd35768-Identity-H"/>
          <w:szCs w:val="24"/>
        </w:rPr>
        <w:t xml:space="preserve"> we have surrounding proper names, for example.</w:t>
      </w:r>
      <w:r w:rsidR="00A274CC">
        <w:rPr>
          <w:rStyle w:val="FootnoteReference"/>
          <w:rFonts w:cs="Fd35768-Identity-H"/>
          <w:szCs w:val="24"/>
        </w:rPr>
        <w:footnoteReference w:id="15"/>
      </w:r>
    </w:p>
    <w:p w14:paraId="7513890F" w14:textId="77777777" w:rsidR="000D4EDC" w:rsidRPr="00247EE0" w:rsidRDefault="000D4EDC" w:rsidP="00235817">
      <w:pPr>
        <w:autoSpaceDE w:val="0"/>
        <w:autoSpaceDN w:val="0"/>
        <w:adjustRightInd w:val="0"/>
        <w:spacing w:line="240" w:lineRule="auto"/>
        <w:rPr>
          <w:rFonts w:cs="Fd372255-Identity-H"/>
          <w:szCs w:val="24"/>
        </w:rPr>
      </w:pPr>
      <w:r w:rsidRPr="00247EE0">
        <w:rPr>
          <w:rFonts w:ascii="Fd372255-Identity-H" w:hAnsi="Fd372255-Identity-H" w:cs="Fd372255-Identity-H"/>
          <w:szCs w:val="24"/>
        </w:rPr>
        <w:tab/>
      </w:r>
      <w:r w:rsidRPr="00247EE0">
        <w:rPr>
          <w:rFonts w:cs="Fd372255-Identity-H"/>
          <w:szCs w:val="24"/>
        </w:rPr>
        <w:t xml:space="preserve">As I did for </w:t>
      </w:r>
      <w:proofErr w:type="gramStart"/>
      <w:r w:rsidRPr="00247EE0">
        <w:rPr>
          <w:rFonts w:cs="Fd372255-Identity-H"/>
          <w:szCs w:val="24"/>
        </w:rPr>
        <w:t>Young’s</w:t>
      </w:r>
      <w:proofErr w:type="gramEnd"/>
      <w:r w:rsidRPr="00247EE0">
        <w:rPr>
          <w:rFonts w:cs="Fd372255-Identity-H"/>
          <w:szCs w:val="24"/>
        </w:rPr>
        <w:t xml:space="preserve"> account, let me suggest </w:t>
      </w:r>
      <w:r w:rsidR="00183439">
        <w:rPr>
          <w:rFonts w:cs="Fd372255-Identity-H"/>
          <w:szCs w:val="24"/>
        </w:rPr>
        <w:t>how</w:t>
      </w:r>
      <w:r w:rsidRPr="00247EE0">
        <w:rPr>
          <w:rFonts w:cs="Fd372255-Identity-H"/>
          <w:szCs w:val="24"/>
        </w:rPr>
        <w:t xml:space="preserve"> this re-reading of the debate over linguistic meaning and reference can be helpful. </w:t>
      </w:r>
      <w:r w:rsidR="00183439">
        <w:rPr>
          <w:rFonts w:cs="Fd372255-Identity-H"/>
          <w:szCs w:val="24"/>
        </w:rPr>
        <w:t>It</w:t>
      </w:r>
      <w:r w:rsidRPr="00247EE0">
        <w:rPr>
          <w:rFonts w:cs="Fd372255-Identity-H"/>
          <w:szCs w:val="24"/>
        </w:rPr>
        <w:t xml:space="preserve"> moves the debate away from seemingly unproductive exchanges about the precise ontological status of a relation of reference – whether there </w:t>
      </w:r>
      <w:r w:rsidRPr="00247EE0">
        <w:rPr>
          <w:rFonts w:cs="Fd372255-Identity-H"/>
          <w:i/>
          <w:szCs w:val="24"/>
        </w:rPr>
        <w:t>really</w:t>
      </w:r>
      <w:r w:rsidRPr="00247EE0">
        <w:rPr>
          <w:rFonts w:cs="Fd372255-Identity-H"/>
          <w:szCs w:val="24"/>
        </w:rPr>
        <w:t xml:space="preserve"> is such a relation in the world. Rather, the question now becomes whether it is useful to think and talk about linguistic meaning in this way, i.e., as determined by a term’s extra-linguistic referent(s). Read in this light, participants in the debate will not just be able to leave in the background the ends to which a view of linguistic meaning should be accountable; they will have to move this discussion of (otherwise simply assumed) shared ends to the fore. Do we want, for example, our view of linguistic meaning to account for ordinary language practices involving talk of proper names and natural kind terms? Why should this matter, and, if we decide it does, then to what degree should it matter? Do we want our view of linguistic meaning to be directly accountable to questions surrounding the rationality of conceptual change? Why or why not?</w:t>
      </w:r>
      <w:r w:rsidR="006E09E8">
        <w:rPr>
          <w:rStyle w:val="FootnoteReference"/>
          <w:rFonts w:cs="Fd372255-Identity-H"/>
          <w:szCs w:val="24"/>
        </w:rPr>
        <w:footnoteReference w:id="16"/>
      </w:r>
      <w:r w:rsidRPr="00247EE0">
        <w:rPr>
          <w:rFonts w:cs="Fd372255-Identity-H"/>
          <w:szCs w:val="24"/>
        </w:rPr>
        <w:t xml:space="preserve"> Note that neither Putnam nor Kripke provides us with any extensive discussion of such questions. Furthermore, interpreted in this light, assertions that meaning just </w:t>
      </w:r>
      <w:r w:rsidRPr="00247EE0">
        <w:rPr>
          <w:rFonts w:cs="Fd372255-Identity-H"/>
          <w:i/>
          <w:szCs w:val="24"/>
        </w:rPr>
        <w:t>is</w:t>
      </w:r>
      <w:r w:rsidRPr="00247EE0">
        <w:rPr>
          <w:rFonts w:cs="Fd372255-Identity-H"/>
          <w:szCs w:val="24"/>
        </w:rPr>
        <w:t xml:space="preserve"> or </w:t>
      </w:r>
      <w:r w:rsidRPr="00247EE0">
        <w:rPr>
          <w:rFonts w:cs="Fd372255-Identity-H"/>
          <w:i/>
          <w:szCs w:val="24"/>
        </w:rPr>
        <w:t>is not</w:t>
      </w:r>
      <w:r w:rsidRPr="00247EE0">
        <w:rPr>
          <w:rFonts w:cs="Fd372255-Identity-H"/>
          <w:szCs w:val="24"/>
        </w:rPr>
        <w:t xml:space="preserve"> a matter of reference – that this is how things are in the world – will prove not only unhelpful, but even infelicitous. The question posed by such discussions will not be what the concept of reference </w:t>
      </w:r>
      <w:r w:rsidRPr="00C56E28">
        <w:rPr>
          <w:rFonts w:cs="Fd372255-Identity-H"/>
          <w:szCs w:val="24"/>
        </w:rPr>
        <w:t xml:space="preserve">is </w:t>
      </w:r>
      <w:r w:rsidRPr="00247EE0">
        <w:rPr>
          <w:rFonts w:cs="Fd372255-Identity-H"/>
          <w:szCs w:val="24"/>
        </w:rPr>
        <w:t xml:space="preserve">or consists in; the question will be how we should choose to talk and think about this concept </w:t>
      </w:r>
      <w:proofErr w:type="gramStart"/>
      <w:r w:rsidRPr="00247EE0">
        <w:rPr>
          <w:rFonts w:cs="Fd372255-Identity-H"/>
          <w:szCs w:val="24"/>
        </w:rPr>
        <w:t>in light of</w:t>
      </w:r>
      <w:proofErr w:type="gramEnd"/>
      <w:r w:rsidRPr="00247EE0">
        <w:rPr>
          <w:rFonts w:cs="Fd372255-Identity-H"/>
          <w:szCs w:val="24"/>
        </w:rPr>
        <w:t xml:space="preserve"> what we take to be our shared ends. </w:t>
      </w:r>
    </w:p>
    <w:p w14:paraId="097DF119" w14:textId="77777777" w:rsidR="000D4EDC" w:rsidRPr="00247EE0" w:rsidRDefault="000D4EDC" w:rsidP="00235817">
      <w:pPr>
        <w:autoSpaceDE w:val="0"/>
        <w:autoSpaceDN w:val="0"/>
        <w:adjustRightInd w:val="0"/>
        <w:spacing w:line="240" w:lineRule="auto"/>
        <w:rPr>
          <w:rFonts w:cs="Fd372255-Identity-H"/>
          <w:szCs w:val="24"/>
        </w:rPr>
      </w:pPr>
      <w:r w:rsidRPr="00247EE0">
        <w:rPr>
          <w:rFonts w:cs="Fd372255-Identity-H"/>
          <w:szCs w:val="24"/>
        </w:rPr>
        <w:tab/>
        <w:t>Second, consider one of Chomsky’s criticisms of Putnam and Kripke-style views that there is no concept of reference as Putnam and Kripke underst</w:t>
      </w:r>
      <w:r w:rsidR="00732B2B" w:rsidRPr="00247EE0">
        <w:rPr>
          <w:rFonts w:cs="Fd372255-Identity-H"/>
          <w:szCs w:val="24"/>
        </w:rPr>
        <w:t>and it that plays a role in ‘</w:t>
      </w:r>
      <w:r w:rsidRPr="00247EE0">
        <w:rPr>
          <w:rFonts w:cs="Fd372255-Identity-H"/>
          <w:szCs w:val="24"/>
        </w:rPr>
        <w:t>the best-grounded naturalistic theories of language [that are] C-R [computati</w:t>
      </w:r>
      <w:r w:rsidR="00732B2B" w:rsidRPr="00247EE0">
        <w:rPr>
          <w:rFonts w:cs="Fd372255-Identity-H"/>
          <w:szCs w:val="24"/>
        </w:rPr>
        <w:t>onal-representational] theories’</w:t>
      </w:r>
      <w:r w:rsidR="008545F2">
        <w:rPr>
          <w:rFonts w:cs="Fd372255-Identity-H"/>
          <w:szCs w:val="24"/>
        </w:rPr>
        <w:t xml:space="preserve"> (Chomsky, 2000, p. 25)</w:t>
      </w:r>
      <w:r w:rsidR="00732B2B" w:rsidRPr="00247EE0">
        <w:rPr>
          <w:rFonts w:cs="Fd372255-Identity-H"/>
          <w:szCs w:val="24"/>
        </w:rPr>
        <w:t>.</w:t>
      </w:r>
      <w:r w:rsidRPr="00247EE0">
        <w:rPr>
          <w:rFonts w:cs="Fd372255-Identity-H"/>
          <w:szCs w:val="24"/>
        </w:rPr>
        <w:t xml:space="preserve"> One way of construing this objection is to frame it as an objection on ontological grounds – i.e., that there just is no reference relation in the way Putnam and Kripke construe it from a naturalist’s perspective. But </w:t>
      </w:r>
      <w:r w:rsidR="008A12CB">
        <w:rPr>
          <w:rFonts w:cs="Fd372255-Identity-H"/>
          <w:szCs w:val="24"/>
        </w:rPr>
        <w:t>the application of my account</w:t>
      </w:r>
      <w:r w:rsidRPr="00247EE0">
        <w:rPr>
          <w:rFonts w:cs="Fd372255-Identity-H"/>
          <w:szCs w:val="24"/>
        </w:rPr>
        <w:t xml:space="preserve"> allows for a different </w:t>
      </w:r>
      <w:r w:rsidR="001710F9">
        <w:rPr>
          <w:rFonts w:cs="Fd372255-Identity-H"/>
          <w:szCs w:val="24"/>
        </w:rPr>
        <w:t>reading</w:t>
      </w:r>
      <w:r w:rsidRPr="00247EE0">
        <w:rPr>
          <w:rFonts w:cs="Fd372255-Identity-H"/>
          <w:szCs w:val="24"/>
        </w:rPr>
        <w:t xml:space="preserve">. We can </w:t>
      </w:r>
      <w:r w:rsidRPr="00247EE0">
        <w:rPr>
          <w:rFonts w:cs="Fd372255-Identity-H"/>
          <w:szCs w:val="24"/>
        </w:rPr>
        <w:lastRenderedPageBreak/>
        <w:t xml:space="preserve">instead view the </w:t>
      </w:r>
      <w:r w:rsidRPr="00256862">
        <w:rPr>
          <w:rFonts w:cs="Fd372255-Identity-H"/>
          <w:szCs w:val="24"/>
        </w:rPr>
        <w:t>objection as arguing that any understanding of the concepts of linguistic meaning and reference should be directly answerable to our best scientific theories of language</w:t>
      </w:r>
      <w:r w:rsidR="00256862" w:rsidRPr="00256862">
        <w:rPr>
          <w:rFonts w:cs="Fd372255-Identity-H"/>
          <w:szCs w:val="24"/>
        </w:rPr>
        <w:t xml:space="preserve">, </w:t>
      </w:r>
      <w:r w:rsidR="00256862" w:rsidRPr="00256862">
        <w:rPr>
          <w:rFonts w:cs="Helvetica"/>
          <w:color w:val="000000"/>
          <w:szCs w:val="24"/>
        </w:rPr>
        <w:t>rather than aspects of our ordinary talk surrounding proper names and natural kind terms</w:t>
      </w:r>
      <w:r w:rsidRPr="00256862">
        <w:rPr>
          <w:rFonts w:cs="Fd372255-Identity-H"/>
          <w:szCs w:val="24"/>
        </w:rPr>
        <w:t>. Indeed, this also helps</w:t>
      </w:r>
      <w:r w:rsidRPr="00247EE0">
        <w:rPr>
          <w:rFonts w:cs="Fd372255-Identity-H"/>
          <w:szCs w:val="24"/>
        </w:rPr>
        <w:t xml:space="preserve"> us make sense of Chomsky’s </w:t>
      </w:r>
      <w:r w:rsidR="003A4D6A" w:rsidRPr="00247EE0">
        <w:rPr>
          <w:rFonts w:cs="Fd372255-Identity-H"/>
          <w:szCs w:val="24"/>
        </w:rPr>
        <w:t>initially</w:t>
      </w:r>
      <w:r w:rsidRPr="00247EE0">
        <w:rPr>
          <w:rFonts w:cs="Fd372255-Identity-H"/>
          <w:szCs w:val="24"/>
        </w:rPr>
        <w:t xml:space="preserve"> surprising observation that a suitably revised view of reference (that divorces it from a fundamental relationship to extra-linguistic objects and ties </w:t>
      </w:r>
      <w:r w:rsidR="00732B2B" w:rsidRPr="00247EE0">
        <w:rPr>
          <w:rFonts w:cs="Fd372255-Identity-H"/>
          <w:szCs w:val="24"/>
        </w:rPr>
        <w:t>it to ‘an internalist syntactic’</w:t>
      </w:r>
      <w:r w:rsidRPr="00247EE0">
        <w:rPr>
          <w:rFonts w:cs="Fd372255-Identity-H"/>
          <w:szCs w:val="24"/>
        </w:rPr>
        <w:t xml:space="preserve"> framework) </w:t>
      </w:r>
      <w:r w:rsidR="00B947B6">
        <w:rPr>
          <w:rFonts w:cs="Fd372255-Identity-H"/>
          <w:szCs w:val="24"/>
        </w:rPr>
        <w:t>is often</w:t>
      </w:r>
      <w:r w:rsidRPr="00247EE0">
        <w:rPr>
          <w:rFonts w:cs="Fd372255-Identity-H"/>
          <w:szCs w:val="24"/>
        </w:rPr>
        <w:t xml:space="preserve"> useful for contemporary linguistics</w:t>
      </w:r>
      <w:r w:rsidR="008545F2">
        <w:rPr>
          <w:rFonts w:cs="Fd372255-Identity-H"/>
          <w:szCs w:val="24"/>
        </w:rPr>
        <w:t xml:space="preserve"> (Chomsky, 2000, p. 132)</w:t>
      </w:r>
      <w:r w:rsidRPr="00247EE0">
        <w:rPr>
          <w:rFonts w:cs="Fd372255-Identity-H"/>
          <w:szCs w:val="24"/>
        </w:rPr>
        <w:t>.</w:t>
      </w:r>
    </w:p>
    <w:p w14:paraId="3F970E3E" w14:textId="6AF85A87" w:rsidR="00E7519A" w:rsidRDefault="003B45B0" w:rsidP="00235817">
      <w:pPr>
        <w:spacing w:line="240" w:lineRule="auto"/>
        <w:ind w:firstLine="720"/>
        <w:rPr>
          <w:szCs w:val="24"/>
        </w:rPr>
      </w:pPr>
      <w:r>
        <w:rPr>
          <w:rFonts w:cs="Fd372255-Identity-H"/>
          <w:szCs w:val="24"/>
        </w:rPr>
        <w:t>Here i</w:t>
      </w:r>
      <w:r w:rsidR="008A12CB">
        <w:rPr>
          <w:rFonts w:cs="Fd372255-Identity-H"/>
          <w:szCs w:val="24"/>
        </w:rPr>
        <w:t>n</w:t>
      </w:r>
      <w:r w:rsidR="00FC601A" w:rsidRPr="00247EE0">
        <w:rPr>
          <w:rFonts w:cs="Fd372255-Identity-H"/>
          <w:szCs w:val="24"/>
        </w:rPr>
        <w:t xml:space="preserve"> this final section</w:t>
      </w:r>
      <w:r w:rsidR="008A12CB">
        <w:rPr>
          <w:rFonts w:cs="Fd372255-Identity-H"/>
          <w:szCs w:val="24"/>
        </w:rPr>
        <w:t>, I have provided</w:t>
      </w:r>
      <w:r w:rsidR="00916495" w:rsidRPr="00247EE0">
        <w:rPr>
          <w:rFonts w:cs="Fd372255-Identity-H"/>
          <w:szCs w:val="24"/>
        </w:rPr>
        <w:t xml:space="preserve"> a sense of how my account of stipulation can be applied to </w:t>
      </w:r>
      <w:r w:rsidR="00916495" w:rsidRPr="00247EE0">
        <w:rPr>
          <w:rFonts w:cs="Times New Roman"/>
          <w:szCs w:val="24"/>
        </w:rPr>
        <w:t xml:space="preserve">discussions </w:t>
      </w:r>
      <w:r w:rsidR="00F72CE9" w:rsidRPr="00247EE0">
        <w:rPr>
          <w:rFonts w:cs="Times New Roman"/>
          <w:szCs w:val="24"/>
        </w:rPr>
        <w:t xml:space="preserve">where </w:t>
      </w:r>
      <w:r w:rsidR="00732A0A" w:rsidRPr="00247EE0">
        <w:rPr>
          <w:rFonts w:cs="Times New Roman"/>
          <w:szCs w:val="24"/>
        </w:rPr>
        <w:t>philosophers</w:t>
      </w:r>
      <w:r w:rsidR="00F72CE9" w:rsidRPr="00247EE0">
        <w:rPr>
          <w:rFonts w:cs="Times New Roman"/>
          <w:szCs w:val="24"/>
        </w:rPr>
        <w:t xml:space="preserve"> </w:t>
      </w:r>
      <w:r w:rsidR="00916495" w:rsidRPr="00247EE0">
        <w:rPr>
          <w:rFonts w:cs="Times New Roman"/>
          <w:szCs w:val="24"/>
        </w:rPr>
        <w:t>are</w:t>
      </w:r>
      <w:r w:rsidR="00F72CE9" w:rsidRPr="00247EE0">
        <w:rPr>
          <w:rFonts w:cs="Times New Roman"/>
          <w:szCs w:val="24"/>
        </w:rPr>
        <w:t xml:space="preserve"> articulating a particular view of a term or concept.</w:t>
      </w:r>
      <w:r w:rsidR="00425A52" w:rsidRPr="00247EE0">
        <w:rPr>
          <w:rFonts w:cs="Times New Roman"/>
          <w:szCs w:val="24"/>
        </w:rPr>
        <w:t xml:space="preserve"> Even if </w:t>
      </w:r>
      <w:r w:rsidR="00C615CB" w:rsidRPr="00247EE0">
        <w:rPr>
          <w:rFonts w:cs="Times New Roman"/>
          <w:szCs w:val="24"/>
        </w:rPr>
        <w:t>philosophers do</w:t>
      </w:r>
      <w:r w:rsidR="00425A52" w:rsidRPr="00247EE0">
        <w:rPr>
          <w:rFonts w:cs="Times New Roman"/>
          <w:szCs w:val="24"/>
        </w:rPr>
        <w:t xml:space="preserve"> so in assertoric terms, my account gives us the ability to re-read</w:t>
      </w:r>
      <w:r w:rsidR="00732A0A" w:rsidRPr="00247EE0">
        <w:rPr>
          <w:rFonts w:cs="Times New Roman"/>
          <w:szCs w:val="24"/>
        </w:rPr>
        <w:t xml:space="preserve"> their views in a novel </w:t>
      </w:r>
      <w:r w:rsidR="00C615CB" w:rsidRPr="00247EE0">
        <w:rPr>
          <w:rFonts w:cs="Times New Roman"/>
          <w:szCs w:val="24"/>
        </w:rPr>
        <w:t xml:space="preserve">and productive </w:t>
      </w:r>
      <w:r w:rsidR="00916495" w:rsidRPr="00247EE0">
        <w:rPr>
          <w:rFonts w:cs="Times New Roman"/>
          <w:szCs w:val="24"/>
        </w:rPr>
        <w:t>light</w:t>
      </w:r>
      <w:r w:rsidR="00732A0A" w:rsidRPr="00247EE0">
        <w:rPr>
          <w:rFonts w:cs="Times New Roman"/>
          <w:szCs w:val="24"/>
        </w:rPr>
        <w:t>.</w:t>
      </w:r>
      <w:r w:rsidR="00FC601A" w:rsidRPr="00247EE0">
        <w:rPr>
          <w:rFonts w:cs="Times New Roman"/>
          <w:szCs w:val="24"/>
        </w:rPr>
        <w:t xml:space="preserve"> My hope is that</w:t>
      </w:r>
      <w:r w:rsidR="00732A0A" w:rsidRPr="00247EE0">
        <w:rPr>
          <w:rFonts w:cs="Times New Roman"/>
          <w:szCs w:val="24"/>
        </w:rPr>
        <w:t xml:space="preserve"> </w:t>
      </w:r>
      <w:r w:rsidR="00FC601A" w:rsidRPr="00247EE0">
        <w:rPr>
          <w:rFonts w:cs="Times New Roman"/>
          <w:szCs w:val="24"/>
        </w:rPr>
        <w:t>t</w:t>
      </w:r>
      <w:r w:rsidR="000D4EDC" w:rsidRPr="00247EE0">
        <w:rPr>
          <w:rFonts w:cs="Times New Roman"/>
          <w:szCs w:val="24"/>
        </w:rPr>
        <w:t>he</w:t>
      </w:r>
      <w:r w:rsidR="00614AE7" w:rsidRPr="00247EE0">
        <w:rPr>
          <w:szCs w:val="24"/>
        </w:rPr>
        <w:t xml:space="preserve"> ground </w:t>
      </w:r>
      <w:r w:rsidR="00FC601A" w:rsidRPr="00247EE0">
        <w:rPr>
          <w:szCs w:val="24"/>
        </w:rPr>
        <w:t>will</w:t>
      </w:r>
      <w:r w:rsidR="00916495" w:rsidRPr="00247EE0">
        <w:rPr>
          <w:szCs w:val="24"/>
        </w:rPr>
        <w:t xml:space="preserve"> also</w:t>
      </w:r>
      <w:r w:rsidR="00FC601A" w:rsidRPr="00247EE0">
        <w:rPr>
          <w:szCs w:val="24"/>
        </w:rPr>
        <w:t xml:space="preserve"> now</w:t>
      </w:r>
      <w:r w:rsidR="00614AE7" w:rsidRPr="00247EE0">
        <w:rPr>
          <w:szCs w:val="24"/>
        </w:rPr>
        <w:t xml:space="preserve"> be cleared for </w:t>
      </w:r>
      <w:r w:rsidR="00045B63" w:rsidRPr="00247EE0">
        <w:rPr>
          <w:szCs w:val="24"/>
        </w:rPr>
        <w:t>new</w:t>
      </w:r>
      <w:r w:rsidR="00614AE7" w:rsidRPr="00247EE0">
        <w:rPr>
          <w:szCs w:val="24"/>
        </w:rPr>
        <w:t xml:space="preserve"> metaphilosophical debate</w:t>
      </w:r>
      <w:r w:rsidR="00447628" w:rsidRPr="00247EE0">
        <w:rPr>
          <w:szCs w:val="24"/>
        </w:rPr>
        <w:t>s concerning</w:t>
      </w:r>
      <w:r w:rsidR="00614AE7" w:rsidRPr="00247EE0">
        <w:rPr>
          <w:szCs w:val="24"/>
        </w:rPr>
        <w:t xml:space="preserve"> the precise role of assertions in </w:t>
      </w:r>
      <w:r w:rsidR="00732A0A" w:rsidRPr="00247EE0">
        <w:rPr>
          <w:szCs w:val="24"/>
        </w:rPr>
        <w:t>philosophy</w:t>
      </w:r>
      <w:r w:rsidR="00B947B6">
        <w:rPr>
          <w:szCs w:val="24"/>
        </w:rPr>
        <w:t xml:space="preserve"> </w:t>
      </w:r>
      <w:r w:rsidR="00614AE7" w:rsidRPr="00247EE0">
        <w:rPr>
          <w:szCs w:val="24"/>
        </w:rPr>
        <w:t xml:space="preserve">and </w:t>
      </w:r>
      <w:r w:rsidR="00732A0A" w:rsidRPr="00247EE0">
        <w:rPr>
          <w:szCs w:val="24"/>
        </w:rPr>
        <w:t xml:space="preserve">the much </w:t>
      </w:r>
      <w:r w:rsidR="00045B63" w:rsidRPr="00247EE0">
        <w:rPr>
          <w:szCs w:val="24"/>
        </w:rPr>
        <w:t>wider range of things we</w:t>
      </w:r>
      <w:r w:rsidR="003F5CA9" w:rsidRPr="00247EE0">
        <w:rPr>
          <w:szCs w:val="24"/>
        </w:rPr>
        <w:t xml:space="preserve"> may well</w:t>
      </w:r>
      <w:r w:rsidR="00045B63" w:rsidRPr="00247EE0">
        <w:rPr>
          <w:szCs w:val="24"/>
        </w:rPr>
        <w:t xml:space="preserve"> do with our words as philosophers.</w:t>
      </w:r>
      <w:r w:rsidR="007C605A">
        <w:rPr>
          <w:rStyle w:val="FootnoteReference"/>
          <w:szCs w:val="24"/>
        </w:rPr>
        <w:footnoteReference w:id="17"/>
      </w:r>
    </w:p>
    <w:p w14:paraId="54B5CE99" w14:textId="77777777" w:rsidR="00D9373F" w:rsidRPr="00E7519A" w:rsidRDefault="00D9373F" w:rsidP="00235817">
      <w:pPr>
        <w:spacing w:line="240" w:lineRule="auto"/>
        <w:ind w:firstLine="720"/>
        <w:rPr>
          <w:szCs w:val="24"/>
        </w:rPr>
      </w:pPr>
    </w:p>
    <w:p w14:paraId="210A4947" w14:textId="5DC3B09A" w:rsidR="0034749A" w:rsidRDefault="0034749A" w:rsidP="00235817">
      <w:pPr>
        <w:spacing w:line="240" w:lineRule="auto"/>
        <w:rPr>
          <w:b/>
          <w:sz w:val="22"/>
          <w:u w:val="single"/>
        </w:rPr>
      </w:pPr>
      <w:r w:rsidRPr="007C4436">
        <w:rPr>
          <w:b/>
          <w:sz w:val="22"/>
          <w:u w:val="single"/>
        </w:rPr>
        <w:t>References</w:t>
      </w:r>
    </w:p>
    <w:p w14:paraId="375AE8CD" w14:textId="77777777" w:rsidR="00D9373F" w:rsidRPr="00410157" w:rsidRDefault="00D9373F" w:rsidP="00235817">
      <w:pPr>
        <w:spacing w:line="240" w:lineRule="auto"/>
        <w:rPr>
          <w:rFonts w:cs="Times New Roman"/>
          <w:szCs w:val="24"/>
        </w:rPr>
      </w:pPr>
    </w:p>
    <w:p w14:paraId="22A9D9B9" w14:textId="77777777" w:rsidR="00875ED6" w:rsidRPr="00866244" w:rsidRDefault="0027301C" w:rsidP="00235817">
      <w:pPr>
        <w:spacing w:line="240" w:lineRule="auto"/>
        <w:rPr>
          <w:sz w:val="22"/>
        </w:rPr>
      </w:pPr>
      <w:r>
        <w:rPr>
          <w:sz w:val="22"/>
        </w:rPr>
        <w:t>Alice Ambrose,</w:t>
      </w:r>
      <w:r w:rsidR="00875ED6" w:rsidRPr="00866244">
        <w:rPr>
          <w:sz w:val="22"/>
        </w:rPr>
        <w:t xml:space="preserve"> </w:t>
      </w:r>
      <w:r w:rsidR="00875ED6" w:rsidRPr="00866244">
        <w:rPr>
          <w:i/>
          <w:sz w:val="22"/>
        </w:rPr>
        <w:t>Essays in Analysis</w:t>
      </w:r>
      <w:r w:rsidR="00875ED6" w:rsidRPr="00866244">
        <w:rPr>
          <w:sz w:val="22"/>
        </w:rPr>
        <w:t xml:space="preserve"> (London: George Allen &amp; Unwin Ltd, 1966).</w:t>
      </w:r>
    </w:p>
    <w:p w14:paraId="69125922" w14:textId="77777777" w:rsidR="0027301C" w:rsidRDefault="0027301C" w:rsidP="00235817">
      <w:pPr>
        <w:spacing w:line="240" w:lineRule="auto"/>
        <w:rPr>
          <w:rFonts w:cs="MinionPro-Regular"/>
          <w:szCs w:val="24"/>
        </w:rPr>
      </w:pPr>
      <w:r>
        <w:rPr>
          <w:sz w:val="22"/>
        </w:rPr>
        <w:t>Alice Ambrose,</w:t>
      </w:r>
      <w:r w:rsidR="00866244" w:rsidRPr="00866244">
        <w:rPr>
          <w:sz w:val="22"/>
        </w:rPr>
        <w:t xml:space="preserve"> </w:t>
      </w:r>
      <w:r w:rsidR="00BF7B20">
        <w:rPr>
          <w:sz w:val="22"/>
        </w:rPr>
        <w:t>‘</w:t>
      </w:r>
      <w:r w:rsidR="00866244" w:rsidRPr="00866244">
        <w:rPr>
          <w:sz w:val="22"/>
        </w:rPr>
        <w:t>Linguistic Approaches to Philosophical Problems</w:t>
      </w:r>
      <w:r w:rsidR="00BF7B20">
        <w:rPr>
          <w:sz w:val="22"/>
        </w:rPr>
        <w:t>’</w:t>
      </w:r>
      <w:r w:rsidR="008042DF">
        <w:rPr>
          <w:sz w:val="22"/>
        </w:rPr>
        <w:t>,</w:t>
      </w:r>
      <w:r w:rsidR="00866244" w:rsidRPr="00866244">
        <w:rPr>
          <w:sz w:val="22"/>
        </w:rPr>
        <w:t xml:space="preserve"> </w:t>
      </w:r>
      <w:r w:rsidR="00866244" w:rsidRPr="00866244">
        <w:rPr>
          <w:i/>
          <w:sz w:val="22"/>
        </w:rPr>
        <w:t>The Journal of Philosophy</w:t>
      </w:r>
      <w:r w:rsidR="008042DF">
        <w:rPr>
          <w:sz w:val="22"/>
        </w:rPr>
        <w:t>,</w:t>
      </w:r>
      <w:r w:rsidR="00B03C32">
        <w:rPr>
          <w:sz w:val="22"/>
        </w:rPr>
        <w:t xml:space="preserve"> 49 (1952), 289</w:t>
      </w:r>
      <w:r w:rsidR="00B03C32" w:rsidRPr="00B03C32">
        <w:rPr>
          <w:rFonts w:cs="MinionPro-Regular"/>
          <w:szCs w:val="24"/>
        </w:rPr>
        <w:t>–</w:t>
      </w:r>
    </w:p>
    <w:p w14:paraId="7FF25FC3" w14:textId="77777777" w:rsidR="00866244" w:rsidRPr="00866244" w:rsidRDefault="00866244" w:rsidP="00235817">
      <w:pPr>
        <w:spacing w:line="240" w:lineRule="auto"/>
        <w:ind w:firstLine="720"/>
        <w:rPr>
          <w:sz w:val="22"/>
        </w:rPr>
      </w:pPr>
      <w:r w:rsidRPr="00866244">
        <w:rPr>
          <w:sz w:val="22"/>
        </w:rPr>
        <w:t>301.</w:t>
      </w:r>
    </w:p>
    <w:p w14:paraId="1050CA0F" w14:textId="77777777" w:rsidR="004A446A" w:rsidRPr="00C67365" w:rsidRDefault="0027301C" w:rsidP="00235817">
      <w:pPr>
        <w:pStyle w:val="Default"/>
        <w:rPr>
          <w:i/>
          <w:sz w:val="22"/>
        </w:rPr>
      </w:pPr>
      <w:r>
        <w:rPr>
          <w:sz w:val="22"/>
          <w:szCs w:val="22"/>
        </w:rPr>
        <w:t>J.L</w:t>
      </w:r>
      <w:r w:rsidR="00487920" w:rsidRPr="007C4436">
        <w:rPr>
          <w:sz w:val="22"/>
          <w:szCs w:val="22"/>
        </w:rPr>
        <w:t>.</w:t>
      </w:r>
      <w:r>
        <w:rPr>
          <w:sz w:val="22"/>
          <w:szCs w:val="22"/>
        </w:rPr>
        <w:t xml:space="preserve"> Austin,</w:t>
      </w:r>
      <w:r w:rsidR="00487920" w:rsidRPr="007C4436">
        <w:rPr>
          <w:sz w:val="22"/>
          <w:szCs w:val="22"/>
        </w:rPr>
        <w:t xml:space="preserve"> </w:t>
      </w:r>
      <w:r w:rsidR="004A446A" w:rsidRPr="007C4436">
        <w:rPr>
          <w:i/>
          <w:sz w:val="22"/>
        </w:rPr>
        <w:t>P</w:t>
      </w:r>
      <w:r w:rsidR="004A446A" w:rsidRPr="007C4436">
        <w:rPr>
          <w:i/>
          <w:iCs/>
          <w:sz w:val="22"/>
        </w:rPr>
        <w:t>hilosophical Papers</w:t>
      </w:r>
      <w:r w:rsidR="004A446A" w:rsidRPr="007C4436">
        <w:rPr>
          <w:sz w:val="22"/>
        </w:rPr>
        <w:t>, ed</w:t>
      </w:r>
      <w:r w:rsidR="0097215B" w:rsidRPr="007C4436">
        <w:rPr>
          <w:sz w:val="22"/>
        </w:rPr>
        <w:t>s</w:t>
      </w:r>
      <w:r w:rsidR="004A446A" w:rsidRPr="007C4436">
        <w:rPr>
          <w:sz w:val="22"/>
        </w:rPr>
        <w:t>. J.O. Urmon and G.J. Warnock (London: Oxford University Press, 1970)</w:t>
      </w:r>
      <w:r w:rsidR="0097215B" w:rsidRPr="007C4436">
        <w:rPr>
          <w:sz w:val="22"/>
        </w:rPr>
        <w:t>.</w:t>
      </w:r>
    </w:p>
    <w:p w14:paraId="06644BA3" w14:textId="77777777" w:rsidR="00E60767" w:rsidRPr="00796D19" w:rsidRDefault="00471288" w:rsidP="00235817">
      <w:pPr>
        <w:spacing w:line="240" w:lineRule="auto"/>
        <w:rPr>
          <w:sz w:val="22"/>
        </w:rPr>
      </w:pPr>
      <w:r>
        <w:rPr>
          <w:rFonts w:cs="OpenSans-Semibold"/>
          <w:sz w:val="22"/>
        </w:rPr>
        <w:t xml:space="preserve">Stina </w:t>
      </w:r>
      <w:r w:rsidR="00E60767" w:rsidRPr="00796D19">
        <w:rPr>
          <w:rFonts w:cs="OpenSans-Semibold"/>
          <w:sz w:val="22"/>
        </w:rPr>
        <w:t>Bäckström</w:t>
      </w:r>
      <w:r>
        <w:rPr>
          <w:rFonts w:cs="OpenSans-Semibold"/>
          <w:sz w:val="22"/>
        </w:rPr>
        <w:t>,</w:t>
      </w:r>
      <w:r w:rsidR="00E60767" w:rsidRPr="00796D19">
        <w:rPr>
          <w:rFonts w:cs="OpenSans-Semibold"/>
          <w:sz w:val="22"/>
        </w:rPr>
        <w:t xml:space="preserve"> ‘A dogma of speech act theory’, </w:t>
      </w:r>
      <w:r w:rsidR="00E60767" w:rsidRPr="00796D19">
        <w:rPr>
          <w:rFonts w:cs="OpenSans-Semibold"/>
          <w:i/>
          <w:sz w:val="22"/>
        </w:rPr>
        <w:t>Inquiry</w:t>
      </w:r>
      <w:r w:rsidR="005A1D2B">
        <w:rPr>
          <w:rFonts w:cs="OpenSans-Semibold"/>
          <w:sz w:val="22"/>
        </w:rPr>
        <w:t>,</w:t>
      </w:r>
      <w:r w:rsidR="00E60767" w:rsidRPr="00796D19">
        <w:rPr>
          <w:sz w:val="22"/>
        </w:rPr>
        <w:t xml:space="preserve"> </w:t>
      </w:r>
      <w:r w:rsidR="00B03C32">
        <w:rPr>
          <w:rFonts w:cs="OpenSans-Semibold"/>
          <w:sz w:val="22"/>
        </w:rPr>
        <w:t>(2020), 1</w:t>
      </w:r>
      <w:r w:rsidR="00B03C32" w:rsidRPr="00B03C32">
        <w:rPr>
          <w:rFonts w:cs="MinionPro-Regular"/>
          <w:szCs w:val="24"/>
        </w:rPr>
        <w:t>–</w:t>
      </w:r>
      <w:r w:rsidR="00E60767" w:rsidRPr="00796D19">
        <w:rPr>
          <w:rFonts w:cs="OpenSans-Semibold"/>
          <w:sz w:val="22"/>
        </w:rPr>
        <w:t>17.</w:t>
      </w:r>
    </w:p>
    <w:p w14:paraId="50B669CE" w14:textId="77777777" w:rsidR="007C4436" w:rsidRPr="00796D19" w:rsidRDefault="0027301C" w:rsidP="00235817">
      <w:pPr>
        <w:spacing w:line="240" w:lineRule="auto"/>
        <w:rPr>
          <w:sz w:val="22"/>
        </w:rPr>
      </w:pPr>
      <w:r>
        <w:rPr>
          <w:sz w:val="22"/>
        </w:rPr>
        <w:t>Rudolf Carnap,</w:t>
      </w:r>
      <w:r w:rsidR="00875ED6" w:rsidRPr="00796D19">
        <w:rPr>
          <w:sz w:val="22"/>
        </w:rPr>
        <w:t xml:space="preserve"> </w:t>
      </w:r>
      <w:r w:rsidR="00DA024D" w:rsidRPr="00796D19">
        <w:rPr>
          <w:sz w:val="22"/>
        </w:rPr>
        <w:t xml:space="preserve">‘The Elimination of Metaphysics Through Logical Analysis of Language’, trans. Arthur Pap in </w:t>
      </w:r>
    </w:p>
    <w:p w14:paraId="0105E985" w14:textId="77777777" w:rsidR="00DA024D" w:rsidRPr="00796D19" w:rsidRDefault="00DA024D" w:rsidP="00235817">
      <w:pPr>
        <w:spacing w:line="240" w:lineRule="auto"/>
        <w:ind w:firstLine="720"/>
        <w:rPr>
          <w:sz w:val="22"/>
        </w:rPr>
      </w:pPr>
      <w:r w:rsidRPr="00796D19">
        <w:rPr>
          <w:i/>
          <w:sz w:val="22"/>
        </w:rPr>
        <w:t>Logical Positivism</w:t>
      </w:r>
      <w:r w:rsidRPr="00796D19">
        <w:rPr>
          <w:sz w:val="22"/>
        </w:rPr>
        <w:t>, ed. A.J. Ayer (New York: The Free Press, 1959),</w:t>
      </w:r>
      <w:r w:rsidR="00637E59" w:rsidRPr="00796D19">
        <w:rPr>
          <w:sz w:val="22"/>
        </w:rPr>
        <w:t xml:space="preserve"> 60</w:t>
      </w:r>
      <w:r w:rsidR="00B03C32" w:rsidRPr="00B03C32">
        <w:rPr>
          <w:rFonts w:cs="MinionPro-Regular"/>
          <w:szCs w:val="24"/>
        </w:rPr>
        <w:t>–</w:t>
      </w:r>
      <w:r w:rsidR="00637E59" w:rsidRPr="00796D19">
        <w:rPr>
          <w:sz w:val="22"/>
        </w:rPr>
        <w:t>81.</w:t>
      </w:r>
    </w:p>
    <w:p w14:paraId="5ADC3316" w14:textId="77777777" w:rsidR="00DA024D" w:rsidRPr="00796D19" w:rsidRDefault="0027301C" w:rsidP="00235817">
      <w:pPr>
        <w:spacing w:line="240" w:lineRule="auto"/>
        <w:rPr>
          <w:sz w:val="22"/>
        </w:rPr>
      </w:pPr>
      <w:r>
        <w:rPr>
          <w:sz w:val="22"/>
        </w:rPr>
        <w:t xml:space="preserve">Rudolf Carnap, </w:t>
      </w:r>
      <w:r w:rsidR="00DA024D" w:rsidRPr="00796D19">
        <w:rPr>
          <w:sz w:val="22"/>
        </w:rPr>
        <w:t xml:space="preserve">‘Empiricism, Semantics, and Ontology’, </w:t>
      </w:r>
      <w:r w:rsidR="00DA024D" w:rsidRPr="00796D19">
        <w:rPr>
          <w:i/>
          <w:iCs/>
          <w:sz w:val="22"/>
        </w:rPr>
        <w:t>Revue Internationale de Philosophie</w:t>
      </w:r>
      <w:r w:rsidR="00A151AE">
        <w:rPr>
          <w:iCs/>
          <w:sz w:val="22"/>
        </w:rPr>
        <w:t>,</w:t>
      </w:r>
      <w:r w:rsidR="00DA024D" w:rsidRPr="00796D19">
        <w:rPr>
          <w:i/>
          <w:iCs/>
          <w:sz w:val="22"/>
        </w:rPr>
        <w:t xml:space="preserve"> </w:t>
      </w:r>
      <w:r w:rsidR="00DA024D" w:rsidRPr="00796D19">
        <w:rPr>
          <w:sz w:val="22"/>
        </w:rPr>
        <w:t>4 (1950), 20</w:t>
      </w:r>
      <w:r w:rsidR="00B03C32" w:rsidRPr="00B03C32">
        <w:rPr>
          <w:rFonts w:cs="MinionPro-Regular"/>
          <w:szCs w:val="24"/>
        </w:rPr>
        <w:t>–</w:t>
      </w:r>
      <w:r w:rsidR="00DA024D" w:rsidRPr="00796D19">
        <w:rPr>
          <w:sz w:val="22"/>
        </w:rPr>
        <w:t>40.</w:t>
      </w:r>
    </w:p>
    <w:p w14:paraId="4CA0AD6E" w14:textId="77777777" w:rsidR="00471288" w:rsidRDefault="00471288" w:rsidP="00235817">
      <w:pPr>
        <w:spacing w:line="240" w:lineRule="auto"/>
        <w:rPr>
          <w:sz w:val="22"/>
        </w:rPr>
      </w:pPr>
      <w:r>
        <w:rPr>
          <w:sz w:val="22"/>
        </w:rPr>
        <w:t>Noam Chomsky,</w:t>
      </w:r>
      <w:r w:rsidR="00B53B67" w:rsidRPr="00796D19">
        <w:rPr>
          <w:sz w:val="22"/>
        </w:rPr>
        <w:t xml:space="preserve"> </w:t>
      </w:r>
      <w:r w:rsidR="00B53B67" w:rsidRPr="00796D19">
        <w:rPr>
          <w:i/>
          <w:sz w:val="22"/>
        </w:rPr>
        <w:t>New Horizons in the Study of Language and Mind</w:t>
      </w:r>
      <w:r w:rsidR="00B53B67" w:rsidRPr="00796D19">
        <w:rPr>
          <w:sz w:val="22"/>
        </w:rPr>
        <w:t xml:space="preserve"> (Cambridge: Cambridge University Press, </w:t>
      </w:r>
    </w:p>
    <w:p w14:paraId="4B2A437B" w14:textId="77777777" w:rsidR="00B53B67" w:rsidRPr="00796D19" w:rsidRDefault="00B53B67" w:rsidP="00235817">
      <w:pPr>
        <w:spacing w:line="240" w:lineRule="auto"/>
        <w:ind w:firstLine="720"/>
        <w:rPr>
          <w:sz w:val="22"/>
        </w:rPr>
      </w:pPr>
      <w:r w:rsidRPr="00796D19">
        <w:rPr>
          <w:sz w:val="22"/>
        </w:rPr>
        <w:t>2000).</w:t>
      </w:r>
    </w:p>
    <w:p w14:paraId="2F6B9C74" w14:textId="77777777" w:rsidR="000618CA" w:rsidRDefault="004757AA" w:rsidP="00235817">
      <w:pPr>
        <w:spacing w:line="240" w:lineRule="auto"/>
        <w:rPr>
          <w:sz w:val="22"/>
        </w:rPr>
      </w:pPr>
      <w:r>
        <w:rPr>
          <w:sz w:val="22"/>
        </w:rPr>
        <w:t>Sanford Goldberg,</w:t>
      </w:r>
      <w:r w:rsidR="00875ED6" w:rsidRPr="00796D19">
        <w:rPr>
          <w:sz w:val="22"/>
        </w:rPr>
        <w:t xml:space="preserve"> </w:t>
      </w:r>
      <w:r w:rsidR="00875ED6" w:rsidRPr="00796D19">
        <w:rPr>
          <w:i/>
          <w:sz w:val="22"/>
        </w:rPr>
        <w:t>Assertion: On the Philosophical Significance of Assertoric Speech</w:t>
      </w:r>
      <w:r w:rsidR="00875ED6" w:rsidRPr="00796D19">
        <w:rPr>
          <w:sz w:val="22"/>
        </w:rPr>
        <w:t xml:space="preserve"> (Oxford: Oxford University Press, </w:t>
      </w:r>
    </w:p>
    <w:p w14:paraId="4E5DCEA7" w14:textId="77777777" w:rsidR="00487920" w:rsidRPr="00796D19" w:rsidRDefault="00875ED6" w:rsidP="00235817">
      <w:pPr>
        <w:spacing w:line="240" w:lineRule="auto"/>
        <w:ind w:firstLine="720"/>
        <w:rPr>
          <w:sz w:val="22"/>
        </w:rPr>
      </w:pPr>
      <w:r w:rsidRPr="00796D19">
        <w:rPr>
          <w:sz w:val="22"/>
        </w:rPr>
        <w:t>2015).</w:t>
      </w:r>
    </w:p>
    <w:p w14:paraId="7FCDC590" w14:textId="77777777" w:rsidR="00DA024D" w:rsidRPr="00796D19" w:rsidRDefault="00471288" w:rsidP="00235817">
      <w:pPr>
        <w:pStyle w:val="Default"/>
        <w:rPr>
          <w:sz w:val="22"/>
          <w:szCs w:val="22"/>
        </w:rPr>
      </w:pPr>
      <w:r>
        <w:rPr>
          <w:sz w:val="22"/>
          <w:szCs w:val="22"/>
        </w:rPr>
        <w:t>Mitchell Green,</w:t>
      </w:r>
      <w:r w:rsidR="00DA024D" w:rsidRPr="00796D19">
        <w:rPr>
          <w:sz w:val="22"/>
          <w:szCs w:val="22"/>
        </w:rPr>
        <w:t xml:space="preserve"> ‘The Status of Supposition’, </w:t>
      </w:r>
      <w:r w:rsidR="00DA024D" w:rsidRPr="00796D19">
        <w:rPr>
          <w:i/>
          <w:iCs/>
          <w:sz w:val="22"/>
          <w:szCs w:val="22"/>
        </w:rPr>
        <w:t>Noûs</w:t>
      </w:r>
      <w:r w:rsidR="00A151AE">
        <w:rPr>
          <w:iCs/>
          <w:sz w:val="22"/>
          <w:szCs w:val="22"/>
        </w:rPr>
        <w:t>,</w:t>
      </w:r>
      <w:r w:rsidR="00DA024D" w:rsidRPr="00796D19">
        <w:rPr>
          <w:i/>
          <w:iCs/>
          <w:sz w:val="22"/>
          <w:szCs w:val="22"/>
        </w:rPr>
        <w:t xml:space="preserve"> </w:t>
      </w:r>
      <w:r w:rsidR="00DA024D" w:rsidRPr="00796D19">
        <w:rPr>
          <w:sz w:val="22"/>
          <w:szCs w:val="22"/>
        </w:rPr>
        <w:t>34 (</w:t>
      </w:r>
      <w:r w:rsidR="00DA024D" w:rsidRPr="00796D19">
        <w:rPr>
          <w:rFonts w:cs="Times New Roman"/>
          <w:sz w:val="22"/>
          <w:szCs w:val="22"/>
        </w:rPr>
        <w:t>2000), 376</w:t>
      </w:r>
      <w:r w:rsidR="00B03C32" w:rsidRPr="00B03C32">
        <w:rPr>
          <w:rFonts w:cs="MinionPro-Regular"/>
        </w:rPr>
        <w:t>–</w:t>
      </w:r>
      <w:r w:rsidR="00DA024D" w:rsidRPr="00796D19">
        <w:rPr>
          <w:rFonts w:cs="Times New Roman"/>
          <w:sz w:val="22"/>
          <w:szCs w:val="22"/>
        </w:rPr>
        <w:t>399.</w:t>
      </w:r>
    </w:p>
    <w:p w14:paraId="142130E8" w14:textId="77777777" w:rsidR="00796D19" w:rsidRPr="00796D19" w:rsidRDefault="004757AA" w:rsidP="00235817">
      <w:pPr>
        <w:pStyle w:val="Default"/>
        <w:rPr>
          <w:rFonts w:cs="ChaparralPro-Regular"/>
          <w:sz w:val="22"/>
          <w:szCs w:val="22"/>
        </w:rPr>
      </w:pPr>
      <w:r>
        <w:rPr>
          <w:sz w:val="22"/>
          <w:szCs w:val="22"/>
        </w:rPr>
        <w:t>Paul Grice,</w:t>
      </w:r>
      <w:r w:rsidR="00796D19" w:rsidRPr="00796D19">
        <w:rPr>
          <w:sz w:val="22"/>
          <w:szCs w:val="22"/>
        </w:rPr>
        <w:t xml:space="preserve"> </w:t>
      </w:r>
      <w:r w:rsidR="00796D19" w:rsidRPr="00796D19">
        <w:rPr>
          <w:i/>
          <w:sz w:val="22"/>
          <w:szCs w:val="22"/>
        </w:rPr>
        <w:t>Studies in the Way of Words</w:t>
      </w:r>
      <w:r w:rsidR="00796D19" w:rsidRPr="00796D19">
        <w:rPr>
          <w:sz w:val="22"/>
          <w:szCs w:val="22"/>
        </w:rPr>
        <w:t xml:space="preserve"> (Cambridge, MA: Harvard University Press 1989).</w:t>
      </w:r>
    </w:p>
    <w:p w14:paraId="585DF70B" w14:textId="77777777" w:rsidR="00E60767" w:rsidRPr="00796D19" w:rsidRDefault="004757AA" w:rsidP="00235817">
      <w:pPr>
        <w:pStyle w:val="Default"/>
        <w:rPr>
          <w:rFonts w:cs="OpenSans-Semibold"/>
          <w:sz w:val="22"/>
          <w:szCs w:val="22"/>
        </w:rPr>
      </w:pPr>
      <w:r>
        <w:rPr>
          <w:rFonts w:cs="ChaparralPro-Regular"/>
          <w:sz w:val="22"/>
          <w:szCs w:val="22"/>
        </w:rPr>
        <w:t>Martin Gustaffson,</w:t>
      </w:r>
      <w:r w:rsidR="00E60767" w:rsidRPr="00796D19">
        <w:rPr>
          <w:rFonts w:cs="ChaparralPro-Regular"/>
          <w:sz w:val="22"/>
          <w:szCs w:val="22"/>
        </w:rPr>
        <w:t xml:space="preserve"> </w:t>
      </w:r>
      <w:r w:rsidR="00E60767" w:rsidRPr="00796D19">
        <w:rPr>
          <w:sz w:val="22"/>
          <w:szCs w:val="22"/>
        </w:rPr>
        <w:t>‘</w:t>
      </w:r>
      <w:r w:rsidR="00E60767" w:rsidRPr="00796D19">
        <w:rPr>
          <w:rFonts w:cs="OpenSans-Semibold"/>
          <w:sz w:val="22"/>
          <w:szCs w:val="22"/>
        </w:rPr>
        <w:t xml:space="preserve">On the distinction between uptake and perlocutionary object: the case of issuing and </w:t>
      </w:r>
    </w:p>
    <w:p w14:paraId="27DB34C5" w14:textId="77777777" w:rsidR="00E60767" w:rsidRPr="00796D19" w:rsidRDefault="00E60767" w:rsidP="00235817">
      <w:pPr>
        <w:pStyle w:val="Default"/>
        <w:ind w:firstLine="720"/>
        <w:rPr>
          <w:rFonts w:cs="ChaparralPro-Regular"/>
          <w:sz w:val="22"/>
          <w:szCs w:val="22"/>
        </w:rPr>
      </w:pPr>
      <w:r w:rsidRPr="00796D19">
        <w:rPr>
          <w:rFonts w:cs="OpenSans-Semibold"/>
          <w:sz w:val="22"/>
          <w:szCs w:val="22"/>
        </w:rPr>
        <w:t xml:space="preserve">obeying orders’, </w:t>
      </w:r>
      <w:r w:rsidRPr="00796D19">
        <w:rPr>
          <w:rFonts w:cs="OpenSans-Semibold"/>
          <w:i/>
          <w:sz w:val="22"/>
          <w:szCs w:val="22"/>
        </w:rPr>
        <w:t>Inquiry</w:t>
      </w:r>
      <w:r w:rsidR="00A34804">
        <w:rPr>
          <w:rFonts w:cs="OpenSans-Semibold"/>
          <w:sz w:val="22"/>
          <w:szCs w:val="22"/>
        </w:rPr>
        <w:t>,</w:t>
      </w:r>
      <w:r w:rsidRPr="00796D19">
        <w:rPr>
          <w:rFonts w:cs="OpenSans-Semibold"/>
          <w:sz w:val="22"/>
          <w:szCs w:val="22"/>
        </w:rPr>
        <w:t xml:space="preserve"> (2020), 1-14.</w:t>
      </w:r>
    </w:p>
    <w:p w14:paraId="1F841FE4" w14:textId="77777777" w:rsidR="007C4436" w:rsidRPr="00796D19" w:rsidRDefault="0027301C" w:rsidP="00235817">
      <w:pPr>
        <w:pStyle w:val="Default"/>
        <w:rPr>
          <w:sz w:val="22"/>
          <w:szCs w:val="22"/>
        </w:rPr>
      </w:pPr>
      <w:r>
        <w:rPr>
          <w:rFonts w:cs="ChaparralPro-Regular"/>
          <w:sz w:val="22"/>
          <w:szCs w:val="22"/>
        </w:rPr>
        <w:t>Sally Haslanger,</w:t>
      </w:r>
      <w:r w:rsidR="007C4436" w:rsidRPr="00796D19">
        <w:rPr>
          <w:rFonts w:cs="ChaparralPro-Regular"/>
          <w:sz w:val="22"/>
          <w:szCs w:val="22"/>
        </w:rPr>
        <w:t xml:space="preserve"> </w:t>
      </w:r>
      <w:r w:rsidR="007C4436" w:rsidRPr="00796D19">
        <w:rPr>
          <w:rFonts w:cs="ChaparralPro-Regular"/>
          <w:i/>
          <w:sz w:val="22"/>
          <w:szCs w:val="22"/>
        </w:rPr>
        <w:t>Resisting Reality: Social Construction and Social Critique</w:t>
      </w:r>
      <w:r w:rsidR="007C4436" w:rsidRPr="00796D19">
        <w:rPr>
          <w:rFonts w:cs="ChaparralPro-Regular"/>
          <w:sz w:val="22"/>
          <w:szCs w:val="22"/>
        </w:rPr>
        <w:t xml:space="preserve"> (New York and Oxford, 2012).</w:t>
      </w:r>
    </w:p>
    <w:p w14:paraId="2AC83BC1" w14:textId="77777777" w:rsidR="00B73237" w:rsidRPr="007A6FD9" w:rsidRDefault="0027301C" w:rsidP="00235817">
      <w:pPr>
        <w:pStyle w:val="Default"/>
        <w:rPr>
          <w:sz w:val="22"/>
          <w:szCs w:val="22"/>
        </w:rPr>
      </w:pPr>
      <w:r>
        <w:rPr>
          <w:sz w:val="22"/>
          <w:szCs w:val="22"/>
        </w:rPr>
        <w:t>Saul Kripke,</w:t>
      </w:r>
      <w:r w:rsidR="00B73237" w:rsidRPr="007A6FD9">
        <w:rPr>
          <w:sz w:val="22"/>
          <w:szCs w:val="22"/>
        </w:rPr>
        <w:t xml:space="preserve"> </w:t>
      </w:r>
      <w:r w:rsidR="00B73237" w:rsidRPr="007A6FD9">
        <w:rPr>
          <w:i/>
          <w:sz w:val="22"/>
          <w:szCs w:val="22"/>
        </w:rPr>
        <w:t>Naming and Necessity</w:t>
      </w:r>
      <w:r w:rsidR="00B73237" w:rsidRPr="007A6FD9">
        <w:rPr>
          <w:sz w:val="22"/>
          <w:szCs w:val="22"/>
        </w:rPr>
        <w:t xml:space="preserve"> (Cambridge, MA: Harvard University Press, 1980).</w:t>
      </w:r>
    </w:p>
    <w:p w14:paraId="5EA9315B" w14:textId="77777777" w:rsidR="00E60767" w:rsidRPr="007A6FD9" w:rsidRDefault="0027301C" w:rsidP="00235817">
      <w:pPr>
        <w:pStyle w:val="Default"/>
        <w:rPr>
          <w:sz w:val="22"/>
          <w:szCs w:val="22"/>
        </w:rPr>
      </w:pPr>
      <w:r>
        <w:rPr>
          <w:rFonts w:cs="AdvPSGOD"/>
          <w:sz w:val="22"/>
          <w:szCs w:val="22"/>
        </w:rPr>
        <w:t>Rebecca Kukla,</w:t>
      </w:r>
      <w:r w:rsidR="00BF7B20">
        <w:rPr>
          <w:rFonts w:cs="AdvPSGOD"/>
          <w:sz w:val="22"/>
          <w:szCs w:val="22"/>
        </w:rPr>
        <w:t xml:space="preserve"> ‘</w:t>
      </w:r>
      <w:r w:rsidR="00E60767" w:rsidRPr="007A6FD9">
        <w:rPr>
          <w:rFonts w:cs="AdvPSGOD"/>
          <w:sz w:val="22"/>
          <w:szCs w:val="22"/>
        </w:rPr>
        <w:t>Performative Force, Conve</w:t>
      </w:r>
      <w:r w:rsidR="00BF7B20">
        <w:rPr>
          <w:rFonts w:cs="AdvPSGOD"/>
          <w:sz w:val="22"/>
          <w:szCs w:val="22"/>
        </w:rPr>
        <w:t>ntion, and Discursive Injustice’</w:t>
      </w:r>
      <w:r w:rsidR="00261E25">
        <w:rPr>
          <w:rFonts w:cs="AdvPSGOD"/>
          <w:sz w:val="22"/>
          <w:szCs w:val="22"/>
        </w:rPr>
        <w:t>,</w:t>
      </w:r>
      <w:r w:rsidR="00E60767" w:rsidRPr="007A6FD9">
        <w:rPr>
          <w:rFonts w:cs="AdvPSGOD"/>
          <w:sz w:val="22"/>
          <w:szCs w:val="22"/>
        </w:rPr>
        <w:t xml:space="preserve"> </w:t>
      </w:r>
      <w:r w:rsidR="00E60767" w:rsidRPr="007A6FD9">
        <w:rPr>
          <w:rFonts w:cs="AdvPSGOD"/>
          <w:i/>
          <w:sz w:val="22"/>
          <w:szCs w:val="22"/>
        </w:rPr>
        <w:t>Hypatia</w:t>
      </w:r>
      <w:r w:rsidR="00E60767" w:rsidRPr="007A6FD9">
        <w:rPr>
          <w:rFonts w:cs="AdvPSGOD"/>
          <w:sz w:val="22"/>
          <w:szCs w:val="22"/>
        </w:rPr>
        <w:t xml:space="preserve"> 29 (2014), 440</w:t>
      </w:r>
      <w:r w:rsidR="00B03C32" w:rsidRPr="00B03C32">
        <w:rPr>
          <w:rFonts w:cs="MinionPro-Regular"/>
        </w:rPr>
        <w:t>–</w:t>
      </w:r>
      <w:r w:rsidR="00E60767" w:rsidRPr="007A6FD9">
        <w:rPr>
          <w:rFonts w:cs="AdvPSGOD"/>
          <w:sz w:val="22"/>
          <w:szCs w:val="22"/>
        </w:rPr>
        <w:t>457.</w:t>
      </w:r>
    </w:p>
    <w:p w14:paraId="1BD74C86" w14:textId="77777777" w:rsidR="0027301C" w:rsidRDefault="0027301C" w:rsidP="00235817">
      <w:pPr>
        <w:pStyle w:val="Default"/>
        <w:rPr>
          <w:sz w:val="22"/>
          <w:szCs w:val="22"/>
        </w:rPr>
      </w:pPr>
      <w:r>
        <w:rPr>
          <w:sz w:val="22"/>
          <w:szCs w:val="22"/>
        </w:rPr>
        <w:t>Mark Lance and Rebecca Kukla,</w:t>
      </w:r>
      <w:r w:rsidR="00BF493F" w:rsidRPr="007431A2">
        <w:rPr>
          <w:sz w:val="22"/>
          <w:szCs w:val="22"/>
        </w:rPr>
        <w:t xml:space="preserve"> ‘Leave the Gun; Take the Cannoli! The Pragmatic Topography of Second-</w:t>
      </w:r>
    </w:p>
    <w:p w14:paraId="2D9F69B4" w14:textId="77777777" w:rsidR="005059ED" w:rsidRPr="0027301C" w:rsidRDefault="007C4436" w:rsidP="00235817">
      <w:pPr>
        <w:pStyle w:val="Default"/>
        <w:ind w:firstLine="720"/>
        <w:rPr>
          <w:rFonts w:cstheme="minorBidi"/>
          <w:color w:val="auto"/>
          <w:sz w:val="22"/>
          <w:szCs w:val="22"/>
        </w:rPr>
      </w:pPr>
      <w:r w:rsidRPr="007431A2">
        <w:rPr>
          <w:rFonts w:cstheme="minorBidi"/>
          <w:color w:val="auto"/>
          <w:sz w:val="22"/>
          <w:szCs w:val="22"/>
        </w:rPr>
        <w:t xml:space="preserve">Person </w:t>
      </w:r>
      <w:r w:rsidR="00BF493F" w:rsidRPr="007431A2">
        <w:rPr>
          <w:rFonts w:cstheme="minorBidi"/>
          <w:color w:val="auto"/>
          <w:sz w:val="22"/>
          <w:szCs w:val="22"/>
        </w:rPr>
        <w:t xml:space="preserve">Calls’, </w:t>
      </w:r>
      <w:r w:rsidR="00BF493F" w:rsidRPr="007431A2">
        <w:rPr>
          <w:i/>
          <w:iCs/>
          <w:color w:val="auto"/>
          <w:sz w:val="22"/>
          <w:szCs w:val="22"/>
        </w:rPr>
        <w:t>Ethics</w:t>
      </w:r>
      <w:r w:rsidR="003A7013">
        <w:rPr>
          <w:iCs/>
          <w:color w:val="auto"/>
          <w:sz w:val="22"/>
          <w:szCs w:val="22"/>
        </w:rPr>
        <w:t>,</w:t>
      </w:r>
      <w:r w:rsidR="00BF493F" w:rsidRPr="007431A2">
        <w:rPr>
          <w:i/>
          <w:iCs/>
          <w:color w:val="auto"/>
          <w:sz w:val="22"/>
          <w:szCs w:val="22"/>
        </w:rPr>
        <w:t xml:space="preserve"> </w:t>
      </w:r>
      <w:r w:rsidR="00BF493F" w:rsidRPr="007431A2">
        <w:rPr>
          <w:color w:val="auto"/>
          <w:sz w:val="22"/>
          <w:szCs w:val="22"/>
        </w:rPr>
        <w:t>123 (</w:t>
      </w:r>
      <w:r w:rsidR="00BF493F" w:rsidRPr="007431A2">
        <w:rPr>
          <w:sz w:val="22"/>
          <w:szCs w:val="22"/>
        </w:rPr>
        <w:t xml:space="preserve">2013), </w:t>
      </w:r>
      <w:r w:rsidR="00CF084E" w:rsidRPr="007431A2">
        <w:rPr>
          <w:sz w:val="22"/>
          <w:szCs w:val="22"/>
        </w:rPr>
        <w:t>456</w:t>
      </w:r>
      <w:r w:rsidR="003A7013" w:rsidRPr="00B03C32">
        <w:rPr>
          <w:rFonts w:cs="MinionPro-Regular"/>
        </w:rPr>
        <w:t>–</w:t>
      </w:r>
      <w:r w:rsidR="00CF084E" w:rsidRPr="007431A2">
        <w:rPr>
          <w:sz w:val="22"/>
          <w:szCs w:val="22"/>
        </w:rPr>
        <w:t>478.</w:t>
      </w:r>
    </w:p>
    <w:p w14:paraId="57A6DAA2" w14:textId="77777777" w:rsidR="008834BC" w:rsidRDefault="008834BC" w:rsidP="00235817">
      <w:pPr>
        <w:pStyle w:val="Default"/>
        <w:rPr>
          <w:sz w:val="22"/>
          <w:szCs w:val="22"/>
        </w:rPr>
      </w:pPr>
      <w:r>
        <w:rPr>
          <w:sz w:val="22"/>
          <w:szCs w:val="22"/>
        </w:rPr>
        <w:t xml:space="preserve">David Plunkett and Tim Sundell, ‘Disagreement and the Semantics of Normative and Evaluative Terms’, </w:t>
      </w:r>
    </w:p>
    <w:p w14:paraId="371E5431" w14:textId="77777777" w:rsidR="008834BC" w:rsidRPr="008834BC" w:rsidRDefault="008834BC" w:rsidP="00235817">
      <w:pPr>
        <w:pStyle w:val="Default"/>
        <w:ind w:firstLine="720"/>
        <w:rPr>
          <w:sz w:val="22"/>
          <w:szCs w:val="22"/>
        </w:rPr>
      </w:pPr>
      <w:r>
        <w:rPr>
          <w:i/>
          <w:sz w:val="22"/>
          <w:szCs w:val="22"/>
        </w:rPr>
        <w:t>Philosophers’ Imprint</w:t>
      </w:r>
      <w:r>
        <w:rPr>
          <w:sz w:val="22"/>
          <w:szCs w:val="22"/>
        </w:rPr>
        <w:t>, 13 (2013), 1</w:t>
      </w:r>
      <w:r w:rsidRPr="00B03C32">
        <w:rPr>
          <w:rFonts w:cs="MinionPro-Regular"/>
        </w:rPr>
        <w:t>–</w:t>
      </w:r>
      <w:r>
        <w:rPr>
          <w:rFonts w:cs="MinionPro-Regular"/>
        </w:rPr>
        <w:t>37.</w:t>
      </w:r>
    </w:p>
    <w:p w14:paraId="21909F63" w14:textId="77777777" w:rsidR="0027301C" w:rsidRDefault="0027301C" w:rsidP="00235817">
      <w:pPr>
        <w:pStyle w:val="Default"/>
        <w:rPr>
          <w:sz w:val="22"/>
          <w:szCs w:val="22"/>
        </w:rPr>
      </w:pPr>
      <w:r>
        <w:rPr>
          <w:sz w:val="22"/>
          <w:szCs w:val="22"/>
        </w:rPr>
        <w:t>Hilary Putnam,</w:t>
      </w:r>
      <w:r w:rsidR="007431A2" w:rsidRPr="007431A2">
        <w:rPr>
          <w:sz w:val="22"/>
          <w:szCs w:val="22"/>
        </w:rPr>
        <w:t xml:space="preserve"> </w:t>
      </w:r>
      <w:r w:rsidR="007431A2" w:rsidRPr="007431A2">
        <w:rPr>
          <w:i/>
          <w:sz w:val="22"/>
          <w:szCs w:val="22"/>
        </w:rPr>
        <w:t xml:space="preserve">Mind, Language and Reality: Philosophical Papers Volume 2 </w:t>
      </w:r>
      <w:r w:rsidR="007431A2" w:rsidRPr="007431A2">
        <w:rPr>
          <w:sz w:val="22"/>
          <w:szCs w:val="22"/>
        </w:rPr>
        <w:t xml:space="preserve">(Cambridge: Cambridge University </w:t>
      </w:r>
    </w:p>
    <w:p w14:paraId="443F6CA9" w14:textId="77777777" w:rsidR="007431A2" w:rsidRPr="007431A2" w:rsidRDefault="007431A2" w:rsidP="00235817">
      <w:pPr>
        <w:pStyle w:val="Default"/>
        <w:ind w:firstLine="720"/>
        <w:rPr>
          <w:sz w:val="22"/>
          <w:szCs w:val="22"/>
        </w:rPr>
      </w:pPr>
      <w:r w:rsidRPr="007431A2">
        <w:rPr>
          <w:sz w:val="22"/>
          <w:szCs w:val="22"/>
        </w:rPr>
        <w:t>Press, 1986).</w:t>
      </w:r>
    </w:p>
    <w:p w14:paraId="5038651D" w14:textId="77777777" w:rsidR="004757AA" w:rsidRDefault="004757AA" w:rsidP="00235817">
      <w:pPr>
        <w:spacing w:line="240" w:lineRule="auto"/>
        <w:rPr>
          <w:sz w:val="22"/>
        </w:rPr>
      </w:pPr>
      <w:r>
        <w:rPr>
          <w:sz w:val="22"/>
        </w:rPr>
        <w:t>Catarina Dutilh Novaes,</w:t>
      </w:r>
      <w:r w:rsidR="00472D0A" w:rsidRPr="00DB183F">
        <w:rPr>
          <w:sz w:val="22"/>
        </w:rPr>
        <w:t xml:space="preserve"> ‘Carnapian explication and ameliorative analysis: a systematic comparison’, </w:t>
      </w:r>
      <w:r w:rsidR="00472D0A" w:rsidRPr="00DB183F">
        <w:rPr>
          <w:i/>
          <w:sz w:val="22"/>
        </w:rPr>
        <w:t>Synthese</w:t>
      </w:r>
      <w:r w:rsidR="003A7013">
        <w:rPr>
          <w:sz w:val="22"/>
        </w:rPr>
        <w:t>,</w:t>
      </w:r>
      <w:r w:rsidR="00472D0A" w:rsidRPr="00DB183F">
        <w:rPr>
          <w:sz w:val="22"/>
        </w:rPr>
        <w:t xml:space="preserve"> </w:t>
      </w:r>
    </w:p>
    <w:p w14:paraId="1E8BDB96" w14:textId="77777777" w:rsidR="00472D0A" w:rsidRDefault="00472D0A" w:rsidP="00235817">
      <w:pPr>
        <w:spacing w:line="240" w:lineRule="auto"/>
        <w:ind w:firstLine="720"/>
        <w:rPr>
          <w:sz w:val="22"/>
        </w:rPr>
      </w:pPr>
      <w:r w:rsidRPr="00DB183F">
        <w:rPr>
          <w:sz w:val="22"/>
        </w:rPr>
        <w:t>(2018)</w:t>
      </w:r>
      <w:r w:rsidR="003F5CA9" w:rsidRPr="00DB183F">
        <w:rPr>
          <w:sz w:val="22"/>
        </w:rPr>
        <w:t>, 1</w:t>
      </w:r>
      <w:r w:rsidR="00B03C32" w:rsidRPr="00B03C32">
        <w:rPr>
          <w:rFonts w:cs="MinionPro-Regular"/>
          <w:szCs w:val="24"/>
        </w:rPr>
        <w:t>–</w:t>
      </w:r>
      <w:r w:rsidR="003F5CA9" w:rsidRPr="00DB183F">
        <w:rPr>
          <w:sz w:val="22"/>
        </w:rPr>
        <w:t>24.</w:t>
      </w:r>
    </w:p>
    <w:p w14:paraId="7673B8FE" w14:textId="77777777" w:rsidR="007302B3" w:rsidRDefault="00A274CC" w:rsidP="00235817">
      <w:pPr>
        <w:spacing w:line="240" w:lineRule="auto"/>
        <w:rPr>
          <w:rFonts w:cs="AGaramond-Regular"/>
          <w:sz w:val="22"/>
        </w:rPr>
      </w:pPr>
      <w:r w:rsidRPr="007302B3">
        <w:rPr>
          <w:sz w:val="22"/>
        </w:rPr>
        <w:t xml:space="preserve">Gillian Russell, </w:t>
      </w:r>
      <w:r w:rsidRPr="007302B3">
        <w:rPr>
          <w:rFonts w:cs="AGaramond-Regular"/>
          <w:i/>
          <w:sz w:val="22"/>
        </w:rPr>
        <w:t>Truth in Virtue of Meaning: A Defence of the Analytic/Synthetic Distinction</w:t>
      </w:r>
      <w:r w:rsidRPr="007302B3">
        <w:rPr>
          <w:rFonts w:cs="AGaramond-Regular"/>
          <w:sz w:val="22"/>
        </w:rPr>
        <w:t xml:space="preserve"> (Oxford: Oxford </w:t>
      </w:r>
    </w:p>
    <w:p w14:paraId="508CEE9F" w14:textId="77777777" w:rsidR="00A274CC" w:rsidRPr="007302B3" w:rsidRDefault="00A274CC" w:rsidP="00235817">
      <w:pPr>
        <w:spacing w:line="240" w:lineRule="auto"/>
        <w:ind w:firstLine="720"/>
        <w:rPr>
          <w:sz w:val="22"/>
        </w:rPr>
      </w:pPr>
      <w:r w:rsidRPr="007302B3">
        <w:rPr>
          <w:rFonts w:cs="AGaramond-Regular"/>
          <w:sz w:val="22"/>
        </w:rPr>
        <w:t>University Press, 2008).</w:t>
      </w:r>
    </w:p>
    <w:p w14:paraId="49AB1776" w14:textId="77777777" w:rsidR="004757AA" w:rsidRPr="007302B3" w:rsidRDefault="004757AA" w:rsidP="00235817">
      <w:pPr>
        <w:spacing w:line="240" w:lineRule="auto"/>
        <w:rPr>
          <w:sz w:val="22"/>
        </w:rPr>
      </w:pPr>
      <w:r w:rsidRPr="007302B3">
        <w:rPr>
          <w:rFonts w:cs="Times New Roman"/>
          <w:sz w:val="22"/>
        </w:rPr>
        <w:lastRenderedPageBreak/>
        <w:t>Marina Sbisà,</w:t>
      </w:r>
      <w:r w:rsidR="004A446A" w:rsidRPr="007302B3">
        <w:rPr>
          <w:rFonts w:cs="Times New Roman"/>
          <w:sz w:val="22"/>
        </w:rPr>
        <w:t xml:space="preserve"> </w:t>
      </w:r>
      <w:r w:rsidR="004A446A" w:rsidRPr="007302B3">
        <w:rPr>
          <w:sz w:val="22"/>
        </w:rPr>
        <w:t xml:space="preserve">‘Varieties of Speech Act Norms’, </w:t>
      </w:r>
      <w:r w:rsidR="004A446A" w:rsidRPr="007302B3">
        <w:rPr>
          <w:i/>
          <w:iCs/>
          <w:sz w:val="22"/>
        </w:rPr>
        <w:t>Normativity and Variety of Speech Act Norms</w:t>
      </w:r>
      <w:r w:rsidR="004A446A" w:rsidRPr="007302B3">
        <w:rPr>
          <w:sz w:val="22"/>
        </w:rPr>
        <w:t xml:space="preserve">, eds. Maciej Witek </w:t>
      </w:r>
    </w:p>
    <w:p w14:paraId="43AFF191" w14:textId="77777777" w:rsidR="004A446A" w:rsidRPr="007302B3" w:rsidRDefault="007C4436" w:rsidP="00235817">
      <w:pPr>
        <w:spacing w:line="240" w:lineRule="auto"/>
        <w:ind w:left="720"/>
        <w:rPr>
          <w:sz w:val="22"/>
        </w:rPr>
      </w:pPr>
      <w:r w:rsidRPr="007302B3">
        <w:rPr>
          <w:sz w:val="22"/>
        </w:rPr>
        <w:t xml:space="preserve">and </w:t>
      </w:r>
      <w:r w:rsidR="004A446A" w:rsidRPr="007302B3">
        <w:rPr>
          <w:sz w:val="22"/>
        </w:rPr>
        <w:t xml:space="preserve">Iwona Witczak-Plisiecka, </w:t>
      </w:r>
      <w:r w:rsidR="004A446A" w:rsidRPr="007302B3">
        <w:rPr>
          <w:i/>
          <w:iCs/>
          <w:sz w:val="22"/>
        </w:rPr>
        <w:t>Poznań Studies in the Philosophy of the Sciences and the Humanities Online</w:t>
      </w:r>
      <w:r w:rsidR="003A7013" w:rsidRPr="007302B3">
        <w:rPr>
          <w:iCs/>
          <w:sz w:val="22"/>
        </w:rPr>
        <w:t>,</w:t>
      </w:r>
      <w:r w:rsidR="004A446A" w:rsidRPr="007302B3">
        <w:rPr>
          <w:i/>
          <w:iCs/>
          <w:sz w:val="22"/>
        </w:rPr>
        <w:t xml:space="preserve"> </w:t>
      </w:r>
      <w:r w:rsidR="004757AA" w:rsidRPr="007302B3">
        <w:rPr>
          <w:sz w:val="22"/>
        </w:rPr>
        <w:t xml:space="preserve">112 </w:t>
      </w:r>
      <w:r w:rsidR="004A446A" w:rsidRPr="007302B3">
        <w:rPr>
          <w:sz w:val="22"/>
        </w:rPr>
        <w:t>(2018), 23</w:t>
      </w:r>
      <w:r w:rsidR="00B03C32" w:rsidRPr="007302B3">
        <w:rPr>
          <w:rFonts w:cs="MinionPro-Regular"/>
          <w:sz w:val="22"/>
        </w:rPr>
        <w:t>–</w:t>
      </w:r>
      <w:r w:rsidR="004A446A" w:rsidRPr="007302B3">
        <w:rPr>
          <w:sz w:val="22"/>
        </w:rPr>
        <w:t>50.</w:t>
      </w:r>
    </w:p>
    <w:p w14:paraId="4FD33080" w14:textId="77777777" w:rsidR="004E1F7D" w:rsidRDefault="0027301C" w:rsidP="00235817">
      <w:pPr>
        <w:spacing w:line="240" w:lineRule="auto"/>
        <w:rPr>
          <w:sz w:val="22"/>
        </w:rPr>
      </w:pPr>
      <w:r w:rsidRPr="007302B3">
        <w:rPr>
          <w:sz w:val="22"/>
        </w:rPr>
        <w:t>Matthew Shields, ‘</w:t>
      </w:r>
      <w:r w:rsidR="004E1F7D" w:rsidRPr="007302B3">
        <w:rPr>
          <w:sz w:val="22"/>
        </w:rPr>
        <w:t>On the Pragmatics of Deep Disagreement’</w:t>
      </w:r>
      <w:r w:rsidR="004E1F7D">
        <w:rPr>
          <w:sz w:val="22"/>
        </w:rPr>
        <w:t>,</w:t>
      </w:r>
      <w:r w:rsidR="004E1F7D" w:rsidRPr="00673FE1">
        <w:rPr>
          <w:sz w:val="22"/>
        </w:rPr>
        <w:t xml:space="preserve"> </w:t>
      </w:r>
      <w:r w:rsidR="004E1F7D" w:rsidRPr="00673FE1">
        <w:rPr>
          <w:i/>
          <w:sz w:val="22"/>
        </w:rPr>
        <w:t>Topoi: An International Review of Philosophy</w:t>
      </w:r>
      <w:r w:rsidR="00B71E0A">
        <w:rPr>
          <w:sz w:val="22"/>
        </w:rPr>
        <w:t>,</w:t>
      </w:r>
    </w:p>
    <w:p w14:paraId="73F87CC2" w14:textId="77777777" w:rsidR="004E1F7D" w:rsidRDefault="00B71E0A" w:rsidP="00235817">
      <w:pPr>
        <w:spacing w:line="240" w:lineRule="auto"/>
        <w:ind w:firstLine="720"/>
        <w:rPr>
          <w:rFonts w:cs="Helvetica"/>
          <w:color w:val="333333"/>
          <w:spacing w:val="4"/>
          <w:sz w:val="22"/>
          <w:shd w:val="clear" w:color="auto" w:fill="FCFCFC"/>
        </w:rPr>
      </w:pPr>
      <w:r>
        <w:rPr>
          <w:sz w:val="22"/>
        </w:rPr>
        <w:t>2018,</w:t>
      </w:r>
      <w:r w:rsidR="004E1F7D" w:rsidRPr="00673FE1">
        <w:rPr>
          <w:rFonts w:cs="Helvetica"/>
          <w:color w:val="333333"/>
          <w:spacing w:val="4"/>
          <w:sz w:val="22"/>
          <w:shd w:val="clear" w:color="auto" w:fill="FCFCFC"/>
        </w:rPr>
        <w:t xml:space="preserve"> 1-17.</w:t>
      </w:r>
    </w:p>
    <w:p w14:paraId="1ED70BA6" w14:textId="77777777" w:rsidR="005B21BD" w:rsidRDefault="00B71E0A" w:rsidP="00235817">
      <w:pPr>
        <w:spacing w:line="240" w:lineRule="auto"/>
        <w:rPr>
          <w:rFonts w:cs="Helvetica"/>
          <w:color w:val="333333"/>
          <w:spacing w:val="4"/>
          <w:sz w:val="22"/>
          <w:shd w:val="clear" w:color="auto" w:fill="FCFCFC"/>
        </w:rPr>
      </w:pPr>
      <w:r>
        <w:rPr>
          <w:rFonts w:cs="Helvetica"/>
          <w:color w:val="333333"/>
          <w:spacing w:val="4"/>
          <w:sz w:val="22"/>
          <w:shd w:val="clear" w:color="auto" w:fill="FCFCFC"/>
        </w:rPr>
        <w:t xml:space="preserve">Matthew Shields, </w:t>
      </w:r>
      <w:r w:rsidRPr="005B21BD">
        <w:rPr>
          <w:rFonts w:cs="Helvetica"/>
          <w:i/>
          <w:color w:val="333333"/>
          <w:spacing w:val="4"/>
          <w:sz w:val="22"/>
          <w:shd w:val="clear" w:color="auto" w:fill="FCFCFC"/>
        </w:rPr>
        <w:t>The Pragmatics and Epistemology of Conceptual Disagreement</w:t>
      </w:r>
      <w:r>
        <w:rPr>
          <w:rFonts w:cs="Helvetica"/>
          <w:color w:val="333333"/>
          <w:spacing w:val="4"/>
          <w:sz w:val="22"/>
          <w:shd w:val="clear" w:color="auto" w:fill="FCFCFC"/>
        </w:rPr>
        <w:t>,</w:t>
      </w:r>
      <w:r w:rsidR="005B21BD">
        <w:rPr>
          <w:rFonts w:cs="Helvetica"/>
          <w:color w:val="333333"/>
          <w:spacing w:val="4"/>
          <w:sz w:val="22"/>
          <w:shd w:val="clear" w:color="auto" w:fill="FCFCFC"/>
        </w:rPr>
        <w:t xml:space="preserve"> PhD Dissertation, Department </w:t>
      </w:r>
    </w:p>
    <w:p w14:paraId="3AE6ABCF" w14:textId="77777777" w:rsidR="0027301C" w:rsidRPr="00DB183F" w:rsidRDefault="005B21BD" w:rsidP="00235817">
      <w:pPr>
        <w:spacing w:line="240" w:lineRule="auto"/>
        <w:ind w:firstLine="720"/>
        <w:rPr>
          <w:sz w:val="22"/>
        </w:rPr>
      </w:pPr>
      <w:r>
        <w:rPr>
          <w:rFonts w:cs="Helvetica"/>
          <w:color w:val="333333"/>
          <w:spacing w:val="4"/>
          <w:sz w:val="22"/>
          <w:shd w:val="clear" w:color="auto" w:fill="FCFCFC"/>
        </w:rPr>
        <w:t>of Philosophy, Georgetown University, 2019.</w:t>
      </w:r>
      <w:r w:rsidR="00B71E0A">
        <w:rPr>
          <w:rFonts w:cs="Helvetica"/>
          <w:color w:val="333333"/>
          <w:spacing w:val="4"/>
          <w:sz w:val="22"/>
          <w:shd w:val="clear" w:color="auto" w:fill="FCFCFC"/>
        </w:rPr>
        <w:t xml:space="preserve"> </w:t>
      </w:r>
    </w:p>
    <w:p w14:paraId="3E59E922" w14:textId="77777777" w:rsidR="00B73237" w:rsidRPr="00B73237" w:rsidRDefault="00B73237" w:rsidP="00235817">
      <w:pPr>
        <w:spacing w:line="240" w:lineRule="auto"/>
        <w:rPr>
          <w:sz w:val="22"/>
        </w:rPr>
      </w:pPr>
      <w:r w:rsidRPr="00DB183F">
        <w:rPr>
          <w:sz w:val="22"/>
        </w:rPr>
        <w:t>Iris Marion</w:t>
      </w:r>
      <w:r w:rsidR="004757AA">
        <w:rPr>
          <w:sz w:val="22"/>
        </w:rPr>
        <w:t xml:space="preserve"> Young,</w:t>
      </w:r>
      <w:r w:rsidRPr="00DB183F">
        <w:rPr>
          <w:sz w:val="22"/>
        </w:rPr>
        <w:t xml:space="preserve"> </w:t>
      </w:r>
      <w:proofErr w:type="gramStart"/>
      <w:r w:rsidRPr="00DB183F">
        <w:rPr>
          <w:i/>
          <w:sz w:val="22"/>
        </w:rPr>
        <w:t>Justice</w:t>
      </w:r>
      <w:proofErr w:type="gramEnd"/>
      <w:r w:rsidRPr="00DB183F">
        <w:rPr>
          <w:i/>
          <w:sz w:val="22"/>
        </w:rPr>
        <w:t xml:space="preserve"> and the Politics of Difference</w:t>
      </w:r>
      <w:r w:rsidRPr="00DB183F">
        <w:rPr>
          <w:sz w:val="22"/>
        </w:rPr>
        <w:t xml:space="preserve"> (Princeton: Princeton</w:t>
      </w:r>
      <w:r w:rsidRPr="00B73237">
        <w:rPr>
          <w:sz w:val="22"/>
        </w:rPr>
        <w:t xml:space="preserve"> University Press, 1990).</w:t>
      </w:r>
    </w:p>
    <w:p w14:paraId="1A519B64" w14:textId="77777777" w:rsidR="004E1F7D" w:rsidRDefault="004E1F7D" w:rsidP="00235817">
      <w:pPr>
        <w:spacing w:line="240" w:lineRule="auto"/>
        <w:rPr>
          <w:sz w:val="22"/>
        </w:rPr>
      </w:pPr>
    </w:p>
    <w:p w14:paraId="47C2FD3B" w14:textId="781C495B" w:rsidR="00DB36B7" w:rsidRPr="00BC0299" w:rsidRDefault="00DB36B7" w:rsidP="00235817">
      <w:pPr>
        <w:spacing w:line="240" w:lineRule="auto"/>
      </w:pPr>
    </w:p>
    <w:sectPr w:rsidR="00DB36B7" w:rsidRPr="00BC029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4FDE8" w14:textId="77777777" w:rsidR="00926476" w:rsidRDefault="00926476" w:rsidP="001222BC">
      <w:pPr>
        <w:spacing w:line="240" w:lineRule="auto"/>
      </w:pPr>
      <w:r>
        <w:separator/>
      </w:r>
    </w:p>
  </w:endnote>
  <w:endnote w:type="continuationSeparator" w:id="0">
    <w:p w14:paraId="56E5C426" w14:textId="77777777" w:rsidR="00926476" w:rsidRDefault="00926476" w:rsidP="00122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MinionPro-Regular">
    <w:altName w:val="Times New Roman"/>
    <w:panose1 w:val="020B0604020202020204"/>
    <w:charset w:val="00"/>
    <w:family w:val="auto"/>
    <w:notTrueType/>
    <w:pitch w:val="default"/>
    <w:sig w:usb0="00000081" w:usb1="00000000" w:usb2="00000000" w:usb3="00000000" w:csb0="00000009" w:csb1="00000000"/>
  </w:font>
  <w:font w:name="MinionPro-It">
    <w:altName w:val="MS Gothic"/>
    <w:panose1 w:val="020B0604020202020204"/>
    <w:charset w:val="80"/>
    <w:family w:val="auto"/>
    <w:notTrueType/>
    <w:pitch w:val="default"/>
    <w:sig w:usb0="00000003" w:usb1="08070000" w:usb2="00000010" w:usb3="00000000" w:csb0="00020001" w:csb1="00000000"/>
  </w:font>
  <w:font w:name="ChaparralPro-Regular">
    <w:altName w:val="Times New Roman"/>
    <w:panose1 w:val="020B0604020202020204"/>
    <w:charset w:val="EE"/>
    <w:family w:val="auto"/>
    <w:notTrueType/>
    <w:pitch w:val="default"/>
    <w:sig w:usb0="00000005" w:usb1="00000000" w:usb2="00000000" w:usb3="00000000" w:csb0="00000002" w:csb1="00000000"/>
  </w:font>
  <w:font w:name="AdvPSGOD">
    <w:panose1 w:val="020B0604020202020204"/>
    <w:charset w:val="00"/>
    <w:family w:val="swiss"/>
    <w:notTrueType/>
    <w:pitch w:val="default"/>
    <w:sig w:usb0="00000003" w:usb1="00000000" w:usb2="00000000" w:usb3="00000000" w:csb0="00000001" w:csb1="00000000"/>
  </w:font>
  <w:font w:name="AdvOT46dcae81">
    <w:panose1 w:val="020B0604020202020204"/>
    <w:charset w:val="00"/>
    <w:family w:val="swiss"/>
    <w:notTrueType/>
    <w:pitch w:val="default"/>
    <w:sig w:usb0="00000003" w:usb1="00000000" w:usb2="00000000" w:usb3="00000000" w:csb0="00000001" w:csb1="00000000"/>
  </w:font>
  <w:font w:name="AdvOT46dcae81+fb">
    <w:panose1 w:val="020B0604020202020204"/>
    <w:charset w:val="00"/>
    <w:family w:val="auto"/>
    <w:notTrueType/>
    <w:pitch w:val="default"/>
    <w:sig w:usb0="00000003" w:usb1="00000000" w:usb2="00000000" w:usb3="00000000" w:csb0="00000001" w:csb1="00000000"/>
  </w:font>
  <w:font w:name="AdvOT46dcae81+20">
    <w:panose1 w:val="020B0604020202020204"/>
    <w:charset w:val="00"/>
    <w:family w:val="swiss"/>
    <w:notTrueType/>
    <w:pitch w:val="default"/>
    <w:sig w:usb0="00000003" w:usb1="00000000" w:usb2="00000000" w:usb3="00000000" w:csb0="00000001" w:csb1="00000000"/>
  </w:font>
  <w:font w:name="OpenSans-Semibold">
    <w:panose1 w:val="020B0604020202020204"/>
    <w:charset w:val="00"/>
    <w:family w:val="auto"/>
    <w:notTrueType/>
    <w:pitch w:val="default"/>
    <w:sig w:usb0="00000003" w:usb1="00000000" w:usb2="00000000" w:usb3="00000000" w:csb0="00000001" w:csb1="00000000"/>
  </w:font>
  <w:font w:name="AdvPSGODI">
    <w:panose1 w:val="020B0604020202020204"/>
    <w:charset w:val="00"/>
    <w:family w:val="swiss"/>
    <w:notTrueType/>
    <w:pitch w:val="default"/>
    <w:sig w:usb0="00000003" w:usb1="00000000" w:usb2="00000000" w:usb3="00000000" w:csb0="00000001" w:csb1="00000000"/>
  </w:font>
  <w:font w:name="Beljan-GreekwithMathPi">
    <w:panose1 w:val="020B0604020202020204"/>
    <w:charset w:val="00"/>
    <w:family w:val="auto"/>
    <w:notTrueType/>
    <w:pitch w:val="default"/>
    <w:sig w:usb0="00000003" w:usb1="00000000" w:usb2="00000000" w:usb3="00000000" w:csb0="00000001" w:csb1="00000000"/>
  </w:font>
  <w:font w:name="Fd251958-Identity-H">
    <w:panose1 w:val="020B0604020202020204"/>
    <w:charset w:val="00"/>
    <w:family w:val="auto"/>
    <w:notTrueType/>
    <w:pitch w:val="default"/>
    <w:sig w:usb0="00000003" w:usb1="00000000" w:usb2="00000000" w:usb3="00000000" w:csb0="00000001" w:csb1="00000000"/>
  </w:font>
  <w:font w:name="Fd369658-Identity-H">
    <w:panose1 w:val="020B0604020202020204"/>
    <w:charset w:val="00"/>
    <w:family w:val="auto"/>
    <w:notTrueType/>
    <w:pitch w:val="default"/>
    <w:sig w:usb0="00000003" w:usb1="00000000" w:usb2="00000000" w:usb3="00000000" w:csb0="00000001" w:csb1="00000000"/>
  </w:font>
  <w:font w:name="Fd35768-Identity-H">
    <w:panose1 w:val="020B0604020202020204"/>
    <w:charset w:val="00"/>
    <w:family w:val="auto"/>
    <w:notTrueType/>
    <w:pitch w:val="default"/>
    <w:sig w:usb0="00000003" w:usb1="00000000" w:usb2="00000000" w:usb3="00000000" w:csb0="00000001" w:csb1="00000000"/>
  </w:font>
  <w:font w:name="AGaramond-Regular">
    <w:panose1 w:val="020B0604020202020204"/>
    <w:charset w:val="00"/>
    <w:family w:val="auto"/>
    <w:notTrueType/>
    <w:pitch w:val="default"/>
    <w:sig w:usb0="00000003" w:usb1="00000000" w:usb2="00000000" w:usb3="00000000" w:csb0="00000001" w:csb1="00000000"/>
  </w:font>
  <w:font w:name="Fd372255-Identity-H">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01731"/>
      <w:docPartObj>
        <w:docPartGallery w:val="Page Numbers (Bottom of Page)"/>
        <w:docPartUnique/>
      </w:docPartObj>
    </w:sdtPr>
    <w:sdtEndPr>
      <w:rPr>
        <w:noProof/>
      </w:rPr>
    </w:sdtEndPr>
    <w:sdtContent>
      <w:p w14:paraId="1E14AD1C" w14:textId="77777777" w:rsidR="00202E60" w:rsidRDefault="00202E60">
        <w:pPr>
          <w:pStyle w:val="Footer"/>
          <w:jc w:val="center"/>
        </w:pPr>
        <w:r>
          <w:fldChar w:fldCharType="begin"/>
        </w:r>
        <w:r>
          <w:instrText xml:space="preserve"> PAGE   \* MERGEFORMAT </w:instrText>
        </w:r>
        <w:r>
          <w:fldChar w:fldCharType="separate"/>
        </w:r>
        <w:r w:rsidR="008647CC">
          <w:rPr>
            <w:noProof/>
          </w:rPr>
          <w:t>26</w:t>
        </w:r>
        <w:r>
          <w:rPr>
            <w:noProof/>
          </w:rPr>
          <w:fldChar w:fldCharType="end"/>
        </w:r>
      </w:p>
    </w:sdtContent>
  </w:sdt>
  <w:p w14:paraId="1A41C7CB" w14:textId="77777777" w:rsidR="00202E60" w:rsidRDefault="00202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AAFCA" w14:textId="77777777" w:rsidR="00926476" w:rsidRDefault="00926476" w:rsidP="001222BC">
      <w:pPr>
        <w:spacing w:line="240" w:lineRule="auto"/>
      </w:pPr>
      <w:r>
        <w:separator/>
      </w:r>
    </w:p>
  </w:footnote>
  <w:footnote w:type="continuationSeparator" w:id="0">
    <w:p w14:paraId="293486E6" w14:textId="77777777" w:rsidR="00926476" w:rsidRDefault="00926476" w:rsidP="001222BC">
      <w:pPr>
        <w:spacing w:line="240" w:lineRule="auto"/>
      </w:pPr>
      <w:r>
        <w:continuationSeparator/>
      </w:r>
    </w:p>
  </w:footnote>
  <w:footnote w:id="1">
    <w:p w14:paraId="3397DD95" w14:textId="77777777" w:rsidR="00202E60" w:rsidRDefault="00202E60">
      <w:pPr>
        <w:pStyle w:val="FootnoteText"/>
      </w:pPr>
      <w:r>
        <w:rPr>
          <w:rStyle w:val="FootnoteReference"/>
        </w:rPr>
        <w:footnoteRef/>
      </w:r>
      <w:r>
        <w:t xml:space="preserve"> </w:t>
      </w:r>
      <w:r>
        <w:rPr>
          <w:rFonts w:cs="MinionPro-Regular"/>
          <w:szCs w:val="24"/>
        </w:rPr>
        <w:t>Ambrose herself rejects this consensus. Her fascinating metaphilosophical views have, unfortunately, been largely forgotten.</w:t>
      </w:r>
    </w:p>
  </w:footnote>
  <w:footnote w:id="2">
    <w:p w14:paraId="641C613D" w14:textId="77777777" w:rsidR="00202E60" w:rsidRPr="002E0197" w:rsidRDefault="00202E60">
      <w:pPr>
        <w:pStyle w:val="FootnoteText"/>
      </w:pPr>
      <w:r>
        <w:rPr>
          <w:rStyle w:val="FootnoteReference"/>
        </w:rPr>
        <w:footnoteRef/>
      </w:r>
      <w:r>
        <w:t xml:space="preserve"> See, for example, (Novaes, 2018).</w:t>
      </w:r>
    </w:p>
  </w:footnote>
  <w:footnote w:id="3">
    <w:p w14:paraId="2FCB3F45" w14:textId="77777777" w:rsidR="00202E60" w:rsidRPr="002E0197" w:rsidRDefault="00202E60">
      <w:pPr>
        <w:pStyle w:val="FootnoteText"/>
      </w:pPr>
      <w:r>
        <w:rPr>
          <w:rStyle w:val="FootnoteReference"/>
        </w:rPr>
        <w:footnoteRef/>
      </w:r>
      <w:r>
        <w:t xml:space="preserve"> See, for example, (Haslanger, 2012, p. 367, fn 1).</w:t>
      </w:r>
    </w:p>
  </w:footnote>
  <w:footnote w:id="4">
    <w:p w14:paraId="2347194D" w14:textId="77777777" w:rsidR="00202E60" w:rsidRDefault="00202E60">
      <w:pPr>
        <w:pStyle w:val="FootnoteText"/>
      </w:pPr>
      <w:r>
        <w:rPr>
          <w:rStyle w:val="FootnoteReference"/>
        </w:rPr>
        <w:footnoteRef/>
      </w:r>
      <w:r>
        <w:t xml:space="preserve"> I do not claim that </w:t>
      </w:r>
      <w:r w:rsidRPr="00643949">
        <w:rPr>
          <w:rFonts w:cs="Times New Roman"/>
          <w:szCs w:val="24"/>
        </w:rPr>
        <w:t>Sbisà</w:t>
      </w:r>
      <w:r>
        <w:rPr>
          <w:rFonts w:cs="Times New Roman"/>
          <w:szCs w:val="24"/>
        </w:rPr>
        <w:t xml:space="preserve"> herself would necessarily endorse this extension.</w:t>
      </w:r>
    </w:p>
  </w:footnote>
  <w:footnote w:id="5">
    <w:p w14:paraId="79A273A3" w14:textId="77777777" w:rsidR="00202E60" w:rsidRPr="00C67365" w:rsidRDefault="00202E60" w:rsidP="00C67365">
      <w:pPr>
        <w:autoSpaceDE w:val="0"/>
        <w:autoSpaceDN w:val="0"/>
        <w:adjustRightInd w:val="0"/>
        <w:spacing w:line="240" w:lineRule="auto"/>
        <w:rPr>
          <w:rFonts w:cs="AdvOT46dcae81"/>
          <w:sz w:val="20"/>
          <w:szCs w:val="20"/>
        </w:rPr>
      </w:pPr>
      <w:r w:rsidRPr="00C67365">
        <w:rPr>
          <w:rStyle w:val="FootnoteReference"/>
          <w:sz w:val="20"/>
          <w:szCs w:val="20"/>
        </w:rPr>
        <w:footnoteRef/>
      </w:r>
      <w:r w:rsidRPr="00C67365">
        <w:rPr>
          <w:sz w:val="20"/>
          <w:szCs w:val="20"/>
        </w:rPr>
        <w:t xml:space="preserve"> For kindred views of</w:t>
      </w:r>
      <w:r>
        <w:rPr>
          <w:sz w:val="20"/>
          <w:szCs w:val="20"/>
        </w:rPr>
        <w:t xml:space="preserve"> </w:t>
      </w:r>
      <w:r w:rsidRPr="00C67365">
        <w:rPr>
          <w:sz w:val="20"/>
          <w:szCs w:val="20"/>
        </w:rPr>
        <w:t>uptake, see, for example, Martin Gustaffson</w:t>
      </w:r>
      <w:r>
        <w:rPr>
          <w:sz w:val="20"/>
          <w:szCs w:val="20"/>
        </w:rPr>
        <w:t>’s account that argues for ‘</w:t>
      </w:r>
      <w:r w:rsidRPr="00C67365">
        <w:rPr>
          <w:rFonts w:cs="AdvOT46dcae81"/>
          <w:sz w:val="20"/>
          <w:szCs w:val="20"/>
        </w:rPr>
        <w:t xml:space="preserve">a disjunctivist conception </w:t>
      </w:r>
      <w:r>
        <w:rPr>
          <w:rFonts w:cs="AdvOT46dcae81"/>
          <w:sz w:val="20"/>
          <w:szCs w:val="20"/>
        </w:rPr>
        <w:t xml:space="preserve">of illocutionary uptake…[that] </w:t>
      </w:r>
      <w:r w:rsidRPr="00C67365">
        <w:rPr>
          <w:rFonts w:cs="AdvOT46dcae81"/>
          <w:sz w:val="20"/>
          <w:szCs w:val="20"/>
        </w:rPr>
        <w:t>stands in con</w:t>
      </w:r>
      <w:r w:rsidRPr="00C67365">
        <w:rPr>
          <w:rFonts w:cs="AdvOT46dcae81+fb"/>
          <w:sz w:val="20"/>
          <w:szCs w:val="20"/>
        </w:rPr>
        <w:t>fl</w:t>
      </w:r>
      <w:r w:rsidRPr="00C67365">
        <w:rPr>
          <w:rFonts w:cs="AdvOT46dcae81"/>
          <w:sz w:val="20"/>
          <w:szCs w:val="20"/>
        </w:rPr>
        <w:t>ict with Austin</w:t>
      </w:r>
      <w:r w:rsidRPr="00C67365">
        <w:rPr>
          <w:rFonts w:cs="AdvOT46dcae81+20"/>
          <w:sz w:val="20"/>
          <w:szCs w:val="20"/>
        </w:rPr>
        <w:t>’</w:t>
      </w:r>
      <w:r w:rsidRPr="00C67365">
        <w:rPr>
          <w:rFonts w:cs="AdvOT46dcae81"/>
          <w:sz w:val="20"/>
          <w:szCs w:val="20"/>
        </w:rPr>
        <w:t>s way of drawing the</w:t>
      </w:r>
      <w:r>
        <w:rPr>
          <w:rFonts w:cs="AdvOT46dcae81"/>
          <w:sz w:val="20"/>
          <w:szCs w:val="20"/>
        </w:rPr>
        <w:t xml:space="preserve"> line between the illocutionary </w:t>
      </w:r>
      <w:r w:rsidRPr="00C67365">
        <w:rPr>
          <w:rFonts w:cs="AdvOT46dcae81"/>
          <w:sz w:val="20"/>
          <w:szCs w:val="20"/>
        </w:rPr>
        <w:t>and the perlocutionary</w:t>
      </w:r>
      <w:r>
        <w:rPr>
          <w:rFonts w:cs="AdvOT46dcae81"/>
          <w:sz w:val="20"/>
          <w:szCs w:val="20"/>
        </w:rPr>
        <w:t>’</w:t>
      </w:r>
      <w:r w:rsidRPr="00C67365">
        <w:rPr>
          <w:rFonts w:cs="AdvOT46dcae81"/>
          <w:sz w:val="20"/>
          <w:szCs w:val="20"/>
        </w:rPr>
        <w:t xml:space="preserve"> </w:t>
      </w:r>
      <w:r w:rsidRPr="00C67365">
        <w:rPr>
          <w:rFonts w:cs="OpenSans-Semibold"/>
          <w:sz w:val="20"/>
          <w:szCs w:val="20"/>
        </w:rPr>
        <w:t>(</w:t>
      </w:r>
      <w:r>
        <w:rPr>
          <w:rFonts w:cs="OpenSans-Semibold"/>
          <w:sz w:val="20"/>
          <w:szCs w:val="20"/>
        </w:rPr>
        <w:t>Gu</w:t>
      </w:r>
      <w:r w:rsidR="000C7167">
        <w:rPr>
          <w:rFonts w:cs="OpenSans-Semibold"/>
          <w:sz w:val="20"/>
          <w:szCs w:val="20"/>
        </w:rPr>
        <w:t>s</w:t>
      </w:r>
      <w:r>
        <w:rPr>
          <w:rFonts w:cs="OpenSans-Semibold"/>
          <w:sz w:val="20"/>
          <w:szCs w:val="20"/>
        </w:rPr>
        <w:t>taffson, 2020</w:t>
      </w:r>
      <w:r w:rsidRPr="00C67365">
        <w:rPr>
          <w:rFonts w:cs="OpenSans-Semibold"/>
          <w:sz w:val="20"/>
          <w:szCs w:val="20"/>
        </w:rPr>
        <w:t>,</w:t>
      </w:r>
      <w:r>
        <w:rPr>
          <w:rFonts w:cs="OpenSans-Semibold"/>
          <w:sz w:val="20"/>
          <w:szCs w:val="20"/>
        </w:rPr>
        <w:t xml:space="preserve"> p. 3)</w:t>
      </w:r>
      <w:r w:rsidRPr="00C67365">
        <w:rPr>
          <w:rFonts w:cs="OpenSans-Semibold"/>
          <w:sz w:val="20"/>
          <w:szCs w:val="20"/>
        </w:rPr>
        <w:t xml:space="preserve">. </w:t>
      </w:r>
      <w:r>
        <w:rPr>
          <w:sz w:val="20"/>
          <w:szCs w:val="20"/>
        </w:rPr>
        <w:t>Quill Kukla (writing as Rebecca Kukla)</w:t>
      </w:r>
      <w:r w:rsidRPr="00C67365">
        <w:rPr>
          <w:sz w:val="20"/>
          <w:szCs w:val="20"/>
        </w:rPr>
        <w:t xml:space="preserve"> similarly defends ‘</w:t>
      </w:r>
      <w:r w:rsidRPr="00C67365">
        <w:rPr>
          <w:rFonts w:cs="AdvPSGOD"/>
          <w:sz w:val="20"/>
          <w:szCs w:val="20"/>
        </w:rPr>
        <w:t xml:space="preserve">a quite different notion of uptake from the Austinean one adopted by Langton, Hornsby, and others’ </w:t>
      </w:r>
      <w:r>
        <w:rPr>
          <w:rFonts w:cs="AdvPSGOD"/>
          <w:sz w:val="20"/>
          <w:szCs w:val="20"/>
        </w:rPr>
        <w:t>(Kukla, 2014</w:t>
      </w:r>
      <w:r w:rsidRPr="00C67365">
        <w:rPr>
          <w:rFonts w:cs="AdvPSGOD"/>
          <w:sz w:val="20"/>
          <w:szCs w:val="20"/>
        </w:rPr>
        <w:t>,</w:t>
      </w:r>
      <w:r>
        <w:rPr>
          <w:rFonts w:cs="AdvPSGOD"/>
          <w:sz w:val="20"/>
          <w:szCs w:val="20"/>
        </w:rPr>
        <w:t xml:space="preserve"> p.</w:t>
      </w:r>
      <w:r w:rsidRPr="00C67365">
        <w:rPr>
          <w:rFonts w:cs="AdvPSGOD"/>
          <w:sz w:val="20"/>
          <w:szCs w:val="20"/>
        </w:rPr>
        <w:t xml:space="preserve"> 444</w:t>
      </w:r>
      <w:r>
        <w:rPr>
          <w:rFonts w:cs="AdvPSGOD"/>
          <w:sz w:val="20"/>
          <w:szCs w:val="20"/>
        </w:rPr>
        <w:t>)</w:t>
      </w:r>
      <w:r w:rsidRPr="00C67365">
        <w:rPr>
          <w:rFonts w:cs="AdvPSGOD"/>
          <w:sz w:val="20"/>
          <w:szCs w:val="20"/>
        </w:rPr>
        <w:t>. For Kukla, ‘[t]he uptake of a speech act is others’ enacted recognition of its impact on social space’</w:t>
      </w:r>
      <w:r>
        <w:rPr>
          <w:rFonts w:cs="AdvPSGOD"/>
          <w:sz w:val="20"/>
          <w:szCs w:val="20"/>
        </w:rPr>
        <w:t xml:space="preserve"> (2014, p. 444).</w:t>
      </w:r>
    </w:p>
  </w:footnote>
  <w:footnote w:id="6">
    <w:p w14:paraId="683B3E28" w14:textId="77777777" w:rsidR="00202E60" w:rsidRPr="00752F11" w:rsidRDefault="00202E60" w:rsidP="00C67365">
      <w:pPr>
        <w:autoSpaceDE w:val="0"/>
        <w:autoSpaceDN w:val="0"/>
        <w:adjustRightInd w:val="0"/>
        <w:spacing w:line="240" w:lineRule="auto"/>
        <w:rPr>
          <w:rFonts w:cs="AdvPSGOD"/>
          <w:sz w:val="20"/>
          <w:szCs w:val="20"/>
        </w:rPr>
      </w:pPr>
      <w:r w:rsidRPr="00B56B4C">
        <w:rPr>
          <w:rStyle w:val="FootnoteReference"/>
        </w:rPr>
        <w:footnoteRef/>
      </w:r>
      <w:r w:rsidRPr="00B56B4C">
        <w:rPr>
          <w:sz w:val="20"/>
          <w:szCs w:val="20"/>
        </w:rPr>
        <w:t xml:space="preserve"> For example, </w:t>
      </w:r>
      <w:r>
        <w:rPr>
          <w:sz w:val="20"/>
          <w:szCs w:val="20"/>
        </w:rPr>
        <w:t xml:space="preserve">suppose </w:t>
      </w:r>
      <w:r w:rsidRPr="00B56B4C">
        <w:rPr>
          <w:rFonts w:cs="AdvPSGOD"/>
          <w:sz w:val="20"/>
          <w:szCs w:val="20"/>
        </w:rPr>
        <w:t xml:space="preserve">my </w:t>
      </w:r>
      <w:r>
        <w:rPr>
          <w:rFonts w:cs="AdvPSGOD"/>
          <w:sz w:val="20"/>
          <w:szCs w:val="20"/>
        </w:rPr>
        <w:t>employees</w:t>
      </w:r>
      <w:r w:rsidRPr="00B56B4C">
        <w:rPr>
          <w:rFonts w:cs="AdvPSGOD"/>
          <w:sz w:val="20"/>
          <w:szCs w:val="20"/>
        </w:rPr>
        <w:t xml:space="preserve"> do not take me seriously as an authority figure because I am a member of a marginalized social group not typically associated with</w:t>
      </w:r>
      <w:r>
        <w:rPr>
          <w:rFonts w:cs="AdvPSGOD"/>
          <w:sz w:val="20"/>
          <w:szCs w:val="20"/>
        </w:rPr>
        <w:t xml:space="preserve"> such positions. I</w:t>
      </w:r>
      <w:r w:rsidRPr="00B56B4C">
        <w:rPr>
          <w:rFonts w:cs="AdvPSGOD"/>
          <w:sz w:val="20"/>
          <w:szCs w:val="20"/>
        </w:rPr>
        <w:t xml:space="preserve"> say that I am ordering these individuals to perform certain actions, but they refuse to do so</w:t>
      </w:r>
      <w:r>
        <w:rPr>
          <w:rFonts w:cs="AdvPSGOD"/>
          <w:sz w:val="20"/>
          <w:szCs w:val="20"/>
        </w:rPr>
        <w:t xml:space="preserve"> – not, however, </w:t>
      </w:r>
      <w:r w:rsidRPr="00B56B4C">
        <w:rPr>
          <w:rFonts w:cs="AdvPSGOD"/>
          <w:sz w:val="20"/>
          <w:szCs w:val="20"/>
        </w:rPr>
        <w:t xml:space="preserve">because they take my utterance to be an order </w:t>
      </w:r>
      <w:r>
        <w:rPr>
          <w:rFonts w:cs="AdvPSGOD"/>
          <w:sz w:val="20"/>
          <w:szCs w:val="20"/>
        </w:rPr>
        <w:t>they decide to disobey, but</w:t>
      </w:r>
      <w:r w:rsidRPr="00B56B4C">
        <w:rPr>
          <w:rFonts w:cs="AdvPSGOD"/>
          <w:sz w:val="20"/>
          <w:szCs w:val="20"/>
        </w:rPr>
        <w:t xml:space="preserve"> because, </w:t>
      </w:r>
      <w:r>
        <w:rPr>
          <w:rFonts w:cs="AdvPSGOD"/>
          <w:sz w:val="20"/>
          <w:szCs w:val="20"/>
        </w:rPr>
        <w:t>in not viewing</w:t>
      </w:r>
      <w:r w:rsidRPr="00B56B4C">
        <w:rPr>
          <w:rFonts w:cs="AdvPSGOD"/>
          <w:sz w:val="20"/>
          <w:szCs w:val="20"/>
        </w:rPr>
        <w:t xml:space="preserve"> me as authoritative, they treat my utterances as requests, which can be appropriately declined. I borrow this e</w:t>
      </w:r>
      <w:r>
        <w:rPr>
          <w:rFonts w:cs="AdvPSGOD"/>
          <w:sz w:val="20"/>
          <w:szCs w:val="20"/>
        </w:rPr>
        <w:t>xample from Kukla: ‘</w:t>
      </w:r>
      <w:r w:rsidRPr="00B56B4C">
        <w:rPr>
          <w:rFonts w:cs="AdvPSGOD"/>
          <w:sz w:val="20"/>
          <w:szCs w:val="20"/>
        </w:rPr>
        <w:t xml:space="preserve">[A]lternative uptake can in fact </w:t>
      </w:r>
      <w:r w:rsidRPr="00B56B4C">
        <w:rPr>
          <w:rFonts w:cs="AdvPSGODI"/>
          <w:sz w:val="20"/>
          <w:szCs w:val="20"/>
        </w:rPr>
        <w:t xml:space="preserve">constitute </w:t>
      </w:r>
      <w:r w:rsidRPr="00B56B4C">
        <w:rPr>
          <w:rFonts w:cs="AdvPSGOD"/>
          <w:sz w:val="20"/>
          <w:szCs w:val="20"/>
        </w:rPr>
        <w:t>[my utterance] a</w:t>
      </w:r>
      <w:r>
        <w:rPr>
          <w:rFonts w:cs="AdvPSGOD"/>
          <w:sz w:val="20"/>
          <w:szCs w:val="20"/>
        </w:rPr>
        <w:t>s some other kind of speech act</w:t>
      </w:r>
      <w:r w:rsidRPr="00B56B4C">
        <w:rPr>
          <w:rFonts w:cs="AdvPSGOD"/>
          <w:sz w:val="20"/>
          <w:szCs w:val="20"/>
        </w:rPr>
        <w:t>…a different kind of act than a male would have</w:t>
      </w:r>
      <w:r w:rsidRPr="00B56B4C">
        <w:rPr>
          <w:rFonts w:cs="AdvPSGODI"/>
          <w:sz w:val="20"/>
          <w:szCs w:val="20"/>
        </w:rPr>
        <w:t xml:space="preserve"> </w:t>
      </w:r>
      <w:r w:rsidRPr="00B56B4C">
        <w:rPr>
          <w:rFonts w:cs="AdvPSGOD"/>
          <w:sz w:val="20"/>
          <w:szCs w:val="20"/>
        </w:rPr>
        <w:t>produced using the same words, in the same context, and with the same</w:t>
      </w:r>
      <w:r w:rsidRPr="00B56B4C">
        <w:rPr>
          <w:rFonts w:cs="AdvPSGODI"/>
          <w:sz w:val="20"/>
          <w:szCs w:val="20"/>
        </w:rPr>
        <w:t xml:space="preserve"> </w:t>
      </w:r>
      <w:r w:rsidRPr="00B56B4C">
        <w:rPr>
          <w:rFonts w:cs="AdvPSGOD"/>
          <w:sz w:val="20"/>
          <w:szCs w:val="20"/>
        </w:rPr>
        <w:t xml:space="preserve">conventional entitlements to speak. In this way, the force my words may be distinctively </w:t>
      </w:r>
      <w:r>
        <w:rPr>
          <w:rFonts w:cs="AdvPSGODI"/>
          <w:sz w:val="20"/>
          <w:szCs w:val="20"/>
        </w:rPr>
        <w:t>out of my control’ (Kukla</w:t>
      </w:r>
      <w:r w:rsidRPr="00B56B4C">
        <w:rPr>
          <w:rFonts w:cs="AdvPSGODI"/>
          <w:sz w:val="20"/>
          <w:szCs w:val="20"/>
        </w:rPr>
        <w:t>,</w:t>
      </w:r>
      <w:r>
        <w:rPr>
          <w:rFonts w:cs="AdvPSGODI"/>
          <w:sz w:val="20"/>
          <w:szCs w:val="20"/>
        </w:rPr>
        <w:t xml:space="preserve"> 2014, p.</w:t>
      </w:r>
      <w:r w:rsidRPr="00B56B4C">
        <w:rPr>
          <w:rFonts w:cs="AdvPSGODI"/>
          <w:sz w:val="20"/>
          <w:szCs w:val="20"/>
        </w:rPr>
        <w:t xml:space="preserve"> 445)</w:t>
      </w:r>
      <w:r w:rsidRPr="00B56B4C">
        <w:rPr>
          <w:rFonts w:cs="AdvPSGOD"/>
          <w:sz w:val="20"/>
          <w:szCs w:val="20"/>
        </w:rPr>
        <w:t>.</w:t>
      </w:r>
    </w:p>
  </w:footnote>
  <w:footnote w:id="7">
    <w:p w14:paraId="43CC6DCE" w14:textId="77777777" w:rsidR="00202E60" w:rsidRDefault="00202E60">
      <w:pPr>
        <w:pStyle w:val="FootnoteText"/>
      </w:pPr>
      <w:r>
        <w:rPr>
          <w:rStyle w:val="FootnoteReference"/>
        </w:rPr>
        <w:footnoteRef/>
      </w:r>
      <w:r>
        <w:t xml:space="preserve"> Thanks to an anonymous referee for suggesting I clarify my position here.</w:t>
      </w:r>
    </w:p>
  </w:footnote>
  <w:footnote w:id="8">
    <w:p w14:paraId="149D598C" w14:textId="77777777" w:rsidR="00202E60" w:rsidRDefault="00202E60">
      <w:pPr>
        <w:pStyle w:val="FootnoteText"/>
      </w:pPr>
      <w:r>
        <w:rPr>
          <w:rStyle w:val="FootnoteReference"/>
        </w:rPr>
        <w:footnoteRef/>
      </w:r>
      <w:r>
        <w:t xml:space="preserve"> As </w:t>
      </w:r>
      <w:r w:rsidRPr="00D756A1">
        <w:rPr>
          <w:rFonts w:cs="AdvPSGOD"/>
          <w:szCs w:val="24"/>
        </w:rPr>
        <w:t xml:space="preserve">Stina </w:t>
      </w:r>
      <w:r w:rsidRPr="00D756A1">
        <w:rPr>
          <w:rFonts w:cs="OpenSans-Semibold"/>
          <w:szCs w:val="24"/>
        </w:rPr>
        <w:t>Bäckström</w:t>
      </w:r>
      <w:r>
        <w:rPr>
          <w:rFonts w:cs="OpenSans-Semibold"/>
          <w:szCs w:val="24"/>
        </w:rPr>
        <w:t>’s puts it, ‘</w:t>
      </w:r>
      <w:r w:rsidRPr="0048233F">
        <w:rPr>
          <w:rFonts w:cs="AdvOT46dcae81"/>
          <w:szCs w:val="24"/>
        </w:rPr>
        <w:t>we need in some (perhaps many) cases be prepared to see the production of response in the hearer as an integral part (not merely an e</w:t>
      </w:r>
      <w:r w:rsidRPr="0048233F">
        <w:rPr>
          <w:rFonts w:cs="AdvOT46dcae81+fb"/>
          <w:szCs w:val="24"/>
        </w:rPr>
        <w:t>ff</w:t>
      </w:r>
      <w:r w:rsidRPr="0048233F">
        <w:rPr>
          <w:rFonts w:cs="AdvOT46dcae81"/>
          <w:szCs w:val="24"/>
        </w:rPr>
        <w:t xml:space="preserve">ect) of what we do with </w:t>
      </w:r>
      <w:r>
        <w:rPr>
          <w:rFonts w:cs="AdvOT46dcae81"/>
          <w:szCs w:val="24"/>
        </w:rPr>
        <w:t>words’ (</w:t>
      </w:r>
      <w:r w:rsidRPr="00D756A1">
        <w:rPr>
          <w:rFonts w:cs="OpenSans-Semibold"/>
          <w:szCs w:val="24"/>
        </w:rPr>
        <w:t>Bäckström</w:t>
      </w:r>
      <w:r>
        <w:rPr>
          <w:rFonts w:cs="OpenSans-Semibold"/>
          <w:szCs w:val="24"/>
        </w:rPr>
        <w:t xml:space="preserve"> 2020</w:t>
      </w:r>
      <w:r w:rsidRPr="00D756A1">
        <w:rPr>
          <w:rFonts w:cs="OpenSans-Semibold"/>
          <w:szCs w:val="24"/>
        </w:rPr>
        <w:t>,</w:t>
      </w:r>
      <w:r>
        <w:rPr>
          <w:rFonts w:cs="OpenSans-Semibold"/>
          <w:szCs w:val="24"/>
        </w:rPr>
        <w:t xml:space="preserve"> p. 13).</w:t>
      </w:r>
    </w:p>
  </w:footnote>
  <w:footnote w:id="9">
    <w:p w14:paraId="7380FDF0" w14:textId="77777777" w:rsidR="00202E60" w:rsidRDefault="00202E60">
      <w:pPr>
        <w:pStyle w:val="FootnoteText"/>
      </w:pPr>
      <w:r>
        <w:rPr>
          <w:rStyle w:val="FootnoteReference"/>
        </w:rPr>
        <w:footnoteRef/>
      </w:r>
      <w:r>
        <w:t xml:space="preserve"> To clarify, this is not Goldberg’s view of assertion, but his gloss of the ‘commitment’ view of assertion.</w:t>
      </w:r>
    </w:p>
  </w:footnote>
  <w:footnote w:id="10">
    <w:p w14:paraId="369AD53A" w14:textId="77777777" w:rsidR="00202E60" w:rsidRDefault="00202E60">
      <w:pPr>
        <w:pStyle w:val="FootnoteText"/>
      </w:pPr>
      <w:r>
        <w:rPr>
          <w:rStyle w:val="FootnoteReference"/>
        </w:rPr>
        <w:footnoteRef/>
      </w:r>
      <w:r>
        <w:t xml:space="preserve"> This account builds on, but also revises in certain respects the account I present in my (2018) and (2019).</w:t>
      </w:r>
    </w:p>
  </w:footnote>
  <w:footnote w:id="11">
    <w:p w14:paraId="6CF2E16B" w14:textId="77777777" w:rsidR="00202E60" w:rsidRDefault="00202E60">
      <w:pPr>
        <w:pStyle w:val="FootnoteText"/>
      </w:pPr>
      <w:r>
        <w:rPr>
          <w:rStyle w:val="FootnoteReference"/>
        </w:rPr>
        <w:footnoteRef/>
      </w:r>
      <w:r>
        <w:t xml:space="preserve"> It might be objected that the players can refuse to go along with the attempted stipulation for reasons that are unrelated to utility. Suppose the other players simply dislike me and refuse to go along with the rule, even though they privately agree it would be useful or that the other players all agree the attempted stipulation will be useless, but agree to </w:t>
      </w:r>
      <w:proofErr w:type="gramStart"/>
      <w:r>
        <w:t>it</w:t>
      </w:r>
      <w:proofErr w:type="gramEnd"/>
      <w:r>
        <w:t xml:space="preserve"> nevertheless. On the first case, however, this is a vulnerability all speech act performances face insofar as we acknowledge a role for the audience in constituting the act in question. See the reference to discursive injustice, for example, in note 6 and Lance and Kukla’s discussion of the ‘space of possible responses’ vs. the ‘space of appropriate uptake’ in </w:t>
      </w:r>
      <w:r w:rsidR="00F34B76">
        <w:t>their (2013</w:t>
      </w:r>
      <w:r>
        <w:t>,</w:t>
      </w:r>
      <w:r w:rsidR="00F34B76">
        <w:t xml:space="preserve"> pp.</w:t>
      </w:r>
      <w:r w:rsidR="00F650CF">
        <w:t xml:space="preserve"> 466</w:t>
      </w:r>
      <w:r w:rsidR="00F650CF" w:rsidRPr="00B03C32">
        <w:rPr>
          <w:rFonts w:cs="MinionPro-Regular"/>
          <w:szCs w:val="24"/>
        </w:rPr>
        <w:t>–</w:t>
      </w:r>
      <w:r>
        <w:t>472</w:t>
      </w:r>
      <w:r w:rsidR="00F34B76">
        <w:t>)</w:t>
      </w:r>
      <w:r>
        <w:t xml:space="preserve">. My claim is not that constitutive consequentialist objections are the </w:t>
      </w:r>
      <w:r>
        <w:rPr>
          <w:i/>
        </w:rPr>
        <w:t xml:space="preserve">only </w:t>
      </w:r>
      <w:r>
        <w:t xml:space="preserve">objections that can block the success of stipulative speech acts, but that they are uniquely felicitous in response to these acts. Many other audience responses may </w:t>
      </w:r>
      <w:r w:rsidR="002729F7">
        <w:t xml:space="preserve">end up </w:t>
      </w:r>
      <w:r w:rsidR="00F650CF">
        <w:t>block</w:t>
      </w:r>
      <w:r w:rsidR="002729F7">
        <w:t>ing</w:t>
      </w:r>
      <w:r>
        <w:t xml:space="preserve"> a stipulative act’s successful performance. In the second case, it is unclear what ‘agreement’ looks like here. If the speakers do not take the normative statuses that acts of stipulation generate to be binding (because they think that the attempted stipulation will be useless), then my stipulation will still not be successful. If they agree to it, however, because it will (for example) stop me from complaining and allow the game to commence, then they will have agreed to it precisely because of its utility (because of how it facilitates playing the game in a way that will be mutually, if not ideally, satisfying). Thanks to an anonymous referee for pressing for clarification here.</w:t>
      </w:r>
    </w:p>
  </w:footnote>
  <w:footnote w:id="12">
    <w:p w14:paraId="3CBEAD6C" w14:textId="77777777" w:rsidR="00202E60" w:rsidRDefault="00202E60">
      <w:pPr>
        <w:pStyle w:val="FootnoteText"/>
      </w:pPr>
      <w:r>
        <w:rPr>
          <w:rStyle w:val="FootnoteReference"/>
        </w:rPr>
        <w:footnoteRef/>
      </w:r>
      <w:r>
        <w:t xml:space="preserve"> Just as (5)-(7) represented non-sequiturs in response to (3) and (3’).</w:t>
      </w:r>
    </w:p>
  </w:footnote>
  <w:footnote w:id="13">
    <w:p w14:paraId="7A0FE345" w14:textId="77777777" w:rsidR="008834BC" w:rsidRDefault="008834BC">
      <w:pPr>
        <w:pStyle w:val="FootnoteText"/>
      </w:pPr>
      <w:r>
        <w:rPr>
          <w:rStyle w:val="FootnoteReference"/>
        </w:rPr>
        <w:footnoteRef/>
      </w:r>
      <w:r>
        <w:t xml:space="preserve"> See </w:t>
      </w:r>
      <w:r w:rsidR="00860BDC">
        <w:t>(</w:t>
      </w:r>
      <w:r>
        <w:t>Plunkett and S</w:t>
      </w:r>
      <w:r w:rsidR="00860BDC">
        <w:t xml:space="preserve">undell, </w:t>
      </w:r>
      <w:r>
        <w:t>2013, pp. 22</w:t>
      </w:r>
      <w:r w:rsidRPr="00B03C32">
        <w:rPr>
          <w:rFonts w:cs="MinionPro-Regular"/>
          <w:szCs w:val="24"/>
        </w:rPr>
        <w:t>–</w:t>
      </w:r>
      <w:r>
        <w:t>24) for related discussion.</w:t>
      </w:r>
    </w:p>
  </w:footnote>
  <w:footnote w:id="14">
    <w:p w14:paraId="4E8EC281" w14:textId="77777777" w:rsidR="00202E60" w:rsidRDefault="00202E60" w:rsidP="004965A4">
      <w:pPr>
        <w:pStyle w:val="FootnoteText"/>
      </w:pPr>
      <w:r>
        <w:rPr>
          <w:rStyle w:val="FootnoteReference"/>
        </w:rPr>
        <w:footnoteRef/>
      </w:r>
      <w:r>
        <w:t xml:space="preserve"> Young herself identifies possible exceptions</w:t>
      </w:r>
      <w:r w:rsidR="0038705E">
        <w:t>, e.g., (</w:t>
      </w:r>
      <w:r>
        <w:t>1990, p. 258).</w:t>
      </w:r>
    </w:p>
  </w:footnote>
  <w:footnote w:id="15">
    <w:p w14:paraId="55C8B331" w14:textId="77777777" w:rsidR="00202E60" w:rsidRDefault="00202E60">
      <w:pPr>
        <w:pStyle w:val="FootnoteText"/>
      </w:pPr>
      <w:r>
        <w:rPr>
          <w:rStyle w:val="FootnoteReference"/>
        </w:rPr>
        <w:footnoteRef/>
      </w:r>
      <w:r>
        <w:t xml:space="preserve"> There is an interesting meta-component to my account here. Kripke himself discusses ‘stipulation’ throughout </w:t>
      </w:r>
      <w:r>
        <w:rPr>
          <w:i/>
        </w:rPr>
        <w:t>Naming and Necessity</w:t>
      </w:r>
      <w:r>
        <w:t xml:space="preserve">, arguing, for example, that stipulating a certain definition for a term may fix a reference for that term, but does not give us its meaning (since the definition may well turn out to be false). I cannot address this connection in any detail here, but in general my position is that more work needs to be done to carefully distinguish speech acts such as stipulating, naming, </w:t>
      </w:r>
      <w:proofErr w:type="gramStart"/>
      <w:r>
        <w:t>referencing-fixing</w:t>
      </w:r>
      <w:proofErr w:type="gramEnd"/>
      <w:r>
        <w:t>, and ostension that all tend to be blurred together in both Kripke’s discussion and the subsequent literature. Here is a representative example: ‘</w:t>
      </w:r>
      <w:r>
        <w:rPr>
          <w:rFonts w:cs="AGaramond-Regular"/>
        </w:rPr>
        <w:t xml:space="preserve">[I]n </w:t>
      </w:r>
      <w:r w:rsidRPr="00E601DA">
        <w:rPr>
          <w:rFonts w:cs="AGaramond-Regular"/>
        </w:rPr>
        <w:t>the case of names and natural kind terms, it is possible to introduce them either by stipulating their referents directly or by giving a synonym. When stipulating the referents directly we need to somehow pick out the object or kind that is to be the meaning of the name. We can do this by pointing, or by giving a reference-fixing</w:t>
      </w:r>
      <w:r>
        <w:rPr>
          <w:rFonts w:cs="AGaramond-Regular"/>
        </w:rPr>
        <w:t xml:space="preserve"> description’ (Russell, 2008, p. 153). Disentangling how such speech acts work, rather than antecedently assuming they have a shared, unified structure, may well lead to very different views of the relationship of language to the extra-linguistic world.</w:t>
      </w:r>
    </w:p>
  </w:footnote>
  <w:footnote w:id="16">
    <w:p w14:paraId="0F8F40F6" w14:textId="77777777" w:rsidR="006E09E8" w:rsidRDefault="006E09E8">
      <w:pPr>
        <w:pStyle w:val="FootnoteText"/>
      </w:pPr>
      <w:r>
        <w:rPr>
          <w:rStyle w:val="FootnoteReference"/>
        </w:rPr>
        <w:footnoteRef/>
      </w:r>
      <w:r>
        <w:t xml:space="preserve"> Chomsky raises what seem to me to be similar questions</w:t>
      </w:r>
      <w:r w:rsidR="003B45B0">
        <w:t xml:space="preserve">, </w:t>
      </w:r>
      <w:r>
        <w:t>e.g., (2000, pp. 41</w:t>
      </w:r>
      <w:r w:rsidRPr="00B03C32">
        <w:rPr>
          <w:rFonts w:cs="MinionPro-Regular"/>
          <w:szCs w:val="24"/>
        </w:rPr>
        <w:t>–</w:t>
      </w:r>
      <w:r>
        <w:rPr>
          <w:rFonts w:cs="MinionPro-Regular"/>
          <w:szCs w:val="24"/>
        </w:rPr>
        <w:t>44).</w:t>
      </w:r>
    </w:p>
  </w:footnote>
  <w:footnote w:id="17">
    <w:p w14:paraId="05BBCEE6" w14:textId="77777777" w:rsidR="00202E60" w:rsidRDefault="00202E60">
      <w:pPr>
        <w:pStyle w:val="FootnoteText"/>
      </w:pPr>
      <w:r>
        <w:rPr>
          <w:rStyle w:val="FootnoteReference"/>
        </w:rPr>
        <w:footnoteRef/>
      </w:r>
      <w:r>
        <w:t xml:space="preserve"> </w:t>
      </w:r>
      <w:r w:rsidR="000C7167">
        <w:t>Thanks to Mark Lance, Quill</w:t>
      </w:r>
      <w:r w:rsidR="0080109B">
        <w:t xml:space="preserve"> </w:t>
      </w:r>
      <w:r>
        <w:t>Kukla, Sally McConnell-Ginet, Bryce Huebner, Kate Withy, Hailey Huget, Elizabeth Cantalamessa,</w:t>
      </w:r>
      <w:r w:rsidR="00B927F3">
        <w:t xml:space="preserve"> Brian Klug,</w:t>
      </w:r>
      <w:r>
        <w:t xml:space="preserve"> and audiences at the University of Oslo, the 2019 Eastern Division Meeting of the APA, and Georgetown’s Philosophy of Language Workshop for discussion and feedback on many of the central ideas in this paper. Thanks as well to two anonymous reviewers, who provided very helpful comments on the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E5D96"/>
    <w:multiLevelType w:val="hybridMultilevel"/>
    <w:tmpl w:val="79AE9CF0"/>
    <w:lvl w:ilvl="0" w:tplc="64101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6642B8"/>
    <w:multiLevelType w:val="hybridMultilevel"/>
    <w:tmpl w:val="3E7225DE"/>
    <w:lvl w:ilvl="0" w:tplc="09986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50353"/>
    <w:multiLevelType w:val="hybridMultilevel"/>
    <w:tmpl w:val="9E7EADBC"/>
    <w:lvl w:ilvl="0" w:tplc="509CC748">
      <w:start w:val="10"/>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D714EE"/>
    <w:multiLevelType w:val="hybridMultilevel"/>
    <w:tmpl w:val="7FB4C0D2"/>
    <w:lvl w:ilvl="0" w:tplc="DEFC269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06347"/>
    <w:multiLevelType w:val="hybridMultilevel"/>
    <w:tmpl w:val="0914B61A"/>
    <w:lvl w:ilvl="0" w:tplc="9B16386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C3505D"/>
    <w:multiLevelType w:val="hybridMultilevel"/>
    <w:tmpl w:val="0B3E96EC"/>
    <w:lvl w:ilvl="0" w:tplc="E94CA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2C6FF8"/>
    <w:multiLevelType w:val="hybridMultilevel"/>
    <w:tmpl w:val="DE7A9C02"/>
    <w:lvl w:ilvl="0" w:tplc="A98293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1E6331"/>
    <w:multiLevelType w:val="hybridMultilevel"/>
    <w:tmpl w:val="C39E2FF8"/>
    <w:lvl w:ilvl="0" w:tplc="6D4421F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340BDA"/>
    <w:multiLevelType w:val="hybridMultilevel"/>
    <w:tmpl w:val="F4DADAC6"/>
    <w:lvl w:ilvl="0" w:tplc="228819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5F7CFF"/>
    <w:multiLevelType w:val="hybridMultilevel"/>
    <w:tmpl w:val="158C1A7A"/>
    <w:lvl w:ilvl="0" w:tplc="0C4AECD4">
      <w:start w:val="3"/>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5E29B0"/>
    <w:multiLevelType w:val="hybridMultilevel"/>
    <w:tmpl w:val="A6FA5D8E"/>
    <w:lvl w:ilvl="0" w:tplc="1140140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237E15"/>
    <w:multiLevelType w:val="hybridMultilevel"/>
    <w:tmpl w:val="15F01F7C"/>
    <w:lvl w:ilvl="0" w:tplc="014632E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7A64C4"/>
    <w:multiLevelType w:val="hybridMultilevel"/>
    <w:tmpl w:val="71A409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1229D6"/>
    <w:multiLevelType w:val="hybridMultilevel"/>
    <w:tmpl w:val="A634912A"/>
    <w:lvl w:ilvl="0" w:tplc="6F7683DA">
      <w:start w:val="1"/>
      <w:numFmt w:val="bullet"/>
      <w:lvlText w:val="-"/>
      <w:lvlJc w:val="left"/>
      <w:pPr>
        <w:ind w:left="1440" w:hanging="360"/>
      </w:pPr>
      <w:rPr>
        <w:rFonts w:ascii="Garamond" w:eastAsiaTheme="minorHAnsi" w:hAnsi="Garamond"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511C3B"/>
    <w:multiLevelType w:val="hybridMultilevel"/>
    <w:tmpl w:val="6362FC1E"/>
    <w:lvl w:ilvl="0" w:tplc="E8DE1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5"/>
  </w:num>
  <w:num w:numId="5">
    <w:abstractNumId w:val="13"/>
  </w:num>
  <w:num w:numId="6">
    <w:abstractNumId w:val="6"/>
  </w:num>
  <w:num w:numId="7">
    <w:abstractNumId w:val="14"/>
  </w:num>
  <w:num w:numId="8">
    <w:abstractNumId w:val="10"/>
  </w:num>
  <w:num w:numId="9">
    <w:abstractNumId w:val="9"/>
  </w:num>
  <w:num w:numId="10">
    <w:abstractNumId w:val="1"/>
  </w:num>
  <w:num w:numId="11">
    <w:abstractNumId w:val="7"/>
  </w:num>
  <w:num w:numId="12">
    <w:abstractNumId w:val="11"/>
  </w:num>
  <w:num w:numId="13">
    <w:abstractNumId w:val="2"/>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1F"/>
    <w:rsid w:val="00001D54"/>
    <w:rsid w:val="00002AA4"/>
    <w:rsid w:val="00015779"/>
    <w:rsid w:val="00017162"/>
    <w:rsid w:val="00023F4D"/>
    <w:rsid w:val="0002521E"/>
    <w:rsid w:val="00025684"/>
    <w:rsid w:val="000262FB"/>
    <w:rsid w:val="00036732"/>
    <w:rsid w:val="00037FF3"/>
    <w:rsid w:val="000404D7"/>
    <w:rsid w:val="000405CB"/>
    <w:rsid w:val="00041F5E"/>
    <w:rsid w:val="00045B63"/>
    <w:rsid w:val="00050FA7"/>
    <w:rsid w:val="0005440E"/>
    <w:rsid w:val="0005479E"/>
    <w:rsid w:val="000563BD"/>
    <w:rsid w:val="0005695D"/>
    <w:rsid w:val="000618CA"/>
    <w:rsid w:val="000714A6"/>
    <w:rsid w:val="00071819"/>
    <w:rsid w:val="00071BAF"/>
    <w:rsid w:val="00071F6A"/>
    <w:rsid w:val="00073050"/>
    <w:rsid w:val="000730FB"/>
    <w:rsid w:val="00073840"/>
    <w:rsid w:val="000739B8"/>
    <w:rsid w:val="000807D6"/>
    <w:rsid w:val="00083B13"/>
    <w:rsid w:val="00084E89"/>
    <w:rsid w:val="00091E9A"/>
    <w:rsid w:val="000964A5"/>
    <w:rsid w:val="000A097E"/>
    <w:rsid w:val="000A23A0"/>
    <w:rsid w:val="000A2DD7"/>
    <w:rsid w:val="000A39D2"/>
    <w:rsid w:val="000B00D3"/>
    <w:rsid w:val="000B03D0"/>
    <w:rsid w:val="000B1810"/>
    <w:rsid w:val="000B625E"/>
    <w:rsid w:val="000B76F6"/>
    <w:rsid w:val="000B7CC8"/>
    <w:rsid w:val="000C071C"/>
    <w:rsid w:val="000C1137"/>
    <w:rsid w:val="000C5FA3"/>
    <w:rsid w:val="000C5FDD"/>
    <w:rsid w:val="000C6DB9"/>
    <w:rsid w:val="000C7167"/>
    <w:rsid w:val="000C7A7B"/>
    <w:rsid w:val="000D0988"/>
    <w:rsid w:val="000D21E4"/>
    <w:rsid w:val="000D307B"/>
    <w:rsid w:val="000D4C8C"/>
    <w:rsid w:val="000D4D56"/>
    <w:rsid w:val="000D4EDC"/>
    <w:rsid w:val="000D58EF"/>
    <w:rsid w:val="000D5CFF"/>
    <w:rsid w:val="000E2BB5"/>
    <w:rsid w:val="000E2D7A"/>
    <w:rsid w:val="000E7C7A"/>
    <w:rsid w:val="000F0E33"/>
    <w:rsid w:val="000F1597"/>
    <w:rsid w:val="000F3C8B"/>
    <w:rsid w:val="000F4AB8"/>
    <w:rsid w:val="000F5A91"/>
    <w:rsid w:val="001026E8"/>
    <w:rsid w:val="00104004"/>
    <w:rsid w:val="001132E5"/>
    <w:rsid w:val="00114896"/>
    <w:rsid w:val="00116DC4"/>
    <w:rsid w:val="001222BC"/>
    <w:rsid w:val="00122DE8"/>
    <w:rsid w:val="0012371D"/>
    <w:rsid w:val="001237D6"/>
    <w:rsid w:val="001239A4"/>
    <w:rsid w:val="00123A75"/>
    <w:rsid w:val="001241FD"/>
    <w:rsid w:val="00124B3B"/>
    <w:rsid w:val="00126271"/>
    <w:rsid w:val="00126D01"/>
    <w:rsid w:val="00127DF1"/>
    <w:rsid w:val="0013155B"/>
    <w:rsid w:val="00132BF7"/>
    <w:rsid w:val="001363D6"/>
    <w:rsid w:val="00137B1A"/>
    <w:rsid w:val="00142B49"/>
    <w:rsid w:val="00144716"/>
    <w:rsid w:val="00145DD7"/>
    <w:rsid w:val="001509B5"/>
    <w:rsid w:val="001568B4"/>
    <w:rsid w:val="00157475"/>
    <w:rsid w:val="00157536"/>
    <w:rsid w:val="00160B3B"/>
    <w:rsid w:val="00162E79"/>
    <w:rsid w:val="001702F6"/>
    <w:rsid w:val="001710F9"/>
    <w:rsid w:val="00177364"/>
    <w:rsid w:val="00181A75"/>
    <w:rsid w:val="00183439"/>
    <w:rsid w:val="00191572"/>
    <w:rsid w:val="0019329F"/>
    <w:rsid w:val="00194D93"/>
    <w:rsid w:val="00195553"/>
    <w:rsid w:val="001A712C"/>
    <w:rsid w:val="001B0747"/>
    <w:rsid w:val="001B103E"/>
    <w:rsid w:val="001B127C"/>
    <w:rsid w:val="001B3040"/>
    <w:rsid w:val="001B4DDF"/>
    <w:rsid w:val="001B68A7"/>
    <w:rsid w:val="001B72EC"/>
    <w:rsid w:val="001B79D4"/>
    <w:rsid w:val="001C0FAB"/>
    <w:rsid w:val="001C448A"/>
    <w:rsid w:val="001C6424"/>
    <w:rsid w:val="001C7AAA"/>
    <w:rsid w:val="001D0EFB"/>
    <w:rsid w:val="001D13AA"/>
    <w:rsid w:val="001D1C6F"/>
    <w:rsid w:val="001D5B1B"/>
    <w:rsid w:val="001D644D"/>
    <w:rsid w:val="001D7901"/>
    <w:rsid w:val="001E1602"/>
    <w:rsid w:val="001E37FA"/>
    <w:rsid w:val="001E41E9"/>
    <w:rsid w:val="001E68C9"/>
    <w:rsid w:val="001F1998"/>
    <w:rsid w:val="001F66A5"/>
    <w:rsid w:val="00201314"/>
    <w:rsid w:val="00202E60"/>
    <w:rsid w:val="00204516"/>
    <w:rsid w:val="00206E54"/>
    <w:rsid w:val="00207411"/>
    <w:rsid w:val="00211A14"/>
    <w:rsid w:val="00212996"/>
    <w:rsid w:val="00214E78"/>
    <w:rsid w:val="00215706"/>
    <w:rsid w:val="00215980"/>
    <w:rsid w:val="00221406"/>
    <w:rsid w:val="00227CDD"/>
    <w:rsid w:val="00234D27"/>
    <w:rsid w:val="00235817"/>
    <w:rsid w:val="00235AFE"/>
    <w:rsid w:val="00237F0D"/>
    <w:rsid w:val="00241D9D"/>
    <w:rsid w:val="00241EFB"/>
    <w:rsid w:val="00244266"/>
    <w:rsid w:val="00247EE0"/>
    <w:rsid w:val="00256862"/>
    <w:rsid w:val="00260184"/>
    <w:rsid w:val="00261E25"/>
    <w:rsid w:val="002625DF"/>
    <w:rsid w:val="0026624A"/>
    <w:rsid w:val="00267D8C"/>
    <w:rsid w:val="002712AD"/>
    <w:rsid w:val="002726A5"/>
    <w:rsid w:val="002729F7"/>
    <w:rsid w:val="0027301C"/>
    <w:rsid w:val="00274081"/>
    <w:rsid w:val="002776BC"/>
    <w:rsid w:val="00284870"/>
    <w:rsid w:val="0028557A"/>
    <w:rsid w:val="00297F37"/>
    <w:rsid w:val="002A0139"/>
    <w:rsid w:val="002A3A49"/>
    <w:rsid w:val="002A4FA8"/>
    <w:rsid w:val="002A6668"/>
    <w:rsid w:val="002B0149"/>
    <w:rsid w:val="002B46D1"/>
    <w:rsid w:val="002B5241"/>
    <w:rsid w:val="002C5295"/>
    <w:rsid w:val="002C6112"/>
    <w:rsid w:val="002C7317"/>
    <w:rsid w:val="002D7020"/>
    <w:rsid w:val="002D73EE"/>
    <w:rsid w:val="002E0197"/>
    <w:rsid w:val="002E0BA2"/>
    <w:rsid w:val="002E3E4D"/>
    <w:rsid w:val="002E4302"/>
    <w:rsid w:val="002E78E9"/>
    <w:rsid w:val="002F0528"/>
    <w:rsid w:val="002F15DF"/>
    <w:rsid w:val="002F4866"/>
    <w:rsid w:val="00302D9D"/>
    <w:rsid w:val="00307791"/>
    <w:rsid w:val="003077CF"/>
    <w:rsid w:val="00310E48"/>
    <w:rsid w:val="00311605"/>
    <w:rsid w:val="0031388A"/>
    <w:rsid w:val="00317E0C"/>
    <w:rsid w:val="00322C54"/>
    <w:rsid w:val="00323DBE"/>
    <w:rsid w:val="00326B62"/>
    <w:rsid w:val="00332606"/>
    <w:rsid w:val="00333C09"/>
    <w:rsid w:val="003353E6"/>
    <w:rsid w:val="00336EBF"/>
    <w:rsid w:val="003425BD"/>
    <w:rsid w:val="00344003"/>
    <w:rsid w:val="00344A7F"/>
    <w:rsid w:val="0034749A"/>
    <w:rsid w:val="00352119"/>
    <w:rsid w:val="003544FD"/>
    <w:rsid w:val="0035502F"/>
    <w:rsid w:val="003571BB"/>
    <w:rsid w:val="00357633"/>
    <w:rsid w:val="00357CDB"/>
    <w:rsid w:val="003641D3"/>
    <w:rsid w:val="0036527B"/>
    <w:rsid w:val="003665F3"/>
    <w:rsid w:val="00375C14"/>
    <w:rsid w:val="00375E9B"/>
    <w:rsid w:val="003849B1"/>
    <w:rsid w:val="0038705E"/>
    <w:rsid w:val="00391692"/>
    <w:rsid w:val="003970DE"/>
    <w:rsid w:val="003A4D6A"/>
    <w:rsid w:val="003A6946"/>
    <w:rsid w:val="003A7013"/>
    <w:rsid w:val="003B1620"/>
    <w:rsid w:val="003B379E"/>
    <w:rsid w:val="003B45B0"/>
    <w:rsid w:val="003B489F"/>
    <w:rsid w:val="003C411F"/>
    <w:rsid w:val="003D1A72"/>
    <w:rsid w:val="003D4EF2"/>
    <w:rsid w:val="003D571F"/>
    <w:rsid w:val="003D64D9"/>
    <w:rsid w:val="003E08FB"/>
    <w:rsid w:val="003E1BE9"/>
    <w:rsid w:val="003E2EB9"/>
    <w:rsid w:val="003E39AF"/>
    <w:rsid w:val="003F19AA"/>
    <w:rsid w:val="003F2634"/>
    <w:rsid w:val="003F4C4C"/>
    <w:rsid w:val="003F5CA9"/>
    <w:rsid w:val="003F682E"/>
    <w:rsid w:val="00401D41"/>
    <w:rsid w:val="00402A38"/>
    <w:rsid w:val="00403C9D"/>
    <w:rsid w:val="00410157"/>
    <w:rsid w:val="004113E4"/>
    <w:rsid w:val="00412B02"/>
    <w:rsid w:val="00413A87"/>
    <w:rsid w:val="00413E0B"/>
    <w:rsid w:val="00415B0D"/>
    <w:rsid w:val="0041794F"/>
    <w:rsid w:val="004236EE"/>
    <w:rsid w:val="00425A52"/>
    <w:rsid w:val="0042616C"/>
    <w:rsid w:val="00427061"/>
    <w:rsid w:val="004321C2"/>
    <w:rsid w:val="00434A51"/>
    <w:rsid w:val="004425F4"/>
    <w:rsid w:val="00442BA7"/>
    <w:rsid w:val="00444CD3"/>
    <w:rsid w:val="00447628"/>
    <w:rsid w:val="00450C11"/>
    <w:rsid w:val="00453775"/>
    <w:rsid w:val="0045491B"/>
    <w:rsid w:val="00455BC6"/>
    <w:rsid w:val="00460B64"/>
    <w:rsid w:val="00463473"/>
    <w:rsid w:val="00463505"/>
    <w:rsid w:val="00465E24"/>
    <w:rsid w:val="004660E1"/>
    <w:rsid w:val="00466AB1"/>
    <w:rsid w:val="004673B8"/>
    <w:rsid w:val="00471288"/>
    <w:rsid w:val="00471873"/>
    <w:rsid w:val="00472D0A"/>
    <w:rsid w:val="004757AA"/>
    <w:rsid w:val="00476560"/>
    <w:rsid w:val="004828EA"/>
    <w:rsid w:val="00484B32"/>
    <w:rsid w:val="00485FFF"/>
    <w:rsid w:val="00487920"/>
    <w:rsid w:val="004879A7"/>
    <w:rsid w:val="00491EC8"/>
    <w:rsid w:val="004965A4"/>
    <w:rsid w:val="00497147"/>
    <w:rsid w:val="00497D13"/>
    <w:rsid w:val="004A0573"/>
    <w:rsid w:val="004A192D"/>
    <w:rsid w:val="004A19FA"/>
    <w:rsid w:val="004A2780"/>
    <w:rsid w:val="004A446A"/>
    <w:rsid w:val="004A474C"/>
    <w:rsid w:val="004A50F4"/>
    <w:rsid w:val="004A5797"/>
    <w:rsid w:val="004A5B98"/>
    <w:rsid w:val="004A5C7E"/>
    <w:rsid w:val="004B0821"/>
    <w:rsid w:val="004B0D7C"/>
    <w:rsid w:val="004B0F88"/>
    <w:rsid w:val="004B47F8"/>
    <w:rsid w:val="004B4F2D"/>
    <w:rsid w:val="004B6883"/>
    <w:rsid w:val="004B7ACC"/>
    <w:rsid w:val="004B7B50"/>
    <w:rsid w:val="004C133D"/>
    <w:rsid w:val="004C2935"/>
    <w:rsid w:val="004C2CD3"/>
    <w:rsid w:val="004C358F"/>
    <w:rsid w:val="004C4EB4"/>
    <w:rsid w:val="004D1C02"/>
    <w:rsid w:val="004D37FE"/>
    <w:rsid w:val="004D7E23"/>
    <w:rsid w:val="004E1F7D"/>
    <w:rsid w:val="004E2A36"/>
    <w:rsid w:val="004E4235"/>
    <w:rsid w:val="004E480A"/>
    <w:rsid w:val="004E4885"/>
    <w:rsid w:val="004E4D58"/>
    <w:rsid w:val="004F0C3E"/>
    <w:rsid w:val="004F2424"/>
    <w:rsid w:val="004F7018"/>
    <w:rsid w:val="00501585"/>
    <w:rsid w:val="005059ED"/>
    <w:rsid w:val="00505CD5"/>
    <w:rsid w:val="005135DF"/>
    <w:rsid w:val="00513672"/>
    <w:rsid w:val="0051467C"/>
    <w:rsid w:val="00516883"/>
    <w:rsid w:val="0052181E"/>
    <w:rsid w:val="005251BA"/>
    <w:rsid w:val="00530B5A"/>
    <w:rsid w:val="005355EB"/>
    <w:rsid w:val="005356D0"/>
    <w:rsid w:val="005361D5"/>
    <w:rsid w:val="00536AEE"/>
    <w:rsid w:val="00540F46"/>
    <w:rsid w:val="005411DB"/>
    <w:rsid w:val="00543304"/>
    <w:rsid w:val="005472FC"/>
    <w:rsid w:val="00551076"/>
    <w:rsid w:val="00551DDC"/>
    <w:rsid w:val="00553B78"/>
    <w:rsid w:val="00561145"/>
    <w:rsid w:val="0056567B"/>
    <w:rsid w:val="00566768"/>
    <w:rsid w:val="00582EA7"/>
    <w:rsid w:val="00586195"/>
    <w:rsid w:val="00587D73"/>
    <w:rsid w:val="00587EE6"/>
    <w:rsid w:val="00597A59"/>
    <w:rsid w:val="005A1D2B"/>
    <w:rsid w:val="005A26D0"/>
    <w:rsid w:val="005A51C6"/>
    <w:rsid w:val="005B21BD"/>
    <w:rsid w:val="005B2B4F"/>
    <w:rsid w:val="005B3672"/>
    <w:rsid w:val="005B5A1D"/>
    <w:rsid w:val="005B7700"/>
    <w:rsid w:val="005C1092"/>
    <w:rsid w:val="005C23DD"/>
    <w:rsid w:val="005C3955"/>
    <w:rsid w:val="005C4B62"/>
    <w:rsid w:val="005C7774"/>
    <w:rsid w:val="005D4649"/>
    <w:rsid w:val="005D6BD0"/>
    <w:rsid w:val="005D7B54"/>
    <w:rsid w:val="005E3512"/>
    <w:rsid w:val="005E3C2C"/>
    <w:rsid w:val="005E62CD"/>
    <w:rsid w:val="005E77CB"/>
    <w:rsid w:val="005F07FD"/>
    <w:rsid w:val="005F156B"/>
    <w:rsid w:val="005F4A64"/>
    <w:rsid w:val="005F57FF"/>
    <w:rsid w:val="005F66C2"/>
    <w:rsid w:val="005F6807"/>
    <w:rsid w:val="006017F2"/>
    <w:rsid w:val="00601BAA"/>
    <w:rsid w:val="00605743"/>
    <w:rsid w:val="00610B3D"/>
    <w:rsid w:val="00612A34"/>
    <w:rsid w:val="006134E2"/>
    <w:rsid w:val="00613A69"/>
    <w:rsid w:val="00614186"/>
    <w:rsid w:val="00614AE7"/>
    <w:rsid w:val="006161F2"/>
    <w:rsid w:val="00616277"/>
    <w:rsid w:val="00617CC5"/>
    <w:rsid w:val="006214A0"/>
    <w:rsid w:val="006264D1"/>
    <w:rsid w:val="00636DFC"/>
    <w:rsid w:val="006372C6"/>
    <w:rsid w:val="00637E59"/>
    <w:rsid w:val="00640CA0"/>
    <w:rsid w:val="006418A1"/>
    <w:rsid w:val="00643949"/>
    <w:rsid w:val="00645128"/>
    <w:rsid w:val="006473C5"/>
    <w:rsid w:val="0065112C"/>
    <w:rsid w:val="00652FED"/>
    <w:rsid w:val="006614FD"/>
    <w:rsid w:val="00663AEE"/>
    <w:rsid w:val="00672C9A"/>
    <w:rsid w:val="006752A1"/>
    <w:rsid w:val="00685F78"/>
    <w:rsid w:val="00686A71"/>
    <w:rsid w:val="00687914"/>
    <w:rsid w:val="00690638"/>
    <w:rsid w:val="00691F69"/>
    <w:rsid w:val="00693418"/>
    <w:rsid w:val="00693A6A"/>
    <w:rsid w:val="006946B7"/>
    <w:rsid w:val="00696E63"/>
    <w:rsid w:val="00697C33"/>
    <w:rsid w:val="00697F0B"/>
    <w:rsid w:val="006A1601"/>
    <w:rsid w:val="006A1842"/>
    <w:rsid w:val="006A3AC1"/>
    <w:rsid w:val="006A4F75"/>
    <w:rsid w:val="006B2124"/>
    <w:rsid w:val="006B2292"/>
    <w:rsid w:val="006C1753"/>
    <w:rsid w:val="006C3212"/>
    <w:rsid w:val="006D2049"/>
    <w:rsid w:val="006D4C94"/>
    <w:rsid w:val="006D5E21"/>
    <w:rsid w:val="006E0703"/>
    <w:rsid w:val="006E09E8"/>
    <w:rsid w:val="006E3034"/>
    <w:rsid w:val="006E4825"/>
    <w:rsid w:val="006F4DCF"/>
    <w:rsid w:val="006F55ED"/>
    <w:rsid w:val="006F56AE"/>
    <w:rsid w:val="006F5785"/>
    <w:rsid w:val="006F5AF7"/>
    <w:rsid w:val="00700309"/>
    <w:rsid w:val="00704535"/>
    <w:rsid w:val="00705CBF"/>
    <w:rsid w:val="007060C2"/>
    <w:rsid w:val="00706EF1"/>
    <w:rsid w:val="0070749F"/>
    <w:rsid w:val="00707903"/>
    <w:rsid w:val="00710AD8"/>
    <w:rsid w:val="00710E29"/>
    <w:rsid w:val="00715B08"/>
    <w:rsid w:val="00724D2B"/>
    <w:rsid w:val="0072504E"/>
    <w:rsid w:val="00725A3F"/>
    <w:rsid w:val="00727213"/>
    <w:rsid w:val="007302B3"/>
    <w:rsid w:val="007311DB"/>
    <w:rsid w:val="00731725"/>
    <w:rsid w:val="00732A0A"/>
    <w:rsid w:val="00732B2B"/>
    <w:rsid w:val="00733761"/>
    <w:rsid w:val="00733A8E"/>
    <w:rsid w:val="00737105"/>
    <w:rsid w:val="007431A2"/>
    <w:rsid w:val="0074764D"/>
    <w:rsid w:val="00750439"/>
    <w:rsid w:val="00751F15"/>
    <w:rsid w:val="00752F11"/>
    <w:rsid w:val="007548D7"/>
    <w:rsid w:val="00762113"/>
    <w:rsid w:val="0076255F"/>
    <w:rsid w:val="00764D1A"/>
    <w:rsid w:val="0077145E"/>
    <w:rsid w:val="007727E7"/>
    <w:rsid w:val="00777DC0"/>
    <w:rsid w:val="0078017A"/>
    <w:rsid w:val="00780301"/>
    <w:rsid w:val="00781BED"/>
    <w:rsid w:val="0078336A"/>
    <w:rsid w:val="00784E9F"/>
    <w:rsid w:val="007855D6"/>
    <w:rsid w:val="00785702"/>
    <w:rsid w:val="00786E6A"/>
    <w:rsid w:val="00787C85"/>
    <w:rsid w:val="00790395"/>
    <w:rsid w:val="00791363"/>
    <w:rsid w:val="00793B01"/>
    <w:rsid w:val="00793D51"/>
    <w:rsid w:val="00793E87"/>
    <w:rsid w:val="00796D19"/>
    <w:rsid w:val="007A2022"/>
    <w:rsid w:val="007A414E"/>
    <w:rsid w:val="007A58A2"/>
    <w:rsid w:val="007A6FD9"/>
    <w:rsid w:val="007A784A"/>
    <w:rsid w:val="007B1447"/>
    <w:rsid w:val="007B3495"/>
    <w:rsid w:val="007B68D9"/>
    <w:rsid w:val="007B796A"/>
    <w:rsid w:val="007C026D"/>
    <w:rsid w:val="007C2AAA"/>
    <w:rsid w:val="007C375C"/>
    <w:rsid w:val="007C3912"/>
    <w:rsid w:val="007C3D2A"/>
    <w:rsid w:val="007C4269"/>
    <w:rsid w:val="007C4436"/>
    <w:rsid w:val="007C605A"/>
    <w:rsid w:val="007C6250"/>
    <w:rsid w:val="007C7404"/>
    <w:rsid w:val="007C7E70"/>
    <w:rsid w:val="007D0888"/>
    <w:rsid w:val="007D0DFB"/>
    <w:rsid w:val="007D113C"/>
    <w:rsid w:val="007D16E0"/>
    <w:rsid w:val="007D1B81"/>
    <w:rsid w:val="007D2023"/>
    <w:rsid w:val="007D3296"/>
    <w:rsid w:val="007D7756"/>
    <w:rsid w:val="007D7B71"/>
    <w:rsid w:val="007E5A15"/>
    <w:rsid w:val="007F08F8"/>
    <w:rsid w:val="007F3F13"/>
    <w:rsid w:val="0080109B"/>
    <w:rsid w:val="00801968"/>
    <w:rsid w:val="008042DF"/>
    <w:rsid w:val="00805548"/>
    <w:rsid w:val="008058A2"/>
    <w:rsid w:val="00806812"/>
    <w:rsid w:val="00816C1F"/>
    <w:rsid w:val="00823F48"/>
    <w:rsid w:val="00845612"/>
    <w:rsid w:val="00847635"/>
    <w:rsid w:val="00850734"/>
    <w:rsid w:val="00852EA2"/>
    <w:rsid w:val="008545F2"/>
    <w:rsid w:val="00854642"/>
    <w:rsid w:val="00855C54"/>
    <w:rsid w:val="008565B8"/>
    <w:rsid w:val="0086032D"/>
    <w:rsid w:val="00860BDC"/>
    <w:rsid w:val="008610E3"/>
    <w:rsid w:val="00862DE2"/>
    <w:rsid w:val="008647CC"/>
    <w:rsid w:val="00866244"/>
    <w:rsid w:val="0086786E"/>
    <w:rsid w:val="00871299"/>
    <w:rsid w:val="0087183D"/>
    <w:rsid w:val="00872630"/>
    <w:rsid w:val="008737A9"/>
    <w:rsid w:val="00875ED6"/>
    <w:rsid w:val="008834BC"/>
    <w:rsid w:val="00884AF2"/>
    <w:rsid w:val="00891A23"/>
    <w:rsid w:val="008968C1"/>
    <w:rsid w:val="00897737"/>
    <w:rsid w:val="008A12CB"/>
    <w:rsid w:val="008A3965"/>
    <w:rsid w:val="008A3EA2"/>
    <w:rsid w:val="008A4932"/>
    <w:rsid w:val="008B0626"/>
    <w:rsid w:val="008B5B5E"/>
    <w:rsid w:val="008C29E4"/>
    <w:rsid w:val="008C29F1"/>
    <w:rsid w:val="008C30DD"/>
    <w:rsid w:val="008C3269"/>
    <w:rsid w:val="008C3E2F"/>
    <w:rsid w:val="008C6EB0"/>
    <w:rsid w:val="008D7180"/>
    <w:rsid w:val="008E2419"/>
    <w:rsid w:val="008E29D0"/>
    <w:rsid w:val="008E34A6"/>
    <w:rsid w:val="008E3CE7"/>
    <w:rsid w:val="008E4531"/>
    <w:rsid w:val="008F5692"/>
    <w:rsid w:val="008F6005"/>
    <w:rsid w:val="00900800"/>
    <w:rsid w:val="00907FC3"/>
    <w:rsid w:val="00910CCF"/>
    <w:rsid w:val="00916495"/>
    <w:rsid w:val="0091766C"/>
    <w:rsid w:val="00917892"/>
    <w:rsid w:val="00920681"/>
    <w:rsid w:val="009246BB"/>
    <w:rsid w:val="00926476"/>
    <w:rsid w:val="0093703D"/>
    <w:rsid w:val="0094015B"/>
    <w:rsid w:val="00942738"/>
    <w:rsid w:val="009435B9"/>
    <w:rsid w:val="0094762F"/>
    <w:rsid w:val="00947A89"/>
    <w:rsid w:val="00952A30"/>
    <w:rsid w:val="00952EA4"/>
    <w:rsid w:val="00952F24"/>
    <w:rsid w:val="00953699"/>
    <w:rsid w:val="00956510"/>
    <w:rsid w:val="00961988"/>
    <w:rsid w:val="009626A4"/>
    <w:rsid w:val="00966798"/>
    <w:rsid w:val="00967BC5"/>
    <w:rsid w:val="00970C3D"/>
    <w:rsid w:val="0097215B"/>
    <w:rsid w:val="009732DE"/>
    <w:rsid w:val="00974267"/>
    <w:rsid w:val="009850C6"/>
    <w:rsid w:val="00994D7F"/>
    <w:rsid w:val="009A01E9"/>
    <w:rsid w:val="009A03E2"/>
    <w:rsid w:val="009A6E54"/>
    <w:rsid w:val="009A71D3"/>
    <w:rsid w:val="009B1CF5"/>
    <w:rsid w:val="009B381B"/>
    <w:rsid w:val="009B45D2"/>
    <w:rsid w:val="009B5151"/>
    <w:rsid w:val="009C136F"/>
    <w:rsid w:val="009C1406"/>
    <w:rsid w:val="009C1883"/>
    <w:rsid w:val="009C310A"/>
    <w:rsid w:val="009C4312"/>
    <w:rsid w:val="009C511D"/>
    <w:rsid w:val="009D225F"/>
    <w:rsid w:val="009D6E8D"/>
    <w:rsid w:val="009D7E43"/>
    <w:rsid w:val="009E1583"/>
    <w:rsid w:val="009F2419"/>
    <w:rsid w:val="009F3289"/>
    <w:rsid w:val="009F6748"/>
    <w:rsid w:val="00A00AC0"/>
    <w:rsid w:val="00A03B59"/>
    <w:rsid w:val="00A03FF0"/>
    <w:rsid w:val="00A12DCE"/>
    <w:rsid w:val="00A13511"/>
    <w:rsid w:val="00A14C1F"/>
    <w:rsid w:val="00A151AE"/>
    <w:rsid w:val="00A164F7"/>
    <w:rsid w:val="00A20966"/>
    <w:rsid w:val="00A274CC"/>
    <w:rsid w:val="00A27AB9"/>
    <w:rsid w:val="00A310AB"/>
    <w:rsid w:val="00A317AA"/>
    <w:rsid w:val="00A34804"/>
    <w:rsid w:val="00A369F6"/>
    <w:rsid w:val="00A37176"/>
    <w:rsid w:val="00A3792D"/>
    <w:rsid w:val="00A42CF7"/>
    <w:rsid w:val="00A4373D"/>
    <w:rsid w:val="00A45BB5"/>
    <w:rsid w:val="00A4689A"/>
    <w:rsid w:val="00A57795"/>
    <w:rsid w:val="00A606CA"/>
    <w:rsid w:val="00A62ED6"/>
    <w:rsid w:val="00A633A2"/>
    <w:rsid w:val="00A64F8C"/>
    <w:rsid w:val="00A658F4"/>
    <w:rsid w:val="00A66BD8"/>
    <w:rsid w:val="00A71101"/>
    <w:rsid w:val="00A71AF5"/>
    <w:rsid w:val="00A72C12"/>
    <w:rsid w:val="00A73E1E"/>
    <w:rsid w:val="00A73E6C"/>
    <w:rsid w:val="00A76925"/>
    <w:rsid w:val="00A772BE"/>
    <w:rsid w:val="00A80905"/>
    <w:rsid w:val="00A875F2"/>
    <w:rsid w:val="00A91477"/>
    <w:rsid w:val="00A91809"/>
    <w:rsid w:val="00A9267C"/>
    <w:rsid w:val="00A92930"/>
    <w:rsid w:val="00A942EF"/>
    <w:rsid w:val="00A9697D"/>
    <w:rsid w:val="00AA0E9C"/>
    <w:rsid w:val="00AA4ACF"/>
    <w:rsid w:val="00AA5D75"/>
    <w:rsid w:val="00AA766F"/>
    <w:rsid w:val="00AA7FAA"/>
    <w:rsid w:val="00AB0790"/>
    <w:rsid w:val="00AB2ED3"/>
    <w:rsid w:val="00AC0E1B"/>
    <w:rsid w:val="00AC14F8"/>
    <w:rsid w:val="00AC436A"/>
    <w:rsid w:val="00AC5604"/>
    <w:rsid w:val="00AC691A"/>
    <w:rsid w:val="00AC7C6B"/>
    <w:rsid w:val="00AD2B1C"/>
    <w:rsid w:val="00AD301C"/>
    <w:rsid w:val="00AD4580"/>
    <w:rsid w:val="00AD4C97"/>
    <w:rsid w:val="00AD56F7"/>
    <w:rsid w:val="00AD7511"/>
    <w:rsid w:val="00AE1CC2"/>
    <w:rsid w:val="00AE25A4"/>
    <w:rsid w:val="00AE5602"/>
    <w:rsid w:val="00AF18C5"/>
    <w:rsid w:val="00AF4837"/>
    <w:rsid w:val="00AF6C96"/>
    <w:rsid w:val="00AF6FFA"/>
    <w:rsid w:val="00B03C32"/>
    <w:rsid w:val="00B06B85"/>
    <w:rsid w:val="00B07EEF"/>
    <w:rsid w:val="00B14F31"/>
    <w:rsid w:val="00B16882"/>
    <w:rsid w:val="00B16A70"/>
    <w:rsid w:val="00B210CF"/>
    <w:rsid w:val="00B21D88"/>
    <w:rsid w:val="00B2295A"/>
    <w:rsid w:val="00B307F6"/>
    <w:rsid w:val="00B3169D"/>
    <w:rsid w:val="00B31C8E"/>
    <w:rsid w:val="00B32306"/>
    <w:rsid w:val="00B34ABB"/>
    <w:rsid w:val="00B354B3"/>
    <w:rsid w:val="00B366E3"/>
    <w:rsid w:val="00B40631"/>
    <w:rsid w:val="00B41D96"/>
    <w:rsid w:val="00B41EED"/>
    <w:rsid w:val="00B41F5A"/>
    <w:rsid w:val="00B42746"/>
    <w:rsid w:val="00B4299B"/>
    <w:rsid w:val="00B4426B"/>
    <w:rsid w:val="00B4571E"/>
    <w:rsid w:val="00B47DC4"/>
    <w:rsid w:val="00B50B4F"/>
    <w:rsid w:val="00B53B67"/>
    <w:rsid w:val="00B54436"/>
    <w:rsid w:val="00B64191"/>
    <w:rsid w:val="00B64DF0"/>
    <w:rsid w:val="00B6680F"/>
    <w:rsid w:val="00B67787"/>
    <w:rsid w:val="00B71E0A"/>
    <w:rsid w:val="00B73237"/>
    <w:rsid w:val="00B73B0A"/>
    <w:rsid w:val="00B765CC"/>
    <w:rsid w:val="00B7663E"/>
    <w:rsid w:val="00B76989"/>
    <w:rsid w:val="00B81A18"/>
    <w:rsid w:val="00B81D83"/>
    <w:rsid w:val="00B82E5C"/>
    <w:rsid w:val="00B865FC"/>
    <w:rsid w:val="00B9034F"/>
    <w:rsid w:val="00B90886"/>
    <w:rsid w:val="00B927F3"/>
    <w:rsid w:val="00B947B6"/>
    <w:rsid w:val="00B9664D"/>
    <w:rsid w:val="00BA1388"/>
    <w:rsid w:val="00BA5F81"/>
    <w:rsid w:val="00BB07B8"/>
    <w:rsid w:val="00BB143B"/>
    <w:rsid w:val="00BB4D54"/>
    <w:rsid w:val="00BB70C6"/>
    <w:rsid w:val="00BC0299"/>
    <w:rsid w:val="00BC0F1E"/>
    <w:rsid w:val="00BC1734"/>
    <w:rsid w:val="00BC4D53"/>
    <w:rsid w:val="00BD1E5B"/>
    <w:rsid w:val="00BD42E4"/>
    <w:rsid w:val="00BE15CC"/>
    <w:rsid w:val="00BE2059"/>
    <w:rsid w:val="00BE5FDD"/>
    <w:rsid w:val="00BF493F"/>
    <w:rsid w:val="00BF5459"/>
    <w:rsid w:val="00BF7B20"/>
    <w:rsid w:val="00C006E3"/>
    <w:rsid w:val="00C0721C"/>
    <w:rsid w:val="00C13C59"/>
    <w:rsid w:val="00C15C16"/>
    <w:rsid w:val="00C15D2B"/>
    <w:rsid w:val="00C23003"/>
    <w:rsid w:val="00C23E5A"/>
    <w:rsid w:val="00C247DB"/>
    <w:rsid w:val="00C27E48"/>
    <w:rsid w:val="00C32A6D"/>
    <w:rsid w:val="00C338B3"/>
    <w:rsid w:val="00C34E62"/>
    <w:rsid w:val="00C36EA6"/>
    <w:rsid w:val="00C40F04"/>
    <w:rsid w:val="00C42624"/>
    <w:rsid w:val="00C43B23"/>
    <w:rsid w:val="00C45BD6"/>
    <w:rsid w:val="00C50BF9"/>
    <w:rsid w:val="00C56E28"/>
    <w:rsid w:val="00C57F67"/>
    <w:rsid w:val="00C615CB"/>
    <w:rsid w:val="00C61A0E"/>
    <w:rsid w:val="00C6402F"/>
    <w:rsid w:val="00C67117"/>
    <w:rsid w:val="00C67365"/>
    <w:rsid w:val="00C77BDF"/>
    <w:rsid w:val="00C802CC"/>
    <w:rsid w:val="00C80FEB"/>
    <w:rsid w:val="00C81D16"/>
    <w:rsid w:val="00C83583"/>
    <w:rsid w:val="00C83916"/>
    <w:rsid w:val="00C83ED7"/>
    <w:rsid w:val="00C85965"/>
    <w:rsid w:val="00C859FE"/>
    <w:rsid w:val="00C87BD2"/>
    <w:rsid w:val="00C87FE0"/>
    <w:rsid w:val="00C954DA"/>
    <w:rsid w:val="00C97087"/>
    <w:rsid w:val="00CA245D"/>
    <w:rsid w:val="00CA34D9"/>
    <w:rsid w:val="00CA3DA5"/>
    <w:rsid w:val="00CA3EB9"/>
    <w:rsid w:val="00CA6C30"/>
    <w:rsid w:val="00CB00E9"/>
    <w:rsid w:val="00CB4057"/>
    <w:rsid w:val="00CB44FE"/>
    <w:rsid w:val="00CB4D14"/>
    <w:rsid w:val="00CB66E1"/>
    <w:rsid w:val="00CB6BD3"/>
    <w:rsid w:val="00CB7287"/>
    <w:rsid w:val="00CC4B4E"/>
    <w:rsid w:val="00CC6830"/>
    <w:rsid w:val="00CD07B0"/>
    <w:rsid w:val="00CD1607"/>
    <w:rsid w:val="00CD29CA"/>
    <w:rsid w:val="00CD5ABF"/>
    <w:rsid w:val="00CD640B"/>
    <w:rsid w:val="00CD7109"/>
    <w:rsid w:val="00CE572B"/>
    <w:rsid w:val="00CF084E"/>
    <w:rsid w:val="00CF21FC"/>
    <w:rsid w:val="00CF2D5A"/>
    <w:rsid w:val="00CF3FD1"/>
    <w:rsid w:val="00D0096A"/>
    <w:rsid w:val="00D0162D"/>
    <w:rsid w:val="00D0675D"/>
    <w:rsid w:val="00D200B7"/>
    <w:rsid w:val="00D2085D"/>
    <w:rsid w:val="00D209B8"/>
    <w:rsid w:val="00D20D5E"/>
    <w:rsid w:val="00D24B7E"/>
    <w:rsid w:val="00D25140"/>
    <w:rsid w:val="00D2557D"/>
    <w:rsid w:val="00D259E8"/>
    <w:rsid w:val="00D25EAC"/>
    <w:rsid w:val="00D26B19"/>
    <w:rsid w:val="00D30959"/>
    <w:rsid w:val="00D316D2"/>
    <w:rsid w:val="00D3333C"/>
    <w:rsid w:val="00D36B07"/>
    <w:rsid w:val="00D36CCC"/>
    <w:rsid w:val="00D36CE8"/>
    <w:rsid w:val="00D40DBD"/>
    <w:rsid w:val="00D41980"/>
    <w:rsid w:val="00D43FF0"/>
    <w:rsid w:val="00D44049"/>
    <w:rsid w:val="00D50169"/>
    <w:rsid w:val="00D52861"/>
    <w:rsid w:val="00D617D8"/>
    <w:rsid w:val="00D639F5"/>
    <w:rsid w:val="00D652B5"/>
    <w:rsid w:val="00D65BED"/>
    <w:rsid w:val="00D65EE4"/>
    <w:rsid w:val="00D67999"/>
    <w:rsid w:val="00D72E8B"/>
    <w:rsid w:val="00D756A1"/>
    <w:rsid w:val="00D811E1"/>
    <w:rsid w:val="00D81202"/>
    <w:rsid w:val="00D81754"/>
    <w:rsid w:val="00D81B9A"/>
    <w:rsid w:val="00D830C9"/>
    <w:rsid w:val="00D87161"/>
    <w:rsid w:val="00D9024B"/>
    <w:rsid w:val="00D90EC2"/>
    <w:rsid w:val="00D9373F"/>
    <w:rsid w:val="00D95889"/>
    <w:rsid w:val="00DA024D"/>
    <w:rsid w:val="00DA5159"/>
    <w:rsid w:val="00DB183F"/>
    <w:rsid w:val="00DB1C5F"/>
    <w:rsid w:val="00DB36B7"/>
    <w:rsid w:val="00DB637D"/>
    <w:rsid w:val="00DB7A2D"/>
    <w:rsid w:val="00DC1E64"/>
    <w:rsid w:val="00DC1FED"/>
    <w:rsid w:val="00DC30CE"/>
    <w:rsid w:val="00DC38A3"/>
    <w:rsid w:val="00DD1503"/>
    <w:rsid w:val="00DD438F"/>
    <w:rsid w:val="00DD6AA8"/>
    <w:rsid w:val="00DE14F3"/>
    <w:rsid w:val="00DE7AB9"/>
    <w:rsid w:val="00DF2049"/>
    <w:rsid w:val="00DF37E1"/>
    <w:rsid w:val="00E053F2"/>
    <w:rsid w:val="00E06BDB"/>
    <w:rsid w:val="00E06E52"/>
    <w:rsid w:val="00E06FCE"/>
    <w:rsid w:val="00E10F85"/>
    <w:rsid w:val="00E12A96"/>
    <w:rsid w:val="00E13E9B"/>
    <w:rsid w:val="00E1517C"/>
    <w:rsid w:val="00E15A06"/>
    <w:rsid w:val="00E15ED0"/>
    <w:rsid w:val="00E165DD"/>
    <w:rsid w:val="00E17B39"/>
    <w:rsid w:val="00E221F5"/>
    <w:rsid w:val="00E31787"/>
    <w:rsid w:val="00E33E0E"/>
    <w:rsid w:val="00E36CFF"/>
    <w:rsid w:val="00E40483"/>
    <w:rsid w:val="00E4493C"/>
    <w:rsid w:val="00E45BED"/>
    <w:rsid w:val="00E46240"/>
    <w:rsid w:val="00E50A85"/>
    <w:rsid w:val="00E50A94"/>
    <w:rsid w:val="00E520F6"/>
    <w:rsid w:val="00E57497"/>
    <w:rsid w:val="00E60767"/>
    <w:rsid w:val="00E60C74"/>
    <w:rsid w:val="00E63B98"/>
    <w:rsid w:val="00E63F98"/>
    <w:rsid w:val="00E64603"/>
    <w:rsid w:val="00E65E3E"/>
    <w:rsid w:val="00E6636E"/>
    <w:rsid w:val="00E74E1A"/>
    <w:rsid w:val="00E7519A"/>
    <w:rsid w:val="00E833E2"/>
    <w:rsid w:val="00E838C9"/>
    <w:rsid w:val="00E87C89"/>
    <w:rsid w:val="00E92A97"/>
    <w:rsid w:val="00E96D33"/>
    <w:rsid w:val="00EA1E41"/>
    <w:rsid w:val="00EA2CC9"/>
    <w:rsid w:val="00EA77FF"/>
    <w:rsid w:val="00EC2992"/>
    <w:rsid w:val="00EC34AD"/>
    <w:rsid w:val="00EC3F0B"/>
    <w:rsid w:val="00EC59BC"/>
    <w:rsid w:val="00ED3CC6"/>
    <w:rsid w:val="00ED5638"/>
    <w:rsid w:val="00ED661F"/>
    <w:rsid w:val="00ED7FEA"/>
    <w:rsid w:val="00EE05D5"/>
    <w:rsid w:val="00EE2C79"/>
    <w:rsid w:val="00EE339F"/>
    <w:rsid w:val="00EE40FA"/>
    <w:rsid w:val="00EE7022"/>
    <w:rsid w:val="00EE72D9"/>
    <w:rsid w:val="00EF293A"/>
    <w:rsid w:val="00EF603D"/>
    <w:rsid w:val="00F05803"/>
    <w:rsid w:val="00F078A9"/>
    <w:rsid w:val="00F12A51"/>
    <w:rsid w:val="00F12C46"/>
    <w:rsid w:val="00F13519"/>
    <w:rsid w:val="00F14AD3"/>
    <w:rsid w:val="00F2519E"/>
    <w:rsid w:val="00F34218"/>
    <w:rsid w:val="00F34B76"/>
    <w:rsid w:val="00F41A32"/>
    <w:rsid w:val="00F507D2"/>
    <w:rsid w:val="00F50C7B"/>
    <w:rsid w:val="00F55F24"/>
    <w:rsid w:val="00F57B92"/>
    <w:rsid w:val="00F61CF8"/>
    <w:rsid w:val="00F6332A"/>
    <w:rsid w:val="00F650CF"/>
    <w:rsid w:val="00F65CAF"/>
    <w:rsid w:val="00F67852"/>
    <w:rsid w:val="00F72CE9"/>
    <w:rsid w:val="00F72F4E"/>
    <w:rsid w:val="00F75DED"/>
    <w:rsid w:val="00F80AA5"/>
    <w:rsid w:val="00F80E23"/>
    <w:rsid w:val="00F82756"/>
    <w:rsid w:val="00F8643B"/>
    <w:rsid w:val="00F870FE"/>
    <w:rsid w:val="00F872A6"/>
    <w:rsid w:val="00F87DC7"/>
    <w:rsid w:val="00F9007C"/>
    <w:rsid w:val="00F907CC"/>
    <w:rsid w:val="00F921C2"/>
    <w:rsid w:val="00F92E34"/>
    <w:rsid w:val="00F9467F"/>
    <w:rsid w:val="00F96201"/>
    <w:rsid w:val="00FA20BC"/>
    <w:rsid w:val="00FA5415"/>
    <w:rsid w:val="00FA75CA"/>
    <w:rsid w:val="00FB134C"/>
    <w:rsid w:val="00FB3AAF"/>
    <w:rsid w:val="00FB438C"/>
    <w:rsid w:val="00FB5E31"/>
    <w:rsid w:val="00FC4B5A"/>
    <w:rsid w:val="00FC5255"/>
    <w:rsid w:val="00FC601A"/>
    <w:rsid w:val="00FC6172"/>
    <w:rsid w:val="00FD1A77"/>
    <w:rsid w:val="00FD2013"/>
    <w:rsid w:val="00FE511A"/>
    <w:rsid w:val="00FF0229"/>
    <w:rsid w:val="00FF02E6"/>
    <w:rsid w:val="00FF19C3"/>
    <w:rsid w:val="00FF4BEC"/>
    <w:rsid w:val="00FF5E44"/>
    <w:rsid w:val="00FF5FEC"/>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05AD"/>
  <w15:chartTrackingRefBased/>
  <w15:docId w15:val="{1C2BC120-D13E-4C8B-9855-46A2FB15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C1F"/>
    <w:pPr>
      <w:ind w:left="720"/>
      <w:contextualSpacing/>
    </w:pPr>
  </w:style>
  <w:style w:type="paragraph" w:styleId="FootnoteText">
    <w:name w:val="footnote text"/>
    <w:basedOn w:val="Normal"/>
    <w:link w:val="FootnoteTextChar"/>
    <w:uiPriority w:val="99"/>
    <w:unhideWhenUsed/>
    <w:rsid w:val="001222BC"/>
    <w:pPr>
      <w:spacing w:line="240" w:lineRule="auto"/>
    </w:pPr>
    <w:rPr>
      <w:sz w:val="20"/>
      <w:szCs w:val="20"/>
    </w:rPr>
  </w:style>
  <w:style w:type="character" w:customStyle="1" w:styleId="FootnoteTextChar">
    <w:name w:val="Footnote Text Char"/>
    <w:basedOn w:val="DefaultParagraphFont"/>
    <w:link w:val="FootnoteText"/>
    <w:uiPriority w:val="99"/>
    <w:rsid w:val="001222BC"/>
    <w:rPr>
      <w:sz w:val="20"/>
      <w:szCs w:val="20"/>
    </w:rPr>
  </w:style>
  <w:style w:type="character" w:styleId="FootnoteReference">
    <w:name w:val="footnote reference"/>
    <w:basedOn w:val="DefaultParagraphFont"/>
    <w:uiPriority w:val="99"/>
    <w:semiHidden/>
    <w:unhideWhenUsed/>
    <w:rsid w:val="001222BC"/>
    <w:rPr>
      <w:vertAlign w:val="superscript"/>
    </w:rPr>
  </w:style>
  <w:style w:type="table" w:styleId="TableGrid">
    <w:name w:val="Table Grid"/>
    <w:basedOn w:val="TableNormal"/>
    <w:uiPriority w:val="39"/>
    <w:rsid w:val="001222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0BA2"/>
    <w:rPr>
      <w:sz w:val="16"/>
      <w:szCs w:val="16"/>
    </w:rPr>
  </w:style>
  <w:style w:type="paragraph" w:styleId="CommentText">
    <w:name w:val="annotation text"/>
    <w:basedOn w:val="Normal"/>
    <w:link w:val="CommentTextChar"/>
    <w:uiPriority w:val="99"/>
    <w:semiHidden/>
    <w:unhideWhenUsed/>
    <w:rsid w:val="002E0BA2"/>
    <w:pPr>
      <w:spacing w:line="240" w:lineRule="auto"/>
    </w:pPr>
    <w:rPr>
      <w:sz w:val="20"/>
      <w:szCs w:val="20"/>
    </w:rPr>
  </w:style>
  <w:style w:type="character" w:customStyle="1" w:styleId="CommentTextChar">
    <w:name w:val="Comment Text Char"/>
    <w:basedOn w:val="DefaultParagraphFont"/>
    <w:link w:val="CommentText"/>
    <w:uiPriority w:val="99"/>
    <w:semiHidden/>
    <w:rsid w:val="002E0BA2"/>
    <w:rPr>
      <w:sz w:val="20"/>
      <w:szCs w:val="20"/>
    </w:rPr>
  </w:style>
  <w:style w:type="paragraph" w:styleId="CommentSubject">
    <w:name w:val="annotation subject"/>
    <w:basedOn w:val="CommentText"/>
    <w:next w:val="CommentText"/>
    <w:link w:val="CommentSubjectChar"/>
    <w:uiPriority w:val="99"/>
    <w:semiHidden/>
    <w:unhideWhenUsed/>
    <w:rsid w:val="002E0BA2"/>
    <w:rPr>
      <w:b/>
      <w:bCs/>
    </w:rPr>
  </w:style>
  <w:style w:type="character" w:customStyle="1" w:styleId="CommentSubjectChar">
    <w:name w:val="Comment Subject Char"/>
    <w:basedOn w:val="CommentTextChar"/>
    <w:link w:val="CommentSubject"/>
    <w:uiPriority w:val="99"/>
    <w:semiHidden/>
    <w:rsid w:val="002E0BA2"/>
    <w:rPr>
      <w:b/>
      <w:bCs/>
      <w:sz w:val="20"/>
      <w:szCs w:val="20"/>
    </w:rPr>
  </w:style>
  <w:style w:type="paragraph" w:styleId="BalloonText">
    <w:name w:val="Balloon Text"/>
    <w:basedOn w:val="Normal"/>
    <w:link w:val="BalloonTextChar"/>
    <w:uiPriority w:val="99"/>
    <w:semiHidden/>
    <w:unhideWhenUsed/>
    <w:rsid w:val="002E0B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BA2"/>
    <w:rPr>
      <w:rFonts w:ascii="Segoe UI" w:hAnsi="Segoe UI" w:cs="Segoe UI"/>
      <w:sz w:val="18"/>
      <w:szCs w:val="18"/>
    </w:rPr>
  </w:style>
  <w:style w:type="paragraph" w:styleId="NormalWeb">
    <w:name w:val="Normal (Web)"/>
    <w:basedOn w:val="Normal"/>
    <w:uiPriority w:val="99"/>
    <w:semiHidden/>
    <w:unhideWhenUsed/>
    <w:rsid w:val="000714A6"/>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uiPriority w:val="1"/>
    <w:qFormat/>
    <w:rsid w:val="003D4EF2"/>
    <w:pPr>
      <w:spacing w:line="240" w:lineRule="auto"/>
    </w:pPr>
  </w:style>
  <w:style w:type="paragraph" w:customStyle="1" w:styleId="Default">
    <w:name w:val="Default"/>
    <w:rsid w:val="00191572"/>
    <w:pPr>
      <w:autoSpaceDE w:val="0"/>
      <w:autoSpaceDN w:val="0"/>
      <w:adjustRightInd w:val="0"/>
      <w:spacing w:line="240" w:lineRule="auto"/>
    </w:pPr>
    <w:rPr>
      <w:rFonts w:cs="Garamond"/>
      <w:color w:val="000000"/>
      <w:szCs w:val="24"/>
    </w:rPr>
  </w:style>
  <w:style w:type="paragraph" w:styleId="Header">
    <w:name w:val="header"/>
    <w:basedOn w:val="Normal"/>
    <w:link w:val="HeaderChar"/>
    <w:uiPriority w:val="99"/>
    <w:unhideWhenUsed/>
    <w:rsid w:val="00693A6A"/>
    <w:pPr>
      <w:tabs>
        <w:tab w:val="center" w:pos="4680"/>
        <w:tab w:val="right" w:pos="9360"/>
      </w:tabs>
      <w:spacing w:line="240" w:lineRule="auto"/>
    </w:pPr>
  </w:style>
  <w:style w:type="character" w:customStyle="1" w:styleId="HeaderChar">
    <w:name w:val="Header Char"/>
    <w:basedOn w:val="DefaultParagraphFont"/>
    <w:link w:val="Header"/>
    <w:uiPriority w:val="99"/>
    <w:rsid w:val="00693A6A"/>
  </w:style>
  <w:style w:type="paragraph" w:styleId="Footer">
    <w:name w:val="footer"/>
    <w:basedOn w:val="Normal"/>
    <w:link w:val="FooterChar"/>
    <w:uiPriority w:val="99"/>
    <w:unhideWhenUsed/>
    <w:rsid w:val="00693A6A"/>
    <w:pPr>
      <w:tabs>
        <w:tab w:val="center" w:pos="4680"/>
        <w:tab w:val="right" w:pos="9360"/>
      </w:tabs>
      <w:spacing w:line="240" w:lineRule="auto"/>
    </w:pPr>
  </w:style>
  <w:style w:type="character" w:customStyle="1" w:styleId="FooterChar">
    <w:name w:val="Footer Char"/>
    <w:basedOn w:val="DefaultParagraphFont"/>
    <w:link w:val="Footer"/>
    <w:uiPriority w:val="99"/>
    <w:rsid w:val="00693A6A"/>
  </w:style>
  <w:style w:type="character" w:styleId="Emphasis">
    <w:name w:val="Emphasis"/>
    <w:basedOn w:val="DefaultParagraphFont"/>
    <w:uiPriority w:val="20"/>
    <w:qFormat/>
    <w:rsid w:val="00F8643B"/>
    <w:rPr>
      <w:i/>
      <w:iCs/>
    </w:rPr>
  </w:style>
  <w:style w:type="character" w:styleId="Hyperlink">
    <w:name w:val="Hyperlink"/>
    <w:basedOn w:val="DefaultParagraphFont"/>
    <w:uiPriority w:val="99"/>
    <w:unhideWhenUsed/>
    <w:rsid w:val="00DB36B7"/>
    <w:rPr>
      <w:color w:val="0563C1" w:themeColor="hyperlink"/>
      <w:u w:val="single"/>
    </w:rPr>
  </w:style>
  <w:style w:type="character" w:styleId="UnresolvedMention">
    <w:name w:val="Unresolved Mention"/>
    <w:basedOn w:val="DefaultParagraphFont"/>
    <w:uiPriority w:val="99"/>
    <w:semiHidden/>
    <w:unhideWhenUsed/>
    <w:rsid w:val="00235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581239">
      <w:bodyDiv w:val="1"/>
      <w:marLeft w:val="0"/>
      <w:marRight w:val="0"/>
      <w:marTop w:val="0"/>
      <w:marBottom w:val="0"/>
      <w:divBdr>
        <w:top w:val="none" w:sz="0" w:space="0" w:color="auto"/>
        <w:left w:val="none" w:sz="0" w:space="0" w:color="auto"/>
        <w:bottom w:val="none" w:sz="0" w:space="0" w:color="auto"/>
        <w:right w:val="none" w:sz="0" w:space="0" w:color="auto"/>
      </w:divBdr>
    </w:div>
    <w:div w:id="563224219">
      <w:bodyDiv w:val="1"/>
      <w:marLeft w:val="0"/>
      <w:marRight w:val="0"/>
      <w:marTop w:val="0"/>
      <w:marBottom w:val="0"/>
      <w:divBdr>
        <w:top w:val="none" w:sz="0" w:space="0" w:color="auto"/>
        <w:left w:val="none" w:sz="0" w:space="0" w:color="auto"/>
        <w:bottom w:val="none" w:sz="0" w:space="0" w:color="auto"/>
        <w:right w:val="none" w:sz="0" w:space="0" w:color="auto"/>
      </w:divBdr>
    </w:div>
    <w:div w:id="101811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philosophy/article/abs/philosophical-speech-acts/65448CF004F469688759B8FB063D37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765C9-13A2-41F1-A90B-5FFA326D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33920</TotalTime>
  <Pages>17</Pages>
  <Words>8938</Words>
  <Characters>50948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Shields</dc:creator>
  <cp:keywords/>
  <dc:description/>
  <cp:lastModifiedBy>Matthew Shields</cp:lastModifiedBy>
  <cp:revision>917</cp:revision>
  <dcterms:created xsi:type="dcterms:W3CDTF">2019-06-07T00:12:00Z</dcterms:created>
  <dcterms:modified xsi:type="dcterms:W3CDTF">2021-09-16T14:37:00Z</dcterms:modified>
</cp:coreProperties>
</file>