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6BD0C" w14:textId="77777777" w:rsidR="0029555A" w:rsidRPr="00492EE5" w:rsidRDefault="0029555A" w:rsidP="00F47368">
      <w:pPr>
        <w:spacing w:line="480" w:lineRule="auto"/>
        <w:jc w:val="both"/>
        <w:rPr>
          <w:rFonts w:ascii="Georgia" w:hAnsi="Georgia"/>
          <w:sz w:val="20"/>
          <w:szCs w:val="20"/>
        </w:rPr>
      </w:pPr>
    </w:p>
    <w:p w14:paraId="691F4754" w14:textId="77777777" w:rsidR="00545C20" w:rsidRPr="003D3660" w:rsidRDefault="00545C20" w:rsidP="00F47368">
      <w:pPr>
        <w:spacing w:line="480" w:lineRule="auto"/>
        <w:jc w:val="both"/>
        <w:rPr>
          <w:rFonts w:ascii="Georgia" w:hAnsi="Georgia"/>
          <w:sz w:val="28"/>
          <w:szCs w:val="28"/>
        </w:rPr>
      </w:pPr>
    </w:p>
    <w:p w14:paraId="700056C7" w14:textId="39A22BC3" w:rsidR="00545C20" w:rsidRPr="003D3660" w:rsidRDefault="00162F2B" w:rsidP="00F47368">
      <w:pPr>
        <w:spacing w:line="480" w:lineRule="auto"/>
        <w:jc w:val="center"/>
        <w:rPr>
          <w:rFonts w:ascii="Georgia" w:hAnsi="Georgia"/>
          <w:sz w:val="28"/>
          <w:szCs w:val="28"/>
        </w:rPr>
      </w:pPr>
      <w:r w:rsidRPr="003D3660">
        <w:rPr>
          <w:rFonts w:ascii="Georgia" w:hAnsi="Georgia"/>
          <w:sz w:val="28"/>
          <w:szCs w:val="28"/>
        </w:rPr>
        <w:t>Knowledge Still Comes First</w:t>
      </w:r>
    </w:p>
    <w:p w14:paraId="1EAB71FD" w14:textId="3EE79783" w:rsidR="008F1B57" w:rsidRPr="00492EE5" w:rsidRDefault="00F767F6" w:rsidP="00F47368">
      <w:pPr>
        <w:spacing w:line="480" w:lineRule="auto"/>
        <w:jc w:val="center"/>
        <w:rPr>
          <w:rFonts w:ascii="Georgia" w:hAnsi="Georgia"/>
          <w:sz w:val="20"/>
          <w:szCs w:val="20"/>
        </w:rPr>
      </w:pPr>
      <w:r>
        <w:rPr>
          <w:rFonts w:ascii="Georgia" w:hAnsi="Georgia"/>
          <w:sz w:val="20"/>
          <w:szCs w:val="20"/>
        </w:rPr>
        <w:t>Mona Simion</w:t>
      </w:r>
    </w:p>
    <w:p w14:paraId="6EF49296" w14:textId="77777777" w:rsidR="003D3660" w:rsidRPr="003D3660" w:rsidRDefault="003D3660" w:rsidP="003D3660">
      <w:pPr>
        <w:pStyle w:val="Heading1"/>
        <w:spacing w:before="0"/>
        <w:rPr>
          <w:rFonts w:ascii="Georgia" w:hAnsi="Georgia" w:cs="Open Sans"/>
          <w:color w:val="555555"/>
          <w:sz w:val="20"/>
          <w:szCs w:val="20"/>
        </w:rPr>
      </w:pPr>
      <w:r w:rsidRPr="003D3660">
        <w:rPr>
          <w:rFonts w:ascii="Georgia" w:hAnsi="Georgia" w:cs="Segoe UI"/>
          <w:color w:val="242424"/>
          <w:sz w:val="20"/>
          <w:szCs w:val="20"/>
          <w:shd w:val="clear" w:color="auto" w:fill="FFFFFF"/>
        </w:rPr>
        <w:t xml:space="preserve">For </w:t>
      </w:r>
      <w:r w:rsidRPr="003D3660">
        <w:rPr>
          <w:rFonts w:ascii="Georgia" w:hAnsi="Georgia" w:cs="Open Sans"/>
          <w:i/>
          <w:iCs/>
          <w:color w:val="555555"/>
          <w:sz w:val="20"/>
          <w:szCs w:val="20"/>
        </w:rPr>
        <w:t>Contemporary Debates in Epistemology</w:t>
      </w:r>
      <w:r w:rsidRPr="003D3660">
        <w:rPr>
          <w:rFonts w:ascii="Georgia" w:hAnsi="Georgia" w:cs="Open Sans"/>
          <w:color w:val="555555"/>
          <w:sz w:val="20"/>
          <w:szCs w:val="20"/>
        </w:rPr>
        <w:t xml:space="preserve">, 3rd edition, eds. Ernest Sosa, Matthias </w:t>
      </w:r>
      <w:proofErr w:type="spellStart"/>
      <w:r w:rsidRPr="003D3660">
        <w:rPr>
          <w:rFonts w:ascii="Georgia" w:hAnsi="Georgia" w:cs="Open Sans"/>
          <w:color w:val="555555"/>
          <w:sz w:val="20"/>
          <w:szCs w:val="20"/>
        </w:rPr>
        <w:t>Steup</w:t>
      </w:r>
      <w:proofErr w:type="spellEnd"/>
      <w:r w:rsidRPr="003D3660">
        <w:rPr>
          <w:rFonts w:ascii="Georgia" w:hAnsi="Georgia" w:cs="Open Sans"/>
          <w:color w:val="555555"/>
          <w:sz w:val="20"/>
          <w:szCs w:val="20"/>
        </w:rPr>
        <w:t xml:space="preserve">, John </w:t>
      </w:r>
      <w:proofErr w:type="spellStart"/>
      <w:r w:rsidRPr="003D3660">
        <w:rPr>
          <w:rFonts w:ascii="Georgia" w:hAnsi="Georgia" w:cs="Open Sans"/>
          <w:color w:val="555555"/>
          <w:sz w:val="20"/>
          <w:szCs w:val="20"/>
        </w:rPr>
        <w:t>Turri</w:t>
      </w:r>
      <w:proofErr w:type="spellEnd"/>
      <w:r w:rsidRPr="003D3660">
        <w:rPr>
          <w:rFonts w:ascii="Georgia" w:hAnsi="Georgia" w:cs="Open Sans"/>
          <w:color w:val="555555"/>
          <w:sz w:val="20"/>
          <w:szCs w:val="20"/>
        </w:rPr>
        <w:t xml:space="preserve">, and Blake </w:t>
      </w:r>
      <w:proofErr w:type="spellStart"/>
      <w:r w:rsidRPr="003D3660">
        <w:rPr>
          <w:rFonts w:ascii="Georgia" w:hAnsi="Georgia" w:cs="Open Sans"/>
          <w:color w:val="555555"/>
          <w:sz w:val="20"/>
          <w:szCs w:val="20"/>
        </w:rPr>
        <w:t>Roeber</w:t>
      </w:r>
      <w:proofErr w:type="spellEnd"/>
      <w:r w:rsidRPr="003D3660">
        <w:rPr>
          <w:rFonts w:ascii="Georgia" w:hAnsi="Georgia" w:cs="Open Sans"/>
          <w:color w:val="555555"/>
          <w:sz w:val="20"/>
          <w:szCs w:val="20"/>
        </w:rPr>
        <w:t>, Wiley-Blackwell</w:t>
      </w:r>
    </w:p>
    <w:p w14:paraId="2BC6BA57" w14:textId="77777777" w:rsidR="008F1B57" w:rsidRPr="00492EE5" w:rsidRDefault="008F1B57" w:rsidP="00F47368">
      <w:pPr>
        <w:spacing w:line="480" w:lineRule="auto"/>
        <w:jc w:val="both"/>
        <w:rPr>
          <w:rFonts w:ascii="Georgia" w:hAnsi="Georgia"/>
          <w:sz w:val="20"/>
          <w:szCs w:val="20"/>
        </w:rPr>
      </w:pPr>
    </w:p>
    <w:p w14:paraId="01CB4CF7" w14:textId="3AB4946A" w:rsidR="00CF126A" w:rsidRDefault="00162F2B" w:rsidP="00F47368">
      <w:pPr>
        <w:spacing w:line="480" w:lineRule="auto"/>
        <w:jc w:val="both"/>
        <w:rPr>
          <w:rFonts w:ascii="Georgia" w:hAnsi="Georgia"/>
          <w:sz w:val="20"/>
          <w:szCs w:val="20"/>
        </w:rPr>
      </w:pPr>
      <w:r>
        <w:rPr>
          <w:rFonts w:ascii="Georgia" w:hAnsi="Georgia"/>
          <w:sz w:val="20"/>
          <w:szCs w:val="20"/>
        </w:rPr>
        <w:t xml:space="preserve">My argument in my ‘Knowledge Comes First’ to the conclusion that justification turns on knowledge crucially relies on my premise 5: the claim that belief formation systems </w:t>
      </w:r>
      <w:r w:rsidR="00821DDE">
        <w:rPr>
          <w:rFonts w:ascii="Georgia" w:hAnsi="Georgia"/>
          <w:sz w:val="20"/>
          <w:szCs w:val="20"/>
        </w:rPr>
        <w:t>successfully</w:t>
      </w:r>
      <w:r>
        <w:rPr>
          <w:rFonts w:ascii="Georgia" w:hAnsi="Georgia"/>
          <w:sz w:val="20"/>
          <w:szCs w:val="20"/>
        </w:rPr>
        <w:t xml:space="preserve"> represent if and only if they generate knowledge. </w:t>
      </w:r>
      <w:r w:rsidR="008E3E36">
        <w:rPr>
          <w:rFonts w:ascii="Georgia" w:hAnsi="Georgia"/>
          <w:sz w:val="20"/>
          <w:szCs w:val="20"/>
        </w:rPr>
        <w:t xml:space="preserve"> </w:t>
      </w:r>
      <w:r>
        <w:rPr>
          <w:rFonts w:ascii="Georgia" w:hAnsi="Georgia"/>
          <w:sz w:val="20"/>
          <w:szCs w:val="20"/>
        </w:rPr>
        <w:t xml:space="preserve">In his excellent paper, Aidan McGlynn makes several points against my argument in general, and my premise </w:t>
      </w:r>
      <w:proofErr w:type="gramStart"/>
      <w:r>
        <w:rPr>
          <w:rFonts w:ascii="Georgia" w:hAnsi="Georgia"/>
          <w:sz w:val="20"/>
          <w:szCs w:val="20"/>
        </w:rPr>
        <w:t>5 in particular</w:t>
      </w:r>
      <w:proofErr w:type="gramEnd"/>
      <w:r>
        <w:rPr>
          <w:rFonts w:ascii="Georgia" w:hAnsi="Georgia"/>
          <w:sz w:val="20"/>
          <w:szCs w:val="20"/>
        </w:rPr>
        <w:t>. A</w:t>
      </w:r>
      <w:r w:rsidR="00CF126A">
        <w:rPr>
          <w:rFonts w:ascii="Georgia" w:hAnsi="Georgia"/>
          <w:sz w:val="20"/>
          <w:szCs w:val="20"/>
        </w:rPr>
        <w:t>ddressing all of A</w:t>
      </w:r>
      <w:r>
        <w:rPr>
          <w:rFonts w:ascii="Georgia" w:hAnsi="Georgia"/>
          <w:sz w:val="20"/>
          <w:szCs w:val="20"/>
        </w:rPr>
        <w:t>idan</w:t>
      </w:r>
      <w:r w:rsidR="00CF126A">
        <w:rPr>
          <w:rFonts w:ascii="Georgia" w:hAnsi="Georgia"/>
          <w:sz w:val="20"/>
          <w:szCs w:val="20"/>
        </w:rPr>
        <w:t xml:space="preserve">’s sharp points is not achievable in the space I have left; for this reason, I will focus on what I take to be </w:t>
      </w:r>
      <w:r w:rsidR="00803D17">
        <w:rPr>
          <w:rFonts w:ascii="Georgia" w:hAnsi="Georgia"/>
          <w:sz w:val="20"/>
          <w:szCs w:val="20"/>
        </w:rPr>
        <w:t>his</w:t>
      </w:r>
      <w:r w:rsidR="00CF126A">
        <w:rPr>
          <w:rFonts w:ascii="Georgia" w:hAnsi="Georgia"/>
          <w:sz w:val="20"/>
          <w:szCs w:val="20"/>
        </w:rPr>
        <w:t xml:space="preserve"> main worry</w:t>
      </w:r>
      <w:r w:rsidR="00803D17">
        <w:rPr>
          <w:rFonts w:ascii="Georgia" w:hAnsi="Georgia"/>
          <w:sz w:val="20"/>
          <w:szCs w:val="20"/>
        </w:rPr>
        <w:t>.</w:t>
      </w:r>
    </w:p>
    <w:p w14:paraId="540CE97D" w14:textId="77777777" w:rsidR="00CF126A" w:rsidRDefault="00CF126A" w:rsidP="00CF126A">
      <w:pPr>
        <w:spacing w:line="480" w:lineRule="auto"/>
        <w:ind w:firstLine="720"/>
        <w:jc w:val="both"/>
        <w:rPr>
          <w:rFonts w:ascii="Georgia" w:hAnsi="Georgia"/>
          <w:sz w:val="20"/>
          <w:szCs w:val="20"/>
        </w:rPr>
      </w:pPr>
      <w:r>
        <w:rPr>
          <w:rFonts w:ascii="Georgia" w:hAnsi="Georgia"/>
          <w:sz w:val="20"/>
          <w:szCs w:val="20"/>
        </w:rPr>
        <w:t xml:space="preserve">In arguing in favour of 5, I, among other things, put forth an analogy between knowledge and successful representation: both, I argue, are incompatible with intervening luck. Chisholm’s perceiver of a sheep in the field doesn’t know there’s a sheep in the field. Similarly, a dancer that, as she dances, happens to be drawing a line in the sand that looks just like someone she knows does not thereby successfully represent that person. </w:t>
      </w:r>
    </w:p>
    <w:p w14:paraId="5E87580E" w14:textId="05FD5369" w:rsidR="006245E8" w:rsidRDefault="00CF126A" w:rsidP="00CF126A">
      <w:pPr>
        <w:spacing w:line="480" w:lineRule="auto"/>
        <w:ind w:firstLine="720"/>
        <w:jc w:val="both"/>
        <w:rPr>
          <w:rFonts w:ascii="Georgia" w:hAnsi="Georgia"/>
          <w:sz w:val="20"/>
          <w:szCs w:val="20"/>
        </w:rPr>
      </w:pPr>
      <w:r>
        <w:rPr>
          <w:rFonts w:ascii="Georgia" w:hAnsi="Georgia"/>
          <w:sz w:val="20"/>
          <w:szCs w:val="20"/>
        </w:rPr>
        <w:t xml:space="preserve">Aidan rightfully points out that more is needed for </w:t>
      </w:r>
      <w:r w:rsidR="006245E8">
        <w:rPr>
          <w:rFonts w:ascii="Georgia" w:hAnsi="Georgia"/>
          <w:sz w:val="20"/>
          <w:szCs w:val="20"/>
        </w:rPr>
        <w:t xml:space="preserve">this analogy to do the needed work: after all, knowledge, many think, is also incompatible with </w:t>
      </w:r>
      <w:r w:rsidR="00DC6606">
        <w:rPr>
          <w:rFonts w:ascii="Georgia" w:hAnsi="Georgia"/>
          <w:sz w:val="20"/>
          <w:szCs w:val="20"/>
        </w:rPr>
        <w:t>environmental (or circumstantial)</w:t>
      </w:r>
      <w:r w:rsidR="006245E8">
        <w:rPr>
          <w:rFonts w:ascii="Georgia" w:hAnsi="Georgia"/>
          <w:sz w:val="20"/>
          <w:szCs w:val="20"/>
        </w:rPr>
        <w:t xml:space="preserve"> luck. In contrast, though, </w:t>
      </w:r>
      <w:r w:rsidR="00803D17">
        <w:rPr>
          <w:rFonts w:ascii="Georgia" w:hAnsi="Georgia"/>
          <w:sz w:val="20"/>
          <w:szCs w:val="20"/>
        </w:rPr>
        <w:t>one might think</w:t>
      </w:r>
      <w:r w:rsidR="006245E8">
        <w:rPr>
          <w:rFonts w:ascii="Georgia" w:hAnsi="Georgia"/>
          <w:sz w:val="20"/>
          <w:szCs w:val="20"/>
        </w:rPr>
        <w:t xml:space="preserve"> that Fake Barns cases are cases of successful barn representation.</w:t>
      </w:r>
    </w:p>
    <w:p w14:paraId="1E942221" w14:textId="1EBFA372" w:rsidR="008E3E36" w:rsidRDefault="008E3E36" w:rsidP="006245E8">
      <w:pPr>
        <w:spacing w:line="480" w:lineRule="auto"/>
        <w:ind w:firstLine="720"/>
        <w:jc w:val="both"/>
        <w:rPr>
          <w:rFonts w:ascii="Georgia" w:hAnsi="Georgia"/>
          <w:sz w:val="20"/>
          <w:szCs w:val="20"/>
        </w:rPr>
      </w:pPr>
      <w:r>
        <w:rPr>
          <w:rFonts w:ascii="Georgia" w:hAnsi="Georgia"/>
          <w:sz w:val="20"/>
          <w:szCs w:val="20"/>
        </w:rPr>
        <w:t xml:space="preserve">Here, </w:t>
      </w:r>
      <w:r w:rsidR="006245E8">
        <w:rPr>
          <w:rFonts w:ascii="Georgia" w:hAnsi="Georgia"/>
          <w:sz w:val="20"/>
          <w:szCs w:val="20"/>
        </w:rPr>
        <w:t>I aim to complete my analogy by arguing that there is no successful representation in Fake Barns cases</w:t>
      </w:r>
      <w:r w:rsidR="00821DDE">
        <w:rPr>
          <w:rFonts w:ascii="Georgia" w:hAnsi="Georgia"/>
          <w:sz w:val="20"/>
          <w:szCs w:val="20"/>
        </w:rPr>
        <w:t xml:space="preserve">, and thus that, just like knowledge, </w:t>
      </w:r>
      <w:r w:rsidR="005D6600">
        <w:rPr>
          <w:rFonts w:ascii="Georgia" w:hAnsi="Georgia"/>
          <w:sz w:val="20"/>
          <w:szCs w:val="20"/>
        </w:rPr>
        <w:t>successful</w:t>
      </w:r>
      <w:r w:rsidR="00821DDE">
        <w:rPr>
          <w:rFonts w:ascii="Georgia" w:hAnsi="Georgia"/>
          <w:sz w:val="20"/>
          <w:szCs w:val="20"/>
        </w:rPr>
        <w:t xml:space="preserve"> representation is incompatible with both intervening and environmental luck</w:t>
      </w:r>
      <w:r w:rsidR="006245E8">
        <w:rPr>
          <w:rFonts w:ascii="Georgia" w:hAnsi="Georgia"/>
          <w:sz w:val="20"/>
          <w:szCs w:val="20"/>
        </w:rPr>
        <w:t xml:space="preserve">. </w:t>
      </w:r>
      <w:r>
        <w:rPr>
          <w:rFonts w:ascii="Georgia" w:hAnsi="Georgia"/>
          <w:sz w:val="20"/>
          <w:szCs w:val="20"/>
        </w:rPr>
        <w:t xml:space="preserve">I argue </w:t>
      </w:r>
      <w:r w:rsidR="007F5FFE" w:rsidRPr="00492EE5">
        <w:rPr>
          <w:rFonts w:ascii="Georgia" w:hAnsi="Georgia"/>
          <w:sz w:val="20"/>
          <w:szCs w:val="20"/>
        </w:rPr>
        <w:t xml:space="preserve">that </w:t>
      </w:r>
      <w:r w:rsidR="007F5FFE">
        <w:rPr>
          <w:rFonts w:ascii="Georgia" w:hAnsi="Georgia"/>
          <w:sz w:val="20"/>
          <w:szCs w:val="20"/>
        </w:rPr>
        <w:t xml:space="preserve">the epistemological </w:t>
      </w:r>
      <w:r w:rsidR="007F5FFE">
        <w:rPr>
          <w:rFonts w:ascii="Georgia" w:hAnsi="Georgia"/>
          <w:sz w:val="20"/>
          <w:szCs w:val="20"/>
        </w:rPr>
        <w:lastRenderedPageBreak/>
        <w:t>significance of epistemic risk gives us</w:t>
      </w:r>
      <w:r>
        <w:rPr>
          <w:rFonts w:ascii="Georgia" w:hAnsi="Georgia"/>
          <w:sz w:val="20"/>
          <w:szCs w:val="20"/>
        </w:rPr>
        <w:t xml:space="preserve"> gives us strong reason to endorse a knowledge norm of belief.</w:t>
      </w:r>
      <w:r w:rsidR="00B83E70">
        <w:rPr>
          <w:rStyle w:val="FootnoteReference"/>
          <w:rFonts w:ascii="Georgia" w:hAnsi="Georgia"/>
          <w:sz w:val="20"/>
          <w:szCs w:val="20"/>
        </w:rPr>
        <w:footnoteReference w:id="1"/>
      </w:r>
      <w:r w:rsidR="006245E8">
        <w:rPr>
          <w:rFonts w:ascii="Georgia" w:hAnsi="Georgia"/>
          <w:sz w:val="20"/>
          <w:szCs w:val="20"/>
        </w:rPr>
        <w:t xml:space="preserve"> If that is true, and if, plausibly, a belief formation system only successfully represents when it forms good beliefs – i.e., beliefs that meet the norm of belief – it follows that Fake Barn cases are not cases of successful representation. If so, knowledge and successful representation go hand in hand, and premise 5 is vindicated. Here it goes:</w:t>
      </w:r>
    </w:p>
    <w:p w14:paraId="1BA92698" w14:textId="1513403D" w:rsidR="0029555A" w:rsidRPr="00492EE5" w:rsidRDefault="0029555A" w:rsidP="008E3E36">
      <w:pPr>
        <w:spacing w:line="480" w:lineRule="auto"/>
        <w:ind w:firstLine="720"/>
        <w:jc w:val="both"/>
        <w:rPr>
          <w:rFonts w:ascii="Georgia" w:hAnsi="Georgia"/>
          <w:sz w:val="20"/>
          <w:szCs w:val="20"/>
        </w:rPr>
      </w:pPr>
      <w:r w:rsidRPr="00492EE5">
        <w:rPr>
          <w:rFonts w:ascii="Georgia" w:hAnsi="Georgia"/>
          <w:sz w:val="20"/>
          <w:szCs w:val="20"/>
        </w:rPr>
        <w:t xml:space="preserve">There are three ways for some </w:t>
      </w:r>
      <w:r w:rsidRPr="00492EE5">
        <w:rPr>
          <w:rFonts w:ascii="Georgia" w:hAnsi="Georgia"/>
          <w:i/>
          <w:sz w:val="20"/>
          <w:szCs w:val="20"/>
        </w:rPr>
        <w:t>x</w:t>
      </w:r>
      <w:r w:rsidRPr="00492EE5">
        <w:rPr>
          <w:rFonts w:ascii="Georgia" w:hAnsi="Georgia"/>
          <w:sz w:val="20"/>
          <w:szCs w:val="20"/>
        </w:rPr>
        <w:t xml:space="preserve"> to be too </w:t>
      </w:r>
      <w:r w:rsidRPr="00492EE5">
        <w:rPr>
          <w:rFonts w:ascii="Georgia" w:hAnsi="Georgia"/>
          <w:i/>
          <w:sz w:val="20"/>
          <w:szCs w:val="20"/>
        </w:rPr>
        <w:t>y</w:t>
      </w:r>
      <w:r w:rsidRPr="00492EE5">
        <w:rPr>
          <w:rFonts w:ascii="Georgia" w:hAnsi="Georgia"/>
          <w:sz w:val="20"/>
          <w:szCs w:val="20"/>
        </w:rPr>
        <w:t xml:space="preserve">. First, it can be that </w:t>
      </w:r>
      <w:r w:rsidRPr="00492EE5">
        <w:rPr>
          <w:rFonts w:ascii="Georgia" w:hAnsi="Georgia"/>
          <w:i/>
          <w:sz w:val="20"/>
          <w:szCs w:val="20"/>
        </w:rPr>
        <w:t>x</w:t>
      </w:r>
      <w:r w:rsidRPr="00492EE5">
        <w:rPr>
          <w:rFonts w:ascii="Georgia" w:hAnsi="Georgia"/>
          <w:sz w:val="20"/>
          <w:szCs w:val="20"/>
        </w:rPr>
        <w:t xml:space="preserve"> is too </w:t>
      </w:r>
      <w:r w:rsidRPr="00492EE5">
        <w:rPr>
          <w:rFonts w:ascii="Georgia" w:hAnsi="Georgia"/>
          <w:i/>
          <w:sz w:val="20"/>
          <w:szCs w:val="20"/>
        </w:rPr>
        <w:t>y</w:t>
      </w:r>
      <w:r w:rsidRPr="00492EE5">
        <w:rPr>
          <w:rFonts w:ascii="Georgia" w:hAnsi="Georgia"/>
          <w:sz w:val="20"/>
          <w:szCs w:val="20"/>
        </w:rPr>
        <w:t xml:space="preserve"> for a particular purpose</w:t>
      </w:r>
      <w:r w:rsidR="00B02FA0" w:rsidRPr="00492EE5">
        <w:rPr>
          <w:rFonts w:ascii="Georgia" w:hAnsi="Georgia"/>
          <w:sz w:val="20"/>
          <w:szCs w:val="20"/>
        </w:rPr>
        <w:t xml:space="preserve"> present at a particular context</w:t>
      </w:r>
      <w:r w:rsidRPr="00492EE5">
        <w:rPr>
          <w:rFonts w:ascii="Georgia" w:hAnsi="Georgia"/>
          <w:sz w:val="20"/>
          <w:szCs w:val="20"/>
        </w:rPr>
        <w:t xml:space="preserve">; take a kitchen knife, for instance. Your regular kitchen knife is going to be too blunt for performing brain surgery with it. </w:t>
      </w:r>
      <w:r w:rsidR="00545C20" w:rsidRPr="00492EE5">
        <w:rPr>
          <w:rFonts w:ascii="Georgia" w:hAnsi="Georgia"/>
          <w:sz w:val="20"/>
          <w:szCs w:val="20"/>
        </w:rPr>
        <w:t>Conscientious surgeons will avoid using a kitchen knife to this aim</w:t>
      </w:r>
      <w:r w:rsidR="00F51B29" w:rsidRPr="00492EE5">
        <w:rPr>
          <w:rFonts w:ascii="Georgia" w:hAnsi="Georgia"/>
          <w:sz w:val="20"/>
          <w:szCs w:val="20"/>
        </w:rPr>
        <w:t>; if offered one, they would decline</w:t>
      </w:r>
      <w:r w:rsidR="00545C20" w:rsidRPr="00492EE5">
        <w:rPr>
          <w:rFonts w:ascii="Georgia" w:hAnsi="Georgia"/>
          <w:sz w:val="20"/>
          <w:szCs w:val="20"/>
        </w:rPr>
        <w:t xml:space="preserve">. </w:t>
      </w:r>
      <w:r w:rsidRPr="00492EE5">
        <w:rPr>
          <w:rFonts w:ascii="Georgia" w:hAnsi="Georgia"/>
          <w:sz w:val="20"/>
          <w:szCs w:val="20"/>
        </w:rPr>
        <w:t>While perfectly fine for all their common</w:t>
      </w:r>
      <w:r w:rsidR="00B02FA0" w:rsidRPr="00492EE5">
        <w:rPr>
          <w:rFonts w:ascii="Georgia" w:hAnsi="Georgia"/>
          <w:sz w:val="20"/>
          <w:szCs w:val="20"/>
        </w:rPr>
        <w:t>, kitchen-related</w:t>
      </w:r>
      <w:r w:rsidRPr="00492EE5">
        <w:rPr>
          <w:rFonts w:ascii="Georgia" w:hAnsi="Georgia"/>
          <w:sz w:val="20"/>
          <w:szCs w:val="20"/>
        </w:rPr>
        <w:t xml:space="preserve"> functions, kitchen kni</w:t>
      </w:r>
      <w:r w:rsidR="00B52AF5" w:rsidRPr="00492EE5">
        <w:rPr>
          <w:rFonts w:ascii="Georgia" w:hAnsi="Georgia"/>
          <w:sz w:val="20"/>
          <w:szCs w:val="20"/>
        </w:rPr>
        <w:t>v</w:t>
      </w:r>
      <w:r w:rsidRPr="00492EE5">
        <w:rPr>
          <w:rFonts w:ascii="Georgia" w:hAnsi="Georgia"/>
          <w:sz w:val="20"/>
          <w:szCs w:val="20"/>
        </w:rPr>
        <w:t xml:space="preserve">es tend to not score well on </w:t>
      </w:r>
      <w:r w:rsidR="009A72AE" w:rsidRPr="00492EE5">
        <w:rPr>
          <w:rFonts w:ascii="Georgia" w:hAnsi="Georgia"/>
          <w:sz w:val="20"/>
          <w:szCs w:val="20"/>
        </w:rPr>
        <w:t>sharpness</w:t>
      </w:r>
      <w:r w:rsidRPr="00492EE5">
        <w:rPr>
          <w:rFonts w:ascii="Georgia" w:hAnsi="Georgia"/>
          <w:sz w:val="20"/>
          <w:szCs w:val="20"/>
        </w:rPr>
        <w:t xml:space="preserve"> when in an </w:t>
      </w:r>
      <w:r w:rsidR="00BB663C" w:rsidRPr="00492EE5">
        <w:rPr>
          <w:rFonts w:ascii="Georgia" w:hAnsi="Georgia"/>
          <w:sz w:val="20"/>
          <w:szCs w:val="20"/>
        </w:rPr>
        <w:t>o</w:t>
      </w:r>
      <w:r w:rsidRPr="00492EE5">
        <w:rPr>
          <w:rFonts w:ascii="Georgia" w:hAnsi="Georgia"/>
          <w:sz w:val="20"/>
          <w:szCs w:val="20"/>
        </w:rPr>
        <w:t xml:space="preserve">perating </w:t>
      </w:r>
      <w:r w:rsidR="00BB663C" w:rsidRPr="00492EE5">
        <w:rPr>
          <w:rFonts w:ascii="Georgia" w:hAnsi="Georgia"/>
          <w:sz w:val="20"/>
          <w:szCs w:val="20"/>
        </w:rPr>
        <w:t>r</w:t>
      </w:r>
      <w:r w:rsidRPr="00492EE5">
        <w:rPr>
          <w:rFonts w:ascii="Georgia" w:hAnsi="Georgia"/>
          <w:sz w:val="20"/>
          <w:szCs w:val="20"/>
        </w:rPr>
        <w:t>oom.</w:t>
      </w:r>
    </w:p>
    <w:p w14:paraId="433A4A0B" w14:textId="0C492B4C" w:rsidR="0029555A" w:rsidRPr="00492EE5" w:rsidRDefault="00545C20" w:rsidP="00F47368">
      <w:pPr>
        <w:spacing w:line="480" w:lineRule="auto"/>
        <w:ind w:firstLine="720"/>
        <w:jc w:val="both"/>
        <w:rPr>
          <w:rFonts w:ascii="Georgia" w:hAnsi="Georgia"/>
          <w:sz w:val="20"/>
          <w:szCs w:val="20"/>
        </w:rPr>
      </w:pPr>
      <w:r w:rsidRPr="00492EE5">
        <w:rPr>
          <w:rFonts w:ascii="Georgia" w:hAnsi="Georgia"/>
          <w:sz w:val="20"/>
          <w:szCs w:val="20"/>
        </w:rPr>
        <w:t xml:space="preserve">When several purposes are salient at the context, something </w:t>
      </w:r>
      <w:r w:rsidRPr="00492EE5">
        <w:rPr>
          <w:rFonts w:ascii="Georgia" w:hAnsi="Georgia"/>
          <w:i/>
          <w:sz w:val="20"/>
          <w:szCs w:val="20"/>
        </w:rPr>
        <w:t>x</w:t>
      </w:r>
      <w:r w:rsidRPr="00492EE5">
        <w:rPr>
          <w:rFonts w:ascii="Georgia" w:hAnsi="Georgia"/>
          <w:sz w:val="20"/>
          <w:szCs w:val="20"/>
        </w:rPr>
        <w:t xml:space="preserve"> can bee too </w:t>
      </w:r>
      <w:r w:rsidRPr="00492EE5">
        <w:rPr>
          <w:rFonts w:ascii="Georgia" w:hAnsi="Georgia"/>
          <w:i/>
          <w:sz w:val="20"/>
          <w:szCs w:val="20"/>
        </w:rPr>
        <w:t>y</w:t>
      </w:r>
      <w:r w:rsidRPr="00492EE5">
        <w:rPr>
          <w:rFonts w:ascii="Georgia" w:hAnsi="Georgia"/>
          <w:sz w:val="20"/>
          <w:szCs w:val="20"/>
        </w:rPr>
        <w:t xml:space="preserve"> all-present-purposes-considered, while, at the same time, not too </w:t>
      </w:r>
      <w:r w:rsidRPr="00492EE5">
        <w:rPr>
          <w:rFonts w:ascii="Georgia" w:hAnsi="Georgia"/>
          <w:i/>
          <w:sz w:val="20"/>
          <w:szCs w:val="20"/>
        </w:rPr>
        <w:t>y</w:t>
      </w:r>
      <w:r w:rsidRPr="00492EE5">
        <w:rPr>
          <w:rFonts w:ascii="Georgia" w:hAnsi="Georgia"/>
          <w:sz w:val="20"/>
          <w:szCs w:val="20"/>
        </w:rPr>
        <w:t xml:space="preserve"> for some of them. For instance, in the example above, your regular kitchen knife will not be too blunt to spread butter on the surgeon’s toast, or to give the nurse a new haircut – assuming that such purposes would</w:t>
      </w:r>
      <w:r w:rsidR="000741F6" w:rsidRPr="00492EE5">
        <w:rPr>
          <w:rFonts w:ascii="Georgia" w:hAnsi="Georgia"/>
          <w:sz w:val="20"/>
          <w:szCs w:val="20"/>
        </w:rPr>
        <w:t>, strangely enough,</w:t>
      </w:r>
      <w:r w:rsidRPr="00492EE5">
        <w:rPr>
          <w:rFonts w:ascii="Georgia" w:hAnsi="Georgia"/>
          <w:sz w:val="20"/>
          <w:szCs w:val="20"/>
        </w:rPr>
        <w:t xml:space="preserve"> be present at the context - , while it would remain too blunt to be used in the </w:t>
      </w:r>
      <w:r w:rsidR="00F568E2" w:rsidRPr="00492EE5">
        <w:rPr>
          <w:rFonts w:ascii="Georgia" w:hAnsi="Georgia"/>
          <w:sz w:val="20"/>
          <w:szCs w:val="20"/>
        </w:rPr>
        <w:t>o</w:t>
      </w:r>
      <w:r w:rsidRPr="00492EE5">
        <w:rPr>
          <w:rFonts w:ascii="Georgia" w:hAnsi="Georgia"/>
          <w:sz w:val="20"/>
          <w:szCs w:val="20"/>
        </w:rPr>
        <w:t xml:space="preserve">perating </w:t>
      </w:r>
      <w:r w:rsidR="00F568E2" w:rsidRPr="00492EE5">
        <w:rPr>
          <w:rFonts w:ascii="Georgia" w:hAnsi="Georgia"/>
          <w:sz w:val="20"/>
          <w:szCs w:val="20"/>
        </w:rPr>
        <w:t>r</w:t>
      </w:r>
      <w:r w:rsidRPr="00492EE5">
        <w:rPr>
          <w:rFonts w:ascii="Georgia" w:hAnsi="Georgia"/>
          <w:sz w:val="20"/>
          <w:szCs w:val="20"/>
        </w:rPr>
        <w:t>oom, all-purposes-considered, in virtue of its being too blunt for the overriding purpose – that of performing brain surgery.</w:t>
      </w:r>
      <w:r w:rsidR="00F51B29" w:rsidRPr="00492EE5">
        <w:rPr>
          <w:rFonts w:ascii="Georgia" w:hAnsi="Georgia"/>
          <w:sz w:val="20"/>
          <w:szCs w:val="20"/>
        </w:rPr>
        <w:t xml:space="preserve"> Again, conscientious surgeons will avoid using a kitchen knife at this context.</w:t>
      </w:r>
    </w:p>
    <w:p w14:paraId="2E376402" w14:textId="45C557A8" w:rsidR="00545C20" w:rsidRPr="00492EE5" w:rsidRDefault="00545C20" w:rsidP="00F47368">
      <w:pPr>
        <w:spacing w:line="480" w:lineRule="auto"/>
        <w:ind w:firstLine="720"/>
        <w:jc w:val="both"/>
        <w:rPr>
          <w:rFonts w:ascii="Georgia" w:hAnsi="Georgia"/>
          <w:sz w:val="20"/>
          <w:szCs w:val="20"/>
        </w:rPr>
      </w:pPr>
      <w:proofErr w:type="gramStart"/>
      <w:r w:rsidRPr="00492EE5">
        <w:rPr>
          <w:rFonts w:ascii="Georgia" w:hAnsi="Georgia"/>
          <w:sz w:val="20"/>
          <w:szCs w:val="20"/>
        </w:rPr>
        <w:t>Last but not least</w:t>
      </w:r>
      <w:proofErr w:type="gramEnd"/>
      <w:r w:rsidRPr="00492EE5">
        <w:rPr>
          <w:rFonts w:ascii="Georgia" w:hAnsi="Georgia"/>
          <w:sz w:val="20"/>
          <w:szCs w:val="20"/>
        </w:rPr>
        <w:t xml:space="preserve">, some </w:t>
      </w:r>
      <w:r w:rsidRPr="00492EE5">
        <w:rPr>
          <w:rFonts w:ascii="Georgia" w:hAnsi="Georgia"/>
          <w:i/>
          <w:sz w:val="20"/>
          <w:szCs w:val="20"/>
        </w:rPr>
        <w:t>x</w:t>
      </w:r>
      <w:r w:rsidRPr="00492EE5">
        <w:rPr>
          <w:rFonts w:ascii="Georgia" w:hAnsi="Georgia"/>
          <w:sz w:val="20"/>
          <w:szCs w:val="20"/>
        </w:rPr>
        <w:t xml:space="preserve"> can be too </w:t>
      </w:r>
      <w:r w:rsidRPr="00492EE5">
        <w:rPr>
          <w:rFonts w:ascii="Georgia" w:hAnsi="Georgia"/>
          <w:i/>
          <w:sz w:val="20"/>
          <w:szCs w:val="20"/>
        </w:rPr>
        <w:t>y</w:t>
      </w:r>
      <w:r w:rsidRPr="00492EE5">
        <w:rPr>
          <w:rFonts w:ascii="Georgia" w:hAnsi="Georgia"/>
          <w:sz w:val="20"/>
          <w:szCs w:val="20"/>
        </w:rPr>
        <w:t xml:space="preserve"> </w:t>
      </w:r>
      <w:r w:rsidRPr="00492EE5">
        <w:rPr>
          <w:rFonts w:ascii="Georgia" w:hAnsi="Georgia"/>
          <w:i/>
          <w:sz w:val="20"/>
          <w:szCs w:val="20"/>
        </w:rPr>
        <w:t>simpliciter</w:t>
      </w:r>
      <w:r w:rsidRPr="00492EE5">
        <w:rPr>
          <w:rFonts w:ascii="Georgia" w:hAnsi="Georgia"/>
          <w:sz w:val="20"/>
          <w:szCs w:val="20"/>
        </w:rPr>
        <w:t xml:space="preserve">. A kitchen knife, for instance, can be too blunt, </w:t>
      </w:r>
      <w:r w:rsidRPr="00492EE5">
        <w:rPr>
          <w:rFonts w:ascii="Georgia" w:hAnsi="Georgia"/>
          <w:i/>
          <w:sz w:val="20"/>
          <w:szCs w:val="20"/>
        </w:rPr>
        <w:t>simpliciter</w:t>
      </w:r>
      <w:r w:rsidRPr="00492EE5">
        <w:rPr>
          <w:rFonts w:ascii="Georgia" w:hAnsi="Georgia"/>
          <w:sz w:val="20"/>
          <w:szCs w:val="20"/>
        </w:rPr>
        <w:t xml:space="preserve">. That is, too blunt </w:t>
      </w:r>
      <w:r w:rsidR="00BB663C" w:rsidRPr="00492EE5">
        <w:rPr>
          <w:rFonts w:ascii="Georgia" w:hAnsi="Georgia"/>
          <w:sz w:val="20"/>
          <w:szCs w:val="20"/>
        </w:rPr>
        <w:t xml:space="preserve">for a </w:t>
      </w:r>
      <w:r w:rsidR="000741F6" w:rsidRPr="00492EE5">
        <w:rPr>
          <w:rFonts w:ascii="Georgia" w:hAnsi="Georgia"/>
          <w:sz w:val="20"/>
          <w:szCs w:val="20"/>
        </w:rPr>
        <w:t xml:space="preserve">good </w:t>
      </w:r>
      <w:r w:rsidR="009A72AE" w:rsidRPr="00492EE5">
        <w:rPr>
          <w:rFonts w:ascii="Georgia" w:hAnsi="Georgia"/>
          <w:sz w:val="20"/>
          <w:szCs w:val="20"/>
        </w:rPr>
        <w:t xml:space="preserve">kitchen </w:t>
      </w:r>
      <w:r w:rsidR="00BB663C" w:rsidRPr="00492EE5">
        <w:rPr>
          <w:rFonts w:ascii="Georgia" w:hAnsi="Georgia"/>
          <w:sz w:val="20"/>
          <w:szCs w:val="20"/>
        </w:rPr>
        <w:t>knife, too blunt for a good token of its type. The sense of goodness here is attributive (</w:t>
      </w:r>
      <w:r w:rsidR="00705E71" w:rsidRPr="00492EE5">
        <w:rPr>
          <w:rFonts w:ascii="Georgia" w:hAnsi="Georgia"/>
          <w:sz w:val="20"/>
          <w:szCs w:val="20"/>
        </w:rPr>
        <w:t>as in (</w:t>
      </w:r>
      <w:proofErr w:type="spellStart"/>
      <w:r w:rsidR="00BB663C" w:rsidRPr="00492EE5">
        <w:rPr>
          <w:rFonts w:ascii="Georgia" w:hAnsi="Georgia"/>
          <w:sz w:val="20"/>
          <w:szCs w:val="20"/>
        </w:rPr>
        <w:t>Geach</w:t>
      </w:r>
      <w:proofErr w:type="spellEnd"/>
      <w:r w:rsidR="00B52AF5" w:rsidRPr="00492EE5">
        <w:rPr>
          <w:rFonts w:ascii="Georgia" w:hAnsi="Georgia"/>
          <w:sz w:val="20"/>
          <w:szCs w:val="20"/>
        </w:rPr>
        <w:t xml:space="preserve"> 1956</w:t>
      </w:r>
      <w:r w:rsidR="00705E71" w:rsidRPr="00492EE5">
        <w:rPr>
          <w:rFonts w:ascii="Georgia" w:hAnsi="Georgia"/>
          <w:sz w:val="20"/>
          <w:szCs w:val="20"/>
        </w:rPr>
        <w:t>)</w:t>
      </w:r>
      <w:r w:rsidR="00BB663C" w:rsidRPr="00492EE5">
        <w:rPr>
          <w:rFonts w:ascii="Georgia" w:hAnsi="Georgia"/>
          <w:sz w:val="20"/>
          <w:szCs w:val="20"/>
        </w:rPr>
        <w:t xml:space="preserve">). A </w:t>
      </w:r>
      <w:r w:rsidR="00F568E2" w:rsidRPr="00492EE5">
        <w:rPr>
          <w:rFonts w:ascii="Georgia" w:hAnsi="Georgia"/>
          <w:sz w:val="20"/>
          <w:szCs w:val="20"/>
        </w:rPr>
        <w:t xml:space="preserve">blunt </w:t>
      </w:r>
      <w:r w:rsidR="00BB663C" w:rsidRPr="00492EE5">
        <w:rPr>
          <w:rFonts w:ascii="Georgia" w:hAnsi="Georgia"/>
          <w:sz w:val="20"/>
          <w:szCs w:val="20"/>
        </w:rPr>
        <w:t xml:space="preserve">kitchen </w:t>
      </w:r>
      <w:r w:rsidR="00BB663C" w:rsidRPr="00492EE5">
        <w:rPr>
          <w:rFonts w:ascii="Georgia" w:hAnsi="Georgia"/>
          <w:sz w:val="20"/>
          <w:szCs w:val="20"/>
        </w:rPr>
        <w:lastRenderedPageBreak/>
        <w:t xml:space="preserve">knife can be good enough for a bunch of purposes, while still not being a good token of its type. It can be sharp enough for playing house with it, or for being exhibited in a museum, while still being too blunt </w:t>
      </w:r>
      <w:r w:rsidR="00BB663C" w:rsidRPr="00492EE5">
        <w:rPr>
          <w:rFonts w:ascii="Georgia" w:hAnsi="Georgia"/>
          <w:i/>
          <w:sz w:val="20"/>
          <w:szCs w:val="20"/>
        </w:rPr>
        <w:t>simpliciter</w:t>
      </w:r>
      <w:r w:rsidR="00BB663C" w:rsidRPr="00492EE5">
        <w:rPr>
          <w:rFonts w:ascii="Georgia" w:hAnsi="Georgia"/>
          <w:sz w:val="20"/>
          <w:szCs w:val="20"/>
        </w:rPr>
        <w:t xml:space="preserve">, i.e., too blunt to be a good </w:t>
      </w:r>
      <w:r w:rsidR="009A72AE" w:rsidRPr="00492EE5">
        <w:rPr>
          <w:rFonts w:ascii="Georgia" w:hAnsi="Georgia"/>
          <w:sz w:val="20"/>
          <w:szCs w:val="20"/>
        </w:rPr>
        <w:t xml:space="preserve">kitchen </w:t>
      </w:r>
      <w:r w:rsidR="00BB663C" w:rsidRPr="00492EE5">
        <w:rPr>
          <w:rFonts w:ascii="Georgia" w:hAnsi="Georgia"/>
          <w:sz w:val="20"/>
          <w:szCs w:val="20"/>
        </w:rPr>
        <w:t xml:space="preserve">knife. Furthermore, it might be that, all-purposes-considered, </w:t>
      </w:r>
      <w:r w:rsidR="009A72AE" w:rsidRPr="00492EE5">
        <w:rPr>
          <w:rFonts w:ascii="Georgia" w:hAnsi="Georgia"/>
          <w:sz w:val="20"/>
          <w:szCs w:val="20"/>
        </w:rPr>
        <w:t xml:space="preserve">at a particular context, </w:t>
      </w:r>
      <w:r w:rsidR="00BB663C" w:rsidRPr="00492EE5">
        <w:rPr>
          <w:rFonts w:ascii="Georgia" w:hAnsi="Georgia"/>
          <w:sz w:val="20"/>
          <w:szCs w:val="20"/>
        </w:rPr>
        <w:t xml:space="preserve">it’s better to have a </w:t>
      </w:r>
      <w:r w:rsidR="009A72AE" w:rsidRPr="00492EE5">
        <w:rPr>
          <w:rFonts w:ascii="Georgia" w:hAnsi="Georgia"/>
          <w:sz w:val="20"/>
          <w:szCs w:val="20"/>
        </w:rPr>
        <w:t xml:space="preserve">kitchen </w:t>
      </w:r>
      <w:r w:rsidR="00BB663C" w:rsidRPr="00492EE5">
        <w:rPr>
          <w:rFonts w:ascii="Georgia" w:hAnsi="Georgia"/>
          <w:sz w:val="20"/>
          <w:szCs w:val="20"/>
        </w:rPr>
        <w:t>knife that is just so blunt: prudentially, because I won’t cut myself</w:t>
      </w:r>
      <w:r w:rsidR="00F568E2" w:rsidRPr="00492EE5">
        <w:rPr>
          <w:rFonts w:ascii="Georgia" w:hAnsi="Georgia"/>
          <w:sz w:val="20"/>
          <w:szCs w:val="20"/>
        </w:rPr>
        <w:t xml:space="preserve"> while cooking</w:t>
      </w:r>
      <w:r w:rsidR="00BB663C" w:rsidRPr="00492EE5">
        <w:rPr>
          <w:rFonts w:ascii="Georgia" w:hAnsi="Georgia"/>
          <w:sz w:val="20"/>
          <w:szCs w:val="20"/>
        </w:rPr>
        <w:t xml:space="preserve">, aesthetically, because it looks prettier, morally, because its bluntness will prevent a murder from being committed… Still, the said knife will remain too blunt to be a good </w:t>
      </w:r>
      <w:r w:rsidR="009A72AE" w:rsidRPr="00492EE5">
        <w:rPr>
          <w:rFonts w:ascii="Georgia" w:hAnsi="Georgia"/>
          <w:sz w:val="20"/>
          <w:szCs w:val="20"/>
        </w:rPr>
        <w:t xml:space="preserve">kitchen </w:t>
      </w:r>
      <w:r w:rsidR="00BB663C" w:rsidRPr="00492EE5">
        <w:rPr>
          <w:rFonts w:ascii="Georgia" w:hAnsi="Georgia"/>
          <w:sz w:val="20"/>
          <w:szCs w:val="20"/>
        </w:rPr>
        <w:t>knife, that is, a good token of its type.</w:t>
      </w:r>
    </w:p>
    <w:p w14:paraId="1E047CAA" w14:textId="3EC094D5" w:rsidR="00BB663C" w:rsidRPr="00492EE5" w:rsidRDefault="00BB663C" w:rsidP="00F47368">
      <w:pPr>
        <w:spacing w:line="480" w:lineRule="auto"/>
        <w:ind w:firstLine="720"/>
        <w:jc w:val="both"/>
        <w:rPr>
          <w:rFonts w:ascii="Georgia" w:hAnsi="Georgia"/>
          <w:sz w:val="20"/>
          <w:szCs w:val="20"/>
        </w:rPr>
      </w:pPr>
      <w:proofErr w:type="gramStart"/>
      <w:r w:rsidRPr="00492EE5">
        <w:rPr>
          <w:rFonts w:ascii="Georgia" w:hAnsi="Georgia"/>
          <w:sz w:val="20"/>
          <w:szCs w:val="20"/>
        </w:rPr>
        <w:t>With this in mind, consider</w:t>
      </w:r>
      <w:proofErr w:type="gramEnd"/>
      <w:r w:rsidRPr="00492EE5">
        <w:rPr>
          <w:rFonts w:ascii="Georgia" w:hAnsi="Georgia"/>
          <w:sz w:val="20"/>
          <w:szCs w:val="20"/>
        </w:rPr>
        <w:t>:</w:t>
      </w:r>
    </w:p>
    <w:p w14:paraId="2D2F5ABA" w14:textId="77777777" w:rsidR="00BB663C" w:rsidRPr="00492EE5" w:rsidRDefault="00BB663C" w:rsidP="00F47368">
      <w:pPr>
        <w:spacing w:line="480" w:lineRule="auto"/>
        <w:jc w:val="both"/>
        <w:rPr>
          <w:rFonts w:ascii="Georgia" w:hAnsi="Georgia"/>
          <w:sz w:val="20"/>
          <w:szCs w:val="20"/>
        </w:rPr>
      </w:pPr>
    </w:p>
    <w:p w14:paraId="19E0AE1D" w14:textId="4027C484" w:rsidR="00545C20" w:rsidRPr="00492EE5" w:rsidRDefault="00F51B29" w:rsidP="00F47368">
      <w:pPr>
        <w:spacing w:line="480" w:lineRule="auto"/>
        <w:jc w:val="both"/>
        <w:rPr>
          <w:rFonts w:ascii="Georgia" w:hAnsi="Georgia"/>
          <w:sz w:val="20"/>
          <w:szCs w:val="20"/>
        </w:rPr>
      </w:pPr>
      <w:r w:rsidRPr="00492EE5">
        <w:rPr>
          <w:rFonts w:ascii="Georgia" w:hAnsi="Georgia" w:cs="Georgia"/>
          <w:i/>
          <w:iCs/>
          <w:sz w:val="20"/>
          <w:szCs w:val="20"/>
        </w:rPr>
        <w:t>FAKE BARNS</w:t>
      </w:r>
      <w:r w:rsidR="00BB663C" w:rsidRPr="00492EE5">
        <w:rPr>
          <w:rFonts w:ascii="Georgia" w:hAnsi="Georgia" w:cs="Georgia"/>
          <w:sz w:val="20"/>
          <w:szCs w:val="20"/>
        </w:rPr>
        <w:t xml:space="preserve"> (</w:t>
      </w:r>
      <w:r w:rsidRPr="00492EE5">
        <w:rPr>
          <w:rFonts w:ascii="Georgia" w:hAnsi="Georgia" w:cs="Georgia"/>
          <w:sz w:val="20"/>
          <w:szCs w:val="20"/>
        </w:rPr>
        <w:t xml:space="preserve">adapted from </w:t>
      </w:r>
      <w:r w:rsidR="00BB663C" w:rsidRPr="00492EE5">
        <w:rPr>
          <w:rFonts w:ascii="Georgia" w:hAnsi="Georgia" w:cs="Georgia"/>
          <w:sz w:val="20"/>
          <w:szCs w:val="20"/>
        </w:rPr>
        <w:t xml:space="preserve">Goldman 1976). Henry is driving in the countryside, looking at objects in fields. He sees what looks exactly like a barn. Accordingly, </w:t>
      </w:r>
      <w:r w:rsidRPr="00492EE5">
        <w:rPr>
          <w:rFonts w:ascii="Georgia" w:hAnsi="Georgia" w:cs="Georgia"/>
          <w:sz w:val="20"/>
          <w:szCs w:val="20"/>
        </w:rPr>
        <w:t>he believes that there is a barn in front of him</w:t>
      </w:r>
      <w:r w:rsidR="00BB663C" w:rsidRPr="00492EE5">
        <w:rPr>
          <w:rFonts w:ascii="Georgia" w:hAnsi="Georgia" w:cs="Georgia"/>
          <w:sz w:val="20"/>
          <w:szCs w:val="20"/>
        </w:rPr>
        <w:t xml:space="preserve">. Now, that is indeed </w:t>
      </w:r>
      <w:r w:rsidRPr="00492EE5">
        <w:rPr>
          <w:rFonts w:ascii="Georgia" w:hAnsi="Georgia" w:cs="Georgia"/>
          <w:sz w:val="20"/>
          <w:szCs w:val="20"/>
        </w:rPr>
        <w:t>the case</w:t>
      </w:r>
      <w:r w:rsidR="00BB663C" w:rsidRPr="00492EE5">
        <w:rPr>
          <w:rFonts w:ascii="Georgia" w:hAnsi="Georgia" w:cs="Georgia"/>
          <w:sz w:val="20"/>
          <w:szCs w:val="20"/>
        </w:rPr>
        <w:t>. But what he does not realize is that th</w:t>
      </w:r>
      <w:r w:rsidRPr="00492EE5">
        <w:rPr>
          <w:rFonts w:ascii="Georgia" w:hAnsi="Georgia" w:cs="Georgia"/>
          <w:sz w:val="20"/>
          <w:szCs w:val="20"/>
        </w:rPr>
        <w:t>is county</w:t>
      </w:r>
      <w:r w:rsidR="00BB663C" w:rsidRPr="00492EE5">
        <w:rPr>
          <w:rFonts w:ascii="Georgia" w:hAnsi="Georgia" w:cs="Georgia"/>
          <w:sz w:val="20"/>
          <w:szCs w:val="20"/>
        </w:rPr>
        <w:t xml:space="preserve"> </w:t>
      </w:r>
      <w:r w:rsidRPr="00492EE5">
        <w:rPr>
          <w:rFonts w:ascii="Georgia" w:hAnsi="Georgia" w:cs="Georgia"/>
          <w:sz w:val="20"/>
          <w:szCs w:val="20"/>
        </w:rPr>
        <w:t>is populated with</w:t>
      </w:r>
      <w:r w:rsidR="00BB663C" w:rsidRPr="00492EE5">
        <w:rPr>
          <w:rFonts w:ascii="Georgia" w:hAnsi="Georgia" w:cs="Georgia"/>
          <w:sz w:val="20"/>
          <w:szCs w:val="20"/>
        </w:rPr>
        <w:t xml:space="preserve"> many fake barns — mere barn facades that look </w:t>
      </w:r>
      <w:r w:rsidRPr="00492EE5">
        <w:rPr>
          <w:rFonts w:ascii="Georgia" w:hAnsi="Georgia" w:cs="Georgia"/>
          <w:sz w:val="20"/>
          <w:szCs w:val="20"/>
        </w:rPr>
        <w:t xml:space="preserve">exactly </w:t>
      </w:r>
      <w:r w:rsidR="00BB663C" w:rsidRPr="00492EE5">
        <w:rPr>
          <w:rFonts w:ascii="Georgia" w:hAnsi="Georgia" w:cs="Georgia"/>
          <w:sz w:val="20"/>
          <w:szCs w:val="20"/>
        </w:rPr>
        <w:t>like real barns when viewed from the road.</w:t>
      </w:r>
    </w:p>
    <w:p w14:paraId="5B844468" w14:textId="77777777" w:rsidR="0029555A" w:rsidRPr="00492EE5" w:rsidRDefault="0029555A" w:rsidP="00F47368">
      <w:pPr>
        <w:spacing w:line="480" w:lineRule="auto"/>
        <w:jc w:val="both"/>
        <w:rPr>
          <w:rFonts w:ascii="Georgia" w:hAnsi="Georgia"/>
          <w:sz w:val="20"/>
          <w:szCs w:val="20"/>
        </w:rPr>
      </w:pPr>
    </w:p>
    <w:p w14:paraId="29291997" w14:textId="7F1A4EFC" w:rsidR="001344F4" w:rsidRPr="00492EE5" w:rsidRDefault="00F51B29" w:rsidP="00F47368">
      <w:pPr>
        <w:spacing w:line="480" w:lineRule="auto"/>
        <w:jc w:val="both"/>
        <w:rPr>
          <w:rFonts w:ascii="Georgia" w:hAnsi="Georgia"/>
          <w:sz w:val="20"/>
          <w:szCs w:val="20"/>
        </w:rPr>
      </w:pPr>
      <w:r w:rsidRPr="00492EE5">
        <w:rPr>
          <w:rFonts w:ascii="Georgia" w:hAnsi="Georgia"/>
          <w:sz w:val="20"/>
          <w:szCs w:val="20"/>
        </w:rPr>
        <w:t xml:space="preserve">First, </w:t>
      </w:r>
      <w:r w:rsidR="00B52AF5" w:rsidRPr="00492EE5">
        <w:rPr>
          <w:rFonts w:ascii="Georgia" w:hAnsi="Georgia"/>
          <w:sz w:val="20"/>
          <w:szCs w:val="20"/>
        </w:rPr>
        <w:t xml:space="preserve">I </w:t>
      </w:r>
      <w:r w:rsidRPr="00492EE5">
        <w:rPr>
          <w:rFonts w:ascii="Georgia" w:hAnsi="Georgia"/>
          <w:sz w:val="20"/>
          <w:szCs w:val="20"/>
        </w:rPr>
        <w:t xml:space="preserve">submit that </w:t>
      </w:r>
      <w:r w:rsidR="002F7073" w:rsidRPr="00492EE5">
        <w:rPr>
          <w:rFonts w:ascii="Georgia" w:hAnsi="Georgia"/>
          <w:sz w:val="20"/>
          <w:szCs w:val="20"/>
        </w:rPr>
        <w:t xml:space="preserve">there is a strong intuition </w:t>
      </w:r>
      <w:r w:rsidRPr="00492EE5">
        <w:rPr>
          <w:rFonts w:ascii="Georgia" w:hAnsi="Georgia"/>
          <w:sz w:val="20"/>
          <w:szCs w:val="20"/>
        </w:rPr>
        <w:t xml:space="preserve">that Henry’s belief is too risky. </w:t>
      </w:r>
      <w:r w:rsidR="00D349DE" w:rsidRPr="00492EE5">
        <w:rPr>
          <w:rFonts w:ascii="Georgia" w:hAnsi="Georgia"/>
          <w:sz w:val="20"/>
          <w:szCs w:val="20"/>
        </w:rPr>
        <w:t xml:space="preserve">To see this, note that, if we were to find out that Henry, unbeknownst to him, is visiting Fake Barn County, we would be inclined to warn him: ‘If you see something that looks like a barn, don’t believe it, it’s likely just a façade!’ </w:t>
      </w:r>
      <w:r w:rsidR="00FC1137" w:rsidRPr="00492EE5">
        <w:rPr>
          <w:rFonts w:ascii="Georgia" w:hAnsi="Georgia"/>
          <w:sz w:val="20"/>
          <w:szCs w:val="20"/>
        </w:rPr>
        <w:t xml:space="preserve">Given the description of the case, </w:t>
      </w:r>
      <w:r w:rsidR="00D349DE" w:rsidRPr="00492EE5">
        <w:rPr>
          <w:rFonts w:ascii="Georgia" w:hAnsi="Georgia"/>
          <w:sz w:val="20"/>
          <w:szCs w:val="20"/>
        </w:rPr>
        <w:t>plausibl</w:t>
      </w:r>
      <w:r w:rsidR="00FC1137" w:rsidRPr="00492EE5">
        <w:rPr>
          <w:rFonts w:ascii="Georgia" w:hAnsi="Georgia"/>
          <w:sz w:val="20"/>
          <w:szCs w:val="20"/>
        </w:rPr>
        <w:t>y,</w:t>
      </w:r>
      <w:r w:rsidR="00D349DE" w:rsidRPr="00492EE5">
        <w:rPr>
          <w:rFonts w:ascii="Georgia" w:hAnsi="Georgia"/>
          <w:sz w:val="20"/>
          <w:szCs w:val="20"/>
        </w:rPr>
        <w:t xml:space="preserve"> the intuitive appropriateness of this instance of warning is sourced in the belief at issue being too risky</w:t>
      </w:r>
      <w:r w:rsidR="001344F4" w:rsidRPr="00492EE5">
        <w:rPr>
          <w:rFonts w:ascii="Georgia" w:hAnsi="Georgia"/>
          <w:sz w:val="20"/>
          <w:szCs w:val="20"/>
        </w:rPr>
        <w:t>. Note, also, that an even more explicit warning along the lines of ‘Don’t trust you’re seeing barns, you run a high risk of being wrong!’ also seems perfectly appropriate.</w:t>
      </w:r>
    </w:p>
    <w:p w14:paraId="7E971371" w14:textId="2F5519C0" w:rsidR="00D349DE" w:rsidRPr="00492EE5" w:rsidRDefault="00D349DE" w:rsidP="00F47368">
      <w:pPr>
        <w:spacing w:line="480" w:lineRule="auto"/>
        <w:ind w:firstLine="720"/>
        <w:jc w:val="both"/>
        <w:rPr>
          <w:rFonts w:ascii="Georgia" w:hAnsi="Georgia"/>
          <w:sz w:val="20"/>
          <w:szCs w:val="20"/>
        </w:rPr>
      </w:pPr>
      <w:r w:rsidRPr="00492EE5">
        <w:rPr>
          <w:rFonts w:ascii="Georgia" w:hAnsi="Georgia"/>
          <w:sz w:val="20"/>
          <w:szCs w:val="20"/>
        </w:rPr>
        <w:t xml:space="preserve">In a similar fashion, if, unbeknownst to him, the surgeon would be handed a kitchen knife by a distracted nurse, we would be </w:t>
      </w:r>
      <w:r w:rsidRPr="00492EE5">
        <w:rPr>
          <w:rFonts w:ascii="Georgia" w:hAnsi="Georgia"/>
          <w:sz w:val="20"/>
          <w:szCs w:val="20"/>
        </w:rPr>
        <w:lastRenderedPageBreak/>
        <w:t>inclined to warn him: ‘Don’t try to cut into the patient, it’s likely not going to work!’ It is plausible that the intuitive appropriateness of this instance of warning is sourced in the knife at issue being too blunt</w:t>
      </w:r>
      <w:r w:rsidR="00FC1137" w:rsidRPr="00492EE5">
        <w:rPr>
          <w:rFonts w:ascii="Georgia" w:hAnsi="Georgia"/>
          <w:sz w:val="20"/>
          <w:szCs w:val="20"/>
        </w:rPr>
        <w:t xml:space="preserve"> for surgery</w:t>
      </w:r>
      <w:r w:rsidRPr="00492EE5">
        <w:rPr>
          <w:rFonts w:ascii="Georgia" w:hAnsi="Georgia"/>
          <w:sz w:val="20"/>
          <w:szCs w:val="20"/>
        </w:rPr>
        <w:t>.</w:t>
      </w:r>
      <w:r w:rsidR="001344F4" w:rsidRPr="00492EE5">
        <w:rPr>
          <w:rFonts w:ascii="Georgia" w:hAnsi="Georgia"/>
          <w:sz w:val="20"/>
          <w:szCs w:val="20"/>
        </w:rPr>
        <w:t xml:space="preserve"> Note, also, that an even more explicit warning along the lines of ‘Don’t try to cut into the patient, the knife is very blunt!’ also seems perfectly appropriate.</w:t>
      </w:r>
    </w:p>
    <w:p w14:paraId="23F0561A" w14:textId="1DC16894" w:rsidR="008D6857" w:rsidRPr="00492EE5" w:rsidRDefault="00492EE5" w:rsidP="00F47368">
      <w:pPr>
        <w:spacing w:line="480" w:lineRule="auto"/>
        <w:ind w:firstLine="720"/>
        <w:jc w:val="both"/>
        <w:rPr>
          <w:rFonts w:ascii="Georgia" w:hAnsi="Georgia"/>
          <w:sz w:val="20"/>
          <w:szCs w:val="20"/>
        </w:rPr>
      </w:pPr>
      <w:r>
        <w:rPr>
          <w:rFonts w:ascii="Georgia" w:hAnsi="Georgia"/>
          <w:sz w:val="20"/>
          <w:szCs w:val="20"/>
        </w:rPr>
        <w:t>Second</w:t>
      </w:r>
      <w:r w:rsidR="008D6857" w:rsidRPr="00492EE5">
        <w:rPr>
          <w:rFonts w:ascii="Georgia" w:hAnsi="Georgia"/>
          <w:sz w:val="20"/>
          <w:szCs w:val="20"/>
        </w:rPr>
        <w:t>, the intuition that Henry’s belief is too risky is vindicated by the main accounts of risk in the literature: on a probabilistic view (Hansson 2018), because the probability of getting it wrong is very high; on a modal view</w:t>
      </w:r>
      <w:r>
        <w:rPr>
          <w:rFonts w:ascii="Georgia" w:hAnsi="Georgia"/>
          <w:sz w:val="20"/>
          <w:szCs w:val="20"/>
        </w:rPr>
        <w:t xml:space="preserve"> (Pritchard 201</w:t>
      </w:r>
      <w:r w:rsidR="00942BCB">
        <w:rPr>
          <w:rFonts w:ascii="Georgia" w:hAnsi="Georgia"/>
          <w:sz w:val="20"/>
          <w:szCs w:val="20"/>
        </w:rPr>
        <w:t>6</w:t>
      </w:r>
      <w:r>
        <w:rPr>
          <w:rFonts w:ascii="Georgia" w:hAnsi="Georgia"/>
          <w:sz w:val="20"/>
          <w:szCs w:val="20"/>
        </w:rPr>
        <w:t>)</w:t>
      </w:r>
      <w:r w:rsidR="008D6857" w:rsidRPr="00492EE5">
        <w:rPr>
          <w:rFonts w:ascii="Georgia" w:hAnsi="Georgia"/>
          <w:sz w:val="20"/>
          <w:szCs w:val="20"/>
        </w:rPr>
        <w:t>, because the world at which Henry gets things wrong is too close.</w:t>
      </w:r>
    </w:p>
    <w:p w14:paraId="6D72D4BA" w14:textId="667B2663" w:rsidR="00F568E2" w:rsidRPr="00492EE5" w:rsidRDefault="00F51B29" w:rsidP="00F47368">
      <w:pPr>
        <w:spacing w:line="480" w:lineRule="auto"/>
        <w:ind w:firstLine="720"/>
        <w:jc w:val="both"/>
        <w:rPr>
          <w:rFonts w:ascii="Georgia" w:hAnsi="Georgia"/>
          <w:sz w:val="20"/>
          <w:szCs w:val="20"/>
        </w:rPr>
      </w:pPr>
      <w:r w:rsidRPr="00492EE5">
        <w:rPr>
          <w:rFonts w:ascii="Georgia" w:hAnsi="Georgia"/>
          <w:sz w:val="20"/>
          <w:szCs w:val="20"/>
        </w:rPr>
        <w:t xml:space="preserve">Second, note that the ‘too risky’ at stake </w:t>
      </w:r>
      <w:r w:rsidR="00FC1137" w:rsidRPr="00492EE5">
        <w:rPr>
          <w:rFonts w:ascii="Georgia" w:hAnsi="Georgia"/>
          <w:sz w:val="20"/>
          <w:szCs w:val="20"/>
        </w:rPr>
        <w:t xml:space="preserve">in </w:t>
      </w:r>
      <w:r w:rsidR="00FC1137" w:rsidRPr="00492EE5">
        <w:rPr>
          <w:rFonts w:ascii="Georgia" w:hAnsi="Georgia"/>
          <w:i/>
          <w:sz w:val="20"/>
          <w:szCs w:val="20"/>
        </w:rPr>
        <w:t>FAKE BARNS</w:t>
      </w:r>
      <w:r w:rsidRPr="00492EE5">
        <w:rPr>
          <w:rFonts w:ascii="Georgia" w:hAnsi="Georgia"/>
          <w:sz w:val="20"/>
          <w:szCs w:val="20"/>
        </w:rPr>
        <w:t xml:space="preserve"> is of the third variety identified above; that is, what is at stake is too risky </w:t>
      </w:r>
      <w:r w:rsidRPr="00492EE5">
        <w:rPr>
          <w:rFonts w:ascii="Georgia" w:hAnsi="Georgia"/>
          <w:i/>
          <w:sz w:val="20"/>
          <w:szCs w:val="20"/>
        </w:rPr>
        <w:t>simpliciter</w:t>
      </w:r>
      <w:r w:rsidRPr="00492EE5">
        <w:rPr>
          <w:rFonts w:ascii="Georgia" w:hAnsi="Georgia"/>
          <w:sz w:val="20"/>
          <w:szCs w:val="20"/>
        </w:rPr>
        <w:t xml:space="preserve">. After all, no </w:t>
      </w:r>
      <w:r w:rsidR="00F568E2" w:rsidRPr="00492EE5">
        <w:rPr>
          <w:rFonts w:ascii="Georgia" w:hAnsi="Georgia"/>
          <w:sz w:val="20"/>
          <w:szCs w:val="20"/>
        </w:rPr>
        <w:t xml:space="preserve">particular </w:t>
      </w:r>
      <w:r w:rsidRPr="00492EE5">
        <w:rPr>
          <w:rFonts w:ascii="Georgia" w:hAnsi="Georgia"/>
          <w:sz w:val="20"/>
          <w:szCs w:val="20"/>
        </w:rPr>
        <w:t xml:space="preserve">purpose </w:t>
      </w:r>
      <w:r w:rsidR="00F568E2" w:rsidRPr="00492EE5">
        <w:rPr>
          <w:rFonts w:ascii="Georgia" w:hAnsi="Georgia"/>
          <w:sz w:val="20"/>
          <w:szCs w:val="20"/>
        </w:rPr>
        <w:t>is</w:t>
      </w:r>
      <w:r w:rsidRPr="00492EE5">
        <w:rPr>
          <w:rFonts w:ascii="Georgia" w:hAnsi="Georgia"/>
          <w:sz w:val="20"/>
          <w:szCs w:val="20"/>
        </w:rPr>
        <w:t xml:space="preserve"> present at the context; the case is not one where Henry is about to employ his belief that there is a barn in front of him for some aim or another.</w:t>
      </w:r>
      <w:r w:rsidR="00FB78CC" w:rsidRPr="00492EE5">
        <w:rPr>
          <w:rFonts w:ascii="Georgia" w:hAnsi="Georgia"/>
          <w:sz w:val="20"/>
          <w:szCs w:val="20"/>
        </w:rPr>
        <w:t xml:space="preserve"> Henry does not plan to act on the relevant belief, base his decisions on it, tell anybody about this etc.</w:t>
      </w:r>
    </w:p>
    <w:p w14:paraId="6957E438" w14:textId="51BB76E7" w:rsidR="000741F6" w:rsidRPr="00492EE5" w:rsidRDefault="00F568E2" w:rsidP="00F47368">
      <w:pPr>
        <w:spacing w:line="480" w:lineRule="auto"/>
        <w:ind w:firstLine="720"/>
        <w:jc w:val="both"/>
        <w:rPr>
          <w:rFonts w:ascii="Georgia" w:hAnsi="Georgia"/>
          <w:sz w:val="20"/>
          <w:szCs w:val="20"/>
        </w:rPr>
      </w:pPr>
      <w:r w:rsidRPr="00492EE5">
        <w:rPr>
          <w:rFonts w:ascii="Georgia" w:hAnsi="Georgia"/>
          <w:sz w:val="20"/>
          <w:szCs w:val="20"/>
        </w:rPr>
        <w:t xml:space="preserve">If that is the case, though, that is, if what is at stake is too risky </w:t>
      </w:r>
      <w:r w:rsidRPr="00492EE5">
        <w:rPr>
          <w:rFonts w:ascii="Georgia" w:hAnsi="Georgia"/>
          <w:i/>
          <w:sz w:val="20"/>
          <w:szCs w:val="20"/>
        </w:rPr>
        <w:t>simpliciter</w:t>
      </w:r>
      <w:r w:rsidRPr="00492EE5">
        <w:rPr>
          <w:rFonts w:ascii="Georgia" w:hAnsi="Georgia"/>
          <w:sz w:val="20"/>
          <w:szCs w:val="20"/>
        </w:rPr>
        <w:t>, then, just like in the case of the kitchen knife, it will regard attributive goodness; Henry’s belief will be too risky to be a good token of its type</w:t>
      </w:r>
      <w:r w:rsidR="009A72AE" w:rsidRPr="00492EE5">
        <w:rPr>
          <w:rFonts w:ascii="Georgia" w:hAnsi="Georgia"/>
          <w:sz w:val="20"/>
          <w:szCs w:val="20"/>
        </w:rPr>
        <w:t>, that is, too risky to be a good belief</w:t>
      </w:r>
      <w:r w:rsidRPr="00492EE5">
        <w:rPr>
          <w:rFonts w:ascii="Georgia" w:hAnsi="Georgia"/>
          <w:sz w:val="20"/>
          <w:szCs w:val="20"/>
        </w:rPr>
        <w:t>.</w:t>
      </w:r>
    </w:p>
    <w:p w14:paraId="6BDB33E6" w14:textId="1FCD6F4F" w:rsidR="000741F6" w:rsidRPr="00492EE5" w:rsidRDefault="000741F6" w:rsidP="00F47368">
      <w:pPr>
        <w:spacing w:line="480" w:lineRule="auto"/>
        <w:ind w:firstLine="720"/>
        <w:jc w:val="both"/>
        <w:rPr>
          <w:rFonts w:ascii="Georgia" w:hAnsi="Georgia"/>
          <w:sz w:val="20"/>
          <w:szCs w:val="20"/>
        </w:rPr>
      </w:pPr>
      <w:r w:rsidRPr="00492EE5">
        <w:rPr>
          <w:rFonts w:ascii="Georgia" w:hAnsi="Georgia"/>
          <w:sz w:val="20"/>
          <w:szCs w:val="20"/>
        </w:rPr>
        <w:t xml:space="preserve">Note also that, were Henry to know that there is a barn in front </w:t>
      </w:r>
      <w:r w:rsidR="009A354C" w:rsidRPr="00492EE5">
        <w:rPr>
          <w:rFonts w:ascii="Georgia" w:hAnsi="Georgia"/>
          <w:sz w:val="20"/>
          <w:szCs w:val="20"/>
        </w:rPr>
        <w:t>of him – that is, were he not t</w:t>
      </w:r>
      <w:r w:rsidRPr="00492EE5">
        <w:rPr>
          <w:rFonts w:ascii="Georgia" w:hAnsi="Georgia"/>
          <w:sz w:val="20"/>
          <w:szCs w:val="20"/>
        </w:rPr>
        <w:t xml:space="preserve">o be in Fake Barns County – his belief would not bee too risky to be a good token of its </w:t>
      </w:r>
      <w:r w:rsidR="009A72AE" w:rsidRPr="00492EE5">
        <w:rPr>
          <w:rFonts w:ascii="Georgia" w:hAnsi="Georgia"/>
          <w:sz w:val="20"/>
          <w:szCs w:val="20"/>
        </w:rPr>
        <w:t>type</w:t>
      </w:r>
      <w:r w:rsidRPr="00492EE5">
        <w:rPr>
          <w:rFonts w:ascii="Georgia" w:hAnsi="Georgia"/>
          <w:sz w:val="20"/>
          <w:szCs w:val="20"/>
        </w:rPr>
        <w:t xml:space="preserve"> anymore.</w:t>
      </w:r>
    </w:p>
    <w:p w14:paraId="17713A81" w14:textId="77777777" w:rsidR="006245E8" w:rsidRDefault="000741F6" w:rsidP="00F47368">
      <w:pPr>
        <w:spacing w:line="480" w:lineRule="auto"/>
        <w:jc w:val="both"/>
        <w:rPr>
          <w:rFonts w:ascii="Georgia" w:hAnsi="Georgia"/>
          <w:sz w:val="20"/>
          <w:szCs w:val="20"/>
        </w:rPr>
      </w:pPr>
      <w:r w:rsidRPr="00492EE5">
        <w:rPr>
          <w:rFonts w:ascii="Georgia" w:hAnsi="Georgia"/>
          <w:sz w:val="20"/>
          <w:szCs w:val="20"/>
        </w:rPr>
        <w:t>If that is the case, on (</w:t>
      </w:r>
      <w:r w:rsidR="00B52AF5" w:rsidRPr="00492EE5">
        <w:rPr>
          <w:rFonts w:ascii="Georgia" w:hAnsi="Georgia"/>
          <w:sz w:val="20"/>
          <w:szCs w:val="20"/>
        </w:rPr>
        <w:t>I</w:t>
      </w:r>
      <w:r w:rsidR="00CB728B" w:rsidRPr="00492EE5">
        <w:rPr>
          <w:rFonts w:ascii="Georgia" w:hAnsi="Georgia"/>
          <w:sz w:val="20"/>
          <w:szCs w:val="20"/>
        </w:rPr>
        <w:t xml:space="preserve"> </w:t>
      </w:r>
      <w:r w:rsidRPr="00492EE5">
        <w:rPr>
          <w:rFonts w:ascii="Georgia" w:hAnsi="Georgia"/>
          <w:sz w:val="20"/>
          <w:szCs w:val="20"/>
        </w:rPr>
        <w:t>submit, very plausible) assumption that a belief complies with the norm of belief only if it</w:t>
      </w:r>
      <w:r w:rsidR="00705E71" w:rsidRPr="00492EE5">
        <w:rPr>
          <w:rFonts w:ascii="Georgia" w:hAnsi="Georgia"/>
          <w:sz w:val="20"/>
          <w:szCs w:val="20"/>
        </w:rPr>
        <w:t xml:space="preserve"> is</w:t>
      </w:r>
      <w:r w:rsidRPr="00492EE5">
        <w:rPr>
          <w:rFonts w:ascii="Georgia" w:hAnsi="Georgia"/>
          <w:sz w:val="20"/>
          <w:szCs w:val="20"/>
        </w:rPr>
        <w:t xml:space="preserve"> a good belief, it follows </w:t>
      </w:r>
      <w:r w:rsidRPr="00492EE5">
        <w:rPr>
          <w:rFonts w:ascii="Georgia" w:hAnsi="Georgia"/>
          <w:sz w:val="20"/>
          <w:szCs w:val="20"/>
        </w:rPr>
        <w:lastRenderedPageBreak/>
        <w:t>that one’s belief complies with the norm of belief only if knowledgeable.</w:t>
      </w:r>
      <w:r w:rsidR="003D30EE">
        <w:rPr>
          <w:rStyle w:val="FootnoteReference"/>
          <w:rFonts w:ascii="Georgia" w:hAnsi="Georgia"/>
          <w:sz w:val="20"/>
          <w:szCs w:val="20"/>
        </w:rPr>
        <w:footnoteReference w:id="2"/>
      </w:r>
      <w:r w:rsidR="006245E8">
        <w:rPr>
          <w:rFonts w:ascii="Georgia" w:hAnsi="Georgia"/>
          <w:sz w:val="20"/>
          <w:szCs w:val="20"/>
        </w:rPr>
        <w:t xml:space="preserve"> </w:t>
      </w:r>
    </w:p>
    <w:p w14:paraId="1519A994" w14:textId="3FEC540D" w:rsidR="000741F6" w:rsidRDefault="006245E8" w:rsidP="006245E8">
      <w:pPr>
        <w:spacing w:line="480" w:lineRule="auto"/>
        <w:ind w:firstLine="720"/>
        <w:jc w:val="both"/>
        <w:rPr>
          <w:rFonts w:ascii="Georgia" w:hAnsi="Georgia"/>
          <w:sz w:val="20"/>
          <w:szCs w:val="20"/>
        </w:rPr>
      </w:pPr>
      <w:r>
        <w:rPr>
          <w:rFonts w:ascii="Georgia" w:hAnsi="Georgia"/>
          <w:sz w:val="20"/>
          <w:szCs w:val="20"/>
        </w:rPr>
        <w:t>In turn, if knowledge is the norm of belief, and if, plausibly, a belief formation system only successfully represents when it forms good beliefs – i.e., beliefs that meet the norm of belief – it follows that Fake Barn cases are not cases of successful representation. If so, knowledge and successful representation go hand in hand, and premise 5 is vindicated.</w:t>
      </w:r>
    </w:p>
    <w:p w14:paraId="2E4F0DB7" w14:textId="77777777" w:rsidR="006245E8" w:rsidRPr="00492EE5" w:rsidRDefault="006245E8" w:rsidP="00F47368">
      <w:pPr>
        <w:spacing w:line="480" w:lineRule="auto"/>
        <w:jc w:val="both"/>
        <w:rPr>
          <w:rFonts w:ascii="Georgia" w:hAnsi="Georgia"/>
          <w:sz w:val="20"/>
          <w:szCs w:val="20"/>
        </w:rPr>
      </w:pPr>
    </w:p>
    <w:p w14:paraId="148B49C4" w14:textId="77777777" w:rsidR="000741F6" w:rsidRPr="00492EE5" w:rsidRDefault="000741F6" w:rsidP="00F47368">
      <w:pPr>
        <w:spacing w:line="480" w:lineRule="auto"/>
        <w:jc w:val="both"/>
        <w:rPr>
          <w:rFonts w:ascii="Georgia" w:hAnsi="Georgia"/>
          <w:sz w:val="20"/>
          <w:szCs w:val="20"/>
        </w:rPr>
      </w:pPr>
    </w:p>
    <w:p w14:paraId="3E99A41E" w14:textId="7F3402A2" w:rsidR="00F568E2" w:rsidRPr="00B83E70" w:rsidRDefault="00492EE5" w:rsidP="00F47368">
      <w:pPr>
        <w:spacing w:line="480" w:lineRule="auto"/>
        <w:jc w:val="both"/>
        <w:rPr>
          <w:rFonts w:ascii="Georgia" w:hAnsi="Georgia"/>
          <w:b/>
          <w:bCs/>
          <w:sz w:val="20"/>
          <w:szCs w:val="20"/>
        </w:rPr>
      </w:pPr>
      <w:r w:rsidRPr="00B83E70">
        <w:rPr>
          <w:rFonts w:ascii="Georgia" w:hAnsi="Georgia"/>
          <w:b/>
          <w:bCs/>
          <w:sz w:val="20"/>
          <w:szCs w:val="20"/>
        </w:rPr>
        <w:t>References</w:t>
      </w:r>
    </w:p>
    <w:p w14:paraId="0956106B" w14:textId="11391575" w:rsidR="00492EE5" w:rsidRDefault="00492EE5" w:rsidP="00F47368">
      <w:pPr>
        <w:spacing w:line="480" w:lineRule="auto"/>
        <w:jc w:val="both"/>
        <w:rPr>
          <w:rFonts w:ascii="Georgia" w:hAnsi="Georgia"/>
          <w:sz w:val="20"/>
          <w:szCs w:val="20"/>
        </w:rPr>
      </w:pPr>
    </w:p>
    <w:p w14:paraId="38BDBD1D" w14:textId="0410CDAB" w:rsidR="007F5FFE" w:rsidRDefault="007F5FFE" w:rsidP="00F47368">
      <w:pPr>
        <w:spacing w:line="480" w:lineRule="auto"/>
        <w:jc w:val="both"/>
        <w:rPr>
          <w:rFonts w:ascii="Georgia" w:hAnsi="Georgia"/>
          <w:color w:val="000000" w:themeColor="text1"/>
          <w:sz w:val="20"/>
          <w:szCs w:val="20"/>
        </w:rPr>
      </w:pPr>
      <w:r>
        <w:rPr>
          <w:rFonts w:ascii="Georgia" w:hAnsi="Georgia"/>
          <w:color w:val="000000" w:themeColor="text1"/>
          <w:sz w:val="20"/>
          <w:szCs w:val="20"/>
        </w:rPr>
        <w:t xml:space="preserve">Benton, Matthew (2014). Knowledge Norms. Internet Encyclopaedia of Philosophy. </w:t>
      </w:r>
      <w:r w:rsidR="00B83E70" w:rsidRPr="00B83E70">
        <w:rPr>
          <w:rFonts w:ascii="Georgia" w:hAnsi="Georgia"/>
          <w:color w:val="000000" w:themeColor="text1"/>
          <w:sz w:val="20"/>
          <w:szCs w:val="20"/>
        </w:rPr>
        <w:t>https://iep.utm.edu/kn-norms/</w:t>
      </w:r>
    </w:p>
    <w:p w14:paraId="42C39171" w14:textId="09311E19" w:rsidR="003D30EE" w:rsidRPr="00942BCB" w:rsidRDefault="003D30EE" w:rsidP="00F47368">
      <w:pPr>
        <w:spacing w:line="480" w:lineRule="auto"/>
        <w:jc w:val="both"/>
        <w:rPr>
          <w:rFonts w:ascii="Georgia" w:hAnsi="Georgia"/>
          <w:color w:val="000000" w:themeColor="text1"/>
          <w:sz w:val="20"/>
          <w:szCs w:val="20"/>
        </w:rPr>
      </w:pPr>
      <w:proofErr w:type="spellStart"/>
      <w:r w:rsidRPr="00942BCB">
        <w:rPr>
          <w:rFonts w:ascii="Georgia" w:hAnsi="Georgia"/>
          <w:color w:val="000000" w:themeColor="text1"/>
          <w:sz w:val="20"/>
          <w:szCs w:val="20"/>
        </w:rPr>
        <w:t>Geach</w:t>
      </w:r>
      <w:proofErr w:type="spellEnd"/>
      <w:r w:rsidRPr="00942BCB">
        <w:rPr>
          <w:rFonts w:ascii="Georgia" w:hAnsi="Georgia"/>
          <w:color w:val="000000" w:themeColor="text1"/>
          <w:sz w:val="20"/>
          <w:szCs w:val="20"/>
        </w:rPr>
        <w:t>, Peter (1956)</w:t>
      </w:r>
      <w:r w:rsidR="007F5FFE">
        <w:rPr>
          <w:rFonts w:ascii="Georgia" w:hAnsi="Georgia"/>
          <w:color w:val="000000" w:themeColor="text1"/>
          <w:sz w:val="20"/>
          <w:szCs w:val="20"/>
        </w:rPr>
        <w:t>.</w:t>
      </w:r>
      <w:r w:rsidRPr="00942BCB">
        <w:rPr>
          <w:rFonts w:ascii="Georgia" w:hAnsi="Georgia"/>
          <w:color w:val="000000" w:themeColor="text1"/>
          <w:sz w:val="20"/>
          <w:szCs w:val="20"/>
        </w:rPr>
        <w:t xml:space="preserve"> Good and Evil. Analysis. </w:t>
      </w:r>
      <w:r w:rsidRPr="00942BCB">
        <w:rPr>
          <w:rFonts w:ascii="Georgia" w:hAnsi="Georgia" w:cs="Arial"/>
          <w:color w:val="000000" w:themeColor="text1"/>
          <w:sz w:val="20"/>
          <w:szCs w:val="20"/>
          <w:shd w:val="clear" w:color="auto" w:fill="FFFFFF"/>
        </w:rPr>
        <w:t>Volume 17, Issue 5, 1 April 1957, Pages 103–111,</w:t>
      </w:r>
    </w:p>
    <w:p w14:paraId="062C08A9" w14:textId="77777777" w:rsidR="00942BCB" w:rsidRPr="003352B2" w:rsidRDefault="008D6857" w:rsidP="00942BCB">
      <w:pPr>
        <w:spacing w:line="480" w:lineRule="auto"/>
        <w:jc w:val="both"/>
        <w:rPr>
          <w:rFonts w:ascii="Georgia" w:hAnsi="Georgia"/>
          <w:color w:val="000000" w:themeColor="text1"/>
          <w:sz w:val="20"/>
          <w:szCs w:val="20"/>
        </w:rPr>
      </w:pPr>
      <w:r w:rsidRPr="00942BCB">
        <w:rPr>
          <w:rFonts w:ascii="Georgia" w:hAnsi="Georgia"/>
          <w:color w:val="000000" w:themeColor="text1"/>
          <w:sz w:val="20"/>
          <w:szCs w:val="20"/>
        </w:rPr>
        <w:t xml:space="preserve">Hansson, Sven </w:t>
      </w:r>
      <w:r w:rsidRPr="003352B2">
        <w:rPr>
          <w:rFonts w:ascii="Georgia" w:hAnsi="Georgia"/>
          <w:color w:val="000000" w:themeColor="text1"/>
          <w:sz w:val="20"/>
          <w:szCs w:val="20"/>
        </w:rPr>
        <w:t>Ove</w:t>
      </w:r>
      <w:r w:rsidR="003D30EE" w:rsidRPr="003352B2">
        <w:rPr>
          <w:rFonts w:ascii="Georgia" w:hAnsi="Georgia"/>
          <w:color w:val="000000" w:themeColor="text1"/>
          <w:sz w:val="20"/>
          <w:szCs w:val="20"/>
        </w:rPr>
        <w:t xml:space="preserve"> (2018) </w:t>
      </w:r>
      <w:r w:rsidRPr="003352B2">
        <w:rPr>
          <w:rFonts w:ascii="Georgia" w:hAnsi="Georgia"/>
          <w:color w:val="000000" w:themeColor="text1"/>
          <w:sz w:val="20"/>
          <w:szCs w:val="20"/>
        </w:rPr>
        <w:t>Risk</w:t>
      </w:r>
      <w:r w:rsidR="003D30EE" w:rsidRPr="003352B2">
        <w:rPr>
          <w:rFonts w:ascii="Georgia" w:hAnsi="Georgia"/>
          <w:color w:val="000000" w:themeColor="text1"/>
          <w:sz w:val="20"/>
          <w:szCs w:val="20"/>
        </w:rPr>
        <w:t>.</w:t>
      </w:r>
      <w:r w:rsidRPr="003352B2">
        <w:rPr>
          <w:rFonts w:ascii="Georgia" w:hAnsi="Georgia"/>
          <w:color w:val="000000" w:themeColor="text1"/>
          <w:sz w:val="20"/>
          <w:szCs w:val="20"/>
        </w:rPr>
        <w:t> </w:t>
      </w:r>
      <w:r w:rsidRPr="003352B2">
        <w:rPr>
          <w:rFonts w:ascii="Georgia" w:hAnsi="Georgia"/>
          <w:i/>
          <w:iCs/>
          <w:color w:val="000000" w:themeColor="text1"/>
          <w:sz w:val="20"/>
          <w:szCs w:val="20"/>
        </w:rPr>
        <w:t xml:space="preserve">The Stanford </w:t>
      </w:r>
      <w:proofErr w:type="spellStart"/>
      <w:r w:rsidRPr="003352B2">
        <w:rPr>
          <w:rFonts w:ascii="Georgia" w:hAnsi="Georgia"/>
          <w:i/>
          <w:iCs/>
          <w:color w:val="000000" w:themeColor="text1"/>
          <w:sz w:val="20"/>
          <w:szCs w:val="20"/>
        </w:rPr>
        <w:t>Encyclopedia</w:t>
      </w:r>
      <w:proofErr w:type="spellEnd"/>
      <w:r w:rsidRPr="003352B2">
        <w:rPr>
          <w:rFonts w:ascii="Georgia" w:hAnsi="Georgia"/>
          <w:i/>
          <w:iCs/>
          <w:color w:val="000000" w:themeColor="text1"/>
          <w:sz w:val="20"/>
          <w:szCs w:val="20"/>
        </w:rPr>
        <w:t xml:space="preserve"> of Philosophy </w:t>
      </w:r>
      <w:r w:rsidRPr="003352B2">
        <w:rPr>
          <w:rFonts w:ascii="Georgia" w:hAnsi="Georgia"/>
          <w:color w:val="000000" w:themeColor="text1"/>
          <w:sz w:val="20"/>
          <w:szCs w:val="20"/>
        </w:rPr>
        <w:t xml:space="preserve">(Fall 2018 Edition), Edward N. </w:t>
      </w:r>
      <w:proofErr w:type="spellStart"/>
      <w:r w:rsidRPr="003352B2">
        <w:rPr>
          <w:rFonts w:ascii="Georgia" w:hAnsi="Georgia"/>
          <w:color w:val="000000" w:themeColor="text1"/>
          <w:sz w:val="20"/>
          <w:szCs w:val="20"/>
        </w:rPr>
        <w:t>Zalta</w:t>
      </w:r>
      <w:proofErr w:type="spellEnd"/>
      <w:r w:rsidRPr="003352B2">
        <w:rPr>
          <w:rFonts w:ascii="Georgia" w:hAnsi="Georgia"/>
          <w:color w:val="000000" w:themeColor="text1"/>
          <w:sz w:val="20"/>
          <w:szCs w:val="20"/>
        </w:rPr>
        <w:t> (ed.), URL = &lt;https://plato.stanford.edu/archives/fall2018/entries/risk/&gt;.</w:t>
      </w:r>
    </w:p>
    <w:p w14:paraId="79062683" w14:textId="77777777" w:rsidR="003352B2" w:rsidRPr="003352B2" w:rsidRDefault="00942BCB" w:rsidP="003352B2">
      <w:pPr>
        <w:spacing w:line="480" w:lineRule="auto"/>
        <w:jc w:val="both"/>
        <w:rPr>
          <w:rFonts w:ascii="Georgia" w:hAnsi="Georgia"/>
          <w:color w:val="222222"/>
          <w:sz w:val="20"/>
          <w:szCs w:val="20"/>
        </w:rPr>
      </w:pPr>
      <w:r w:rsidRPr="003352B2">
        <w:rPr>
          <w:rFonts w:ascii="Georgia" w:hAnsi="Georgia"/>
          <w:color w:val="000000" w:themeColor="text1"/>
          <w:sz w:val="20"/>
          <w:szCs w:val="20"/>
        </w:rPr>
        <w:t xml:space="preserve">Pritchard, Duncan (2016). Epistemic Risk. </w:t>
      </w:r>
      <w:r w:rsidRPr="003352B2">
        <w:rPr>
          <w:rFonts w:ascii="Georgia" w:hAnsi="Georgia"/>
          <w:i/>
          <w:iCs/>
          <w:color w:val="000000" w:themeColor="text1"/>
          <w:sz w:val="20"/>
          <w:szCs w:val="20"/>
        </w:rPr>
        <w:t>Journal of Philosophy</w:t>
      </w:r>
      <w:r w:rsidRPr="003352B2">
        <w:rPr>
          <w:rFonts w:ascii="Georgia" w:hAnsi="Georgia"/>
          <w:color w:val="000000" w:themeColor="text1"/>
          <w:sz w:val="20"/>
          <w:szCs w:val="20"/>
        </w:rPr>
        <w:t xml:space="preserve">, </w:t>
      </w:r>
      <w:r w:rsidRPr="003352B2">
        <w:rPr>
          <w:rFonts w:ascii="Georgia" w:hAnsi="Georgia"/>
          <w:color w:val="1E1A6D"/>
          <w:sz w:val="20"/>
          <w:szCs w:val="20"/>
        </w:rPr>
        <w:t xml:space="preserve">Volume 113, Issue 11: </w:t>
      </w:r>
      <w:r w:rsidRPr="003352B2">
        <w:rPr>
          <w:rFonts w:ascii="Georgia" w:hAnsi="Georgia"/>
          <w:color w:val="222222"/>
          <w:sz w:val="20"/>
          <w:szCs w:val="20"/>
        </w:rPr>
        <w:t>550-571</w:t>
      </w:r>
    </w:p>
    <w:p w14:paraId="71BB88DD" w14:textId="77777777" w:rsidR="003352B2" w:rsidRPr="003352B2" w:rsidRDefault="003352B2" w:rsidP="003352B2">
      <w:pPr>
        <w:spacing w:line="480" w:lineRule="auto"/>
        <w:jc w:val="both"/>
        <w:rPr>
          <w:rFonts w:ascii="Georgia" w:hAnsi="Georgia"/>
          <w:color w:val="222222"/>
          <w:sz w:val="20"/>
          <w:szCs w:val="20"/>
        </w:rPr>
      </w:pPr>
      <w:r w:rsidRPr="003352B2">
        <w:rPr>
          <w:rFonts w:ascii="Georgia" w:hAnsi="Georgia"/>
          <w:color w:val="222222"/>
          <w:sz w:val="20"/>
          <w:szCs w:val="20"/>
        </w:rPr>
        <w:t xml:space="preserve">Simion, M, Kelp, C. and </w:t>
      </w:r>
      <w:proofErr w:type="spellStart"/>
      <w:r w:rsidRPr="003352B2">
        <w:rPr>
          <w:rFonts w:ascii="Georgia" w:hAnsi="Georgia"/>
          <w:color w:val="222222"/>
          <w:sz w:val="20"/>
          <w:szCs w:val="20"/>
        </w:rPr>
        <w:t>Ghijsen</w:t>
      </w:r>
      <w:proofErr w:type="spellEnd"/>
      <w:r w:rsidRPr="003352B2">
        <w:rPr>
          <w:rFonts w:ascii="Georgia" w:hAnsi="Georgia"/>
          <w:color w:val="222222"/>
          <w:sz w:val="20"/>
          <w:szCs w:val="20"/>
        </w:rPr>
        <w:t xml:space="preserve">, H. (2016). Norms of Belief. </w:t>
      </w:r>
      <w:r w:rsidRPr="003352B2">
        <w:rPr>
          <w:rFonts w:ascii="Georgia" w:hAnsi="Georgia" w:cs="Arial"/>
          <w:i/>
          <w:iCs/>
          <w:color w:val="000000"/>
          <w:sz w:val="20"/>
          <w:szCs w:val="20"/>
          <w:bdr w:val="none" w:sz="0" w:space="0" w:color="auto" w:frame="1"/>
        </w:rPr>
        <w:t>Philosophical Issues</w:t>
      </w:r>
      <w:r w:rsidRPr="003352B2">
        <w:rPr>
          <w:rFonts w:ascii="Georgia" w:hAnsi="Georgia" w:cs="Arial"/>
          <w:color w:val="000000"/>
          <w:sz w:val="20"/>
          <w:szCs w:val="20"/>
        </w:rPr>
        <w:t>, eds. C. Kelp and J. Lyons, vol. 26(1): 375-392.</w:t>
      </w:r>
    </w:p>
    <w:p w14:paraId="06F78275" w14:textId="392C40B7" w:rsidR="00492EE5" w:rsidRPr="003352B2" w:rsidRDefault="00492EE5" w:rsidP="003352B2">
      <w:pPr>
        <w:spacing w:line="480" w:lineRule="auto"/>
        <w:jc w:val="both"/>
        <w:rPr>
          <w:rFonts w:ascii="Georgia" w:hAnsi="Georgia"/>
          <w:color w:val="222222"/>
          <w:sz w:val="20"/>
          <w:szCs w:val="20"/>
        </w:rPr>
      </w:pPr>
      <w:r w:rsidRPr="003352B2">
        <w:rPr>
          <w:rFonts w:ascii="Georgia" w:hAnsi="Georgia"/>
          <w:color w:val="000000" w:themeColor="text1"/>
          <w:sz w:val="20"/>
          <w:szCs w:val="20"/>
        </w:rPr>
        <w:t xml:space="preserve">Williamson, Timothy (2000). </w:t>
      </w:r>
      <w:r w:rsidRPr="003352B2">
        <w:rPr>
          <w:rFonts w:ascii="Georgia" w:hAnsi="Georgia"/>
          <w:i/>
          <w:iCs/>
          <w:color w:val="000000" w:themeColor="text1"/>
          <w:sz w:val="20"/>
          <w:szCs w:val="20"/>
        </w:rPr>
        <w:t>Knowledge and Its Limits</w:t>
      </w:r>
      <w:r w:rsidRPr="003352B2">
        <w:rPr>
          <w:rFonts w:ascii="Georgia" w:hAnsi="Georgia"/>
          <w:color w:val="000000" w:themeColor="text1"/>
          <w:sz w:val="20"/>
          <w:szCs w:val="20"/>
        </w:rPr>
        <w:t>. Oxford: Oxford University Press.</w:t>
      </w:r>
    </w:p>
    <w:sectPr w:rsidR="00492EE5" w:rsidRPr="003352B2" w:rsidSect="00492EE5">
      <w:footerReference w:type="even" r:id="rId7"/>
      <w:footerReference w:type="default" r:id="rId8"/>
      <w:pgSz w:w="11900" w:h="16840"/>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B6FB" w14:textId="77777777" w:rsidR="00AB31E7" w:rsidRDefault="00AB31E7" w:rsidP="001344F4">
      <w:r>
        <w:separator/>
      </w:r>
    </w:p>
  </w:endnote>
  <w:endnote w:type="continuationSeparator" w:id="0">
    <w:p w14:paraId="7F090345" w14:textId="77777777" w:rsidR="00AB31E7" w:rsidRDefault="00AB31E7" w:rsidP="0013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4527987"/>
      <w:docPartObj>
        <w:docPartGallery w:val="Page Numbers (Bottom of Page)"/>
        <w:docPartUnique/>
      </w:docPartObj>
    </w:sdtPr>
    <w:sdtContent>
      <w:p w14:paraId="56BE7FFC" w14:textId="02B689E5" w:rsidR="003D30EE" w:rsidRDefault="003D30EE" w:rsidP="004A60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80FEDF" w14:textId="77777777" w:rsidR="003D30EE" w:rsidRDefault="003D30EE" w:rsidP="003D30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4334172"/>
      <w:docPartObj>
        <w:docPartGallery w:val="Page Numbers (Bottom of Page)"/>
        <w:docPartUnique/>
      </w:docPartObj>
    </w:sdtPr>
    <w:sdtContent>
      <w:p w14:paraId="56FBA3F7" w14:textId="626D2BE0" w:rsidR="003D30EE" w:rsidRDefault="003D30EE" w:rsidP="004A60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69E178" w14:textId="77777777" w:rsidR="003D30EE" w:rsidRDefault="003D30EE" w:rsidP="003D30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C509B" w14:textId="77777777" w:rsidR="00AB31E7" w:rsidRDefault="00AB31E7" w:rsidP="001344F4">
      <w:r>
        <w:separator/>
      </w:r>
    </w:p>
  </w:footnote>
  <w:footnote w:type="continuationSeparator" w:id="0">
    <w:p w14:paraId="378631DC" w14:textId="77777777" w:rsidR="00AB31E7" w:rsidRDefault="00AB31E7" w:rsidP="001344F4">
      <w:r>
        <w:continuationSeparator/>
      </w:r>
    </w:p>
  </w:footnote>
  <w:footnote w:id="1">
    <w:p w14:paraId="0FB96696" w14:textId="128D14D0" w:rsidR="00B83E70" w:rsidRPr="00B83E70" w:rsidRDefault="00B83E70" w:rsidP="00B83E70">
      <w:pPr>
        <w:pStyle w:val="FootnoteText"/>
        <w:spacing w:line="480" w:lineRule="auto"/>
        <w:rPr>
          <w:rFonts w:ascii="Georgia" w:hAnsi="Georgia"/>
          <w:sz w:val="16"/>
          <w:szCs w:val="16"/>
          <w:lang w:val="en-GB"/>
        </w:rPr>
      </w:pPr>
      <w:r w:rsidRPr="00B83E70">
        <w:rPr>
          <w:rStyle w:val="FootnoteReference"/>
          <w:rFonts w:ascii="Georgia" w:hAnsi="Georgia"/>
          <w:sz w:val="16"/>
          <w:szCs w:val="16"/>
        </w:rPr>
        <w:footnoteRef/>
      </w:r>
      <w:r w:rsidRPr="00B83E70">
        <w:rPr>
          <w:rFonts w:ascii="Georgia" w:hAnsi="Georgia"/>
          <w:sz w:val="16"/>
          <w:szCs w:val="16"/>
        </w:rPr>
        <w:t xml:space="preserve"> </w:t>
      </w:r>
      <w:r w:rsidRPr="00B83E70">
        <w:rPr>
          <w:rFonts w:ascii="Georgia" w:hAnsi="Georgia"/>
          <w:sz w:val="16"/>
          <w:szCs w:val="16"/>
          <w:lang w:val="en-GB"/>
        </w:rPr>
        <w:t xml:space="preserve">See (Benton 2014) for controversies over the knowledge norm of belief. </w:t>
      </w:r>
    </w:p>
  </w:footnote>
  <w:footnote w:id="2">
    <w:p w14:paraId="5718C6A5" w14:textId="21FA9BF4" w:rsidR="003D30EE" w:rsidRPr="003D30EE" w:rsidRDefault="003D30EE" w:rsidP="00B83E70">
      <w:pPr>
        <w:pStyle w:val="FootnoteText"/>
        <w:spacing w:line="480" w:lineRule="auto"/>
        <w:rPr>
          <w:rFonts w:ascii="Georgia" w:hAnsi="Georgia"/>
          <w:sz w:val="16"/>
          <w:szCs w:val="16"/>
          <w:lang w:val="en-GB"/>
        </w:rPr>
      </w:pPr>
      <w:r w:rsidRPr="003D30EE">
        <w:rPr>
          <w:rStyle w:val="FootnoteReference"/>
          <w:rFonts w:ascii="Georgia" w:hAnsi="Georgia"/>
          <w:sz w:val="16"/>
          <w:szCs w:val="16"/>
        </w:rPr>
        <w:footnoteRef/>
      </w:r>
      <w:r w:rsidRPr="003D30EE">
        <w:rPr>
          <w:rFonts w:ascii="Georgia" w:hAnsi="Georgia"/>
          <w:sz w:val="16"/>
          <w:szCs w:val="16"/>
        </w:rPr>
        <w:t xml:space="preserve"> </w:t>
      </w:r>
      <w:r w:rsidRPr="003D30EE">
        <w:rPr>
          <w:rFonts w:ascii="Georgia" w:hAnsi="Georgia"/>
          <w:sz w:val="16"/>
          <w:szCs w:val="16"/>
          <w:lang w:val="en-GB"/>
        </w:rPr>
        <w:t xml:space="preserve">See Williamson 2000 for the first defence of this claim and </w:t>
      </w:r>
      <w:r w:rsidR="006245E8">
        <w:rPr>
          <w:rFonts w:ascii="Georgia" w:hAnsi="Georgia"/>
          <w:sz w:val="16"/>
          <w:szCs w:val="16"/>
          <w:lang w:val="en-GB"/>
        </w:rPr>
        <w:t xml:space="preserve">Simion et al (2016) for </w:t>
      </w:r>
      <w:r w:rsidR="00A07C93">
        <w:rPr>
          <w:rFonts w:ascii="Georgia" w:hAnsi="Georgia"/>
          <w:sz w:val="16"/>
          <w:szCs w:val="16"/>
          <w:lang w:val="en-GB"/>
        </w:rPr>
        <w:t xml:space="preserve">further development.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61D3A"/>
    <w:multiLevelType w:val="hybridMultilevel"/>
    <w:tmpl w:val="DB4EE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03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5A"/>
    <w:rsid w:val="000741F6"/>
    <w:rsid w:val="00134020"/>
    <w:rsid w:val="001344F4"/>
    <w:rsid w:val="00162F2B"/>
    <w:rsid w:val="001B4228"/>
    <w:rsid w:val="0029555A"/>
    <w:rsid w:val="002F7073"/>
    <w:rsid w:val="003352B2"/>
    <w:rsid w:val="003D30EE"/>
    <w:rsid w:val="003D3660"/>
    <w:rsid w:val="00413C80"/>
    <w:rsid w:val="0045386D"/>
    <w:rsid w:val="00492EE5"/>
    <w:rsid w:val="004C2157"/>
    <w:rsid w:val="00545C20"/>
    <w:rsid w:val="00587829"/>
    <w:rsid w:val="005D6600"/>
    <w:rsid w:val="006245E8"/>
    <w:rsid w:val="00705E71"/>
    <w:rsid w:val="00730402"/>
    <w:rsid w:val="007F5FFE"/>
    <w:rsid w:val="00803D17"/>
    <w:rsid w:val="00821DDE"/>
    <w:rsid w:val="008C141C"/>
    <w:rsid w:val="008D6857"/>
    <w:rsid w:val="008E3E36"/>
    <w:rsid w:val="008F1B57"/>
    <w:rsid w:val="00942BCB"/>
    <w:rsid w:val="009A354C"/>
    <w:rsid w:val="009A72AE"/>
    <w:rsid w:val="00A07C93"/>
    <w:rsid w:val="00A57BD3"/>
    <w:rsid w:val="00AB31E7"/>
    <w:rsid w:val="00B02FA0"/>
    <w:rsid w:val="00B52AF5"/>
    <w:rsid w:val="00B83E70"/>
    <w:rsid w:val="00B85F46"/>
    <w:rsid w:val="00BB663C"/>
    <w:rsid w:val="00C112DC"/>
    <w:rsid w:val="00CB647B"/>
    <w:rsid w:val="00CB728B"/>
    <w:rsid w:val="00CF126A"/>
    <w:rsid w:val="00D331DF"/>
    <w:rsid w:val="00D349DE"/>
    <w:rsid w:val="00D72758"/>
    <w:rsid w:val="00D82E12"/>
    <w:rsid w:val="00DC0F8E"/>
    <w:rsid w:val="00DC6606"/>
    <w:rsid w:val="00E5600A"/>
    <w:rsid w:val="00ED4D3A"/>
    <w:rsid w:val="00F47368"/>
    <w:rsid w:val="00F51B29"/>
    <w:rsid w:val="00F568E2"/>
    <w:rsid w:val="00F767F6"/>
    <w:rsid w:val="00FB78CC"/>
    <w:rsid w:val="00FC1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9323A8"/>
  <w14:defaultImageDpi w14:val="300"/>
  <w15:docId w15:val="{2EC65053-AB5B-994E-AB84-0B3ECDAC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2B2"/>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3D36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42BC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55A"/>
    <w:pPr>
      <w:ind w:left="720"/>
      <w:contextualSpacing/>
    </w:pPr>
    <w:rPr>
      <w:rFonts w:asciiTheme="minorHAnsi" w:eastAsiaTheme="minorEastAsia" w:hAnsiTheme="minorHAnsi" w:cstheme="minorBidi"/>
      <w:lang w:val="en-US" w:eastAsia="en-US"/>
    </w:rPr>
  </w:style>
  <w:style w:type="paragraph" w:styleId="FootnoteText">
    <w:name w:val="footnote text"/>
    <w:basedOn w:val="Normal"/>
    <w:link w:val="FootnoteTextChar"/>
    <w:uiPriority w:val="99"/>
    <w:unhideWhenUsed/>
    <w:rsid w:val="001344F4"/>
    <w:rPr>
      <w:rFonts w:asciiTheme="minorHAnsi" w:eastAsiaTheme="minorEastAsia" w:hAnsiTheme="minorHAnsi" w:cstheme="minorBidi"/>
      <w:lang w:val="en-US" w:eastAsia="en-US"/>
    </w:rPr>
  </w:style>
  <w:style w:type="character" w:customStyle="1" w:styleId="FootnoteTextChar">
    <w:name w:val="Footnote Text Char"/>
    <w:basedOn w:val="DefaultParagraphFont"/>
    <w:link w:val="FootnoteText"/>
    <w:uiPriority w:val="99"/>
    <w:rsid w:val="001344F4"/>
  </w:style>
  <w:style w:type="character" w:styleId="FootnoteReference">
    <w:name w:val="footnote reference"/>
    <w:basedOn w:val="DefaultParagraphFont"/>
    <w:uiPriority w:val="99"/>
    <w:unhideWhenUsed/>
    <w:rsid w:val="001344F4"/>
    <w:rPr>
      <w:vertAlign w:val="superscript"/>
    </w:rPr>
  </w:style>
  <w:style w:type="character" w:customStyle="1" w:styleId="apple-converted-space">
    <w:name w:val="apple-converted-space"/>
    <w:basedOn w:val="DefaultParagraphFont"/>
    <w:rsid w:val="008D6857"/>
  </w:style>
  <w:style w:type="character" w:styleId="Emphasis">
    <w:name w:val="Emphasis"/>
    <w:basedOn w:val="DefaultParagraphFont"/>
    <w:uiPriority w:val="20"/>
    <w:qFormat/>
    <w:rsid w:val="008D6857"/>
    <w:rPr>
      <w:i/>
      <w:iCs/>
    </w:rPr>
  </w:style>
  <w:style w:type="paragraph" w:styleId="Footer">
    <w:name w:val="footer"/>
    <w:basedOn w:val="Normal"/>
    <w:link w:val="FooterChar"/>
    <w:uiPriority w:val="99"/>
    <w:unhideWhenUsed/>
    <w:rsid w:val="003D30EE"/>
    <w:pPr>
      <w:tabs>
        <w:tab w:val="center" w:pos="4513"/>
        <w:tab w:val="right" w:pos="9026"/>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3D30EE"/>
  </w:style>
  <w:style w:type="character" w:styleId="PageNumber">
    <w:name w:val="page number"/>
    <w:basedOn w:val="DefaultParagraphFont"/>
    <w:uiPriority w:val="99"/>
    <w:semiHidden/>
    <w:unhideWhenUsed/>
    <w:rsid w:val="003D30EE"/>
  </w:style>
  <w:style w:type="character" w:customStyle="1" w:styleId="Heading2Char">
    <w:name w:val="Heading 2 Char"/>
    <w:basedOn w:val="DefaultParagraphFont"/>
    <w:link w:val="Heading2"/>
    <w:uiPriority w:val="9"/>
    <w:rsid w:val="00942BCB"/>
    <w:rPr>
      <w:rFonts w:ascii="Times New Roman" w:eastAsia="Times New Roman" w:hAnsi="Times New Roman" w:cs="Times New Roman"/>
      <w:b/>
      <w:bCs/>
      <w:sz w:val="36"/>
      <w:szCs w:val="36"/>
      <w:lang w:val="en-GB" w:eastAsia="en-GB"/>
    </w:rPr>
  </w:style>
  <w:style w:type="character" w:styleId="Hyperlink">
    <w:name w:val="Hyperlink"/>
    <w:basedOn w:val="DefaultParagraphFont"/>
    <w:uiPriority w:val="99"/>
    <w:semiHidden/>
    <w:unhideWhenUsed/>
    <w:rsid w:val="007F5FFE"/>
    <w:rPr>
      <w:color w:val="0000FF"/>
      <w:u w:val="single"/>
    </w:rPr>
  </w:style>
  <w:style w:type="character" w:customStyle="1" w:styleId="Heading1Char">
    <w:name w:val="Heading 1 Char"/>
    <w:basedOn w:val="DefaultParagraphFont"/>
    <w:link w:val="Heading1"/>
    <w:uiPriority w:val="9"/>
    <w:rsid w:val="003D3660"/>
    <w:rPr>
      <w:rFonts w:asciiTheme="majorHAnsi" w:eastAsiaTheme="majorEastAsia" w:hAnsiTheme="majorHAnsi" w:cstheme="majorBidi"/>
      <w:color w:val="365F91"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5191">
      <w:bodyDiv w:val="1"/>
      <w:marLeft w:val="0"/>
      <w:marRight w:val="0"/>
      <w:marTop w:val="0"/>
      <w:marBottom w:val="0"/>
      <w:divBdr>
        <w:top w:val="none" w:sz="0" w:space="0" w:color="auto"/>
        <w:left w:val="none" w:sz="0" w:space="0" w:color="auto"/>
        <w:bottom w:val="none" w:sz="0" w:space="0" w:color="auto"/>
        <w:right w:val="none" w:sz="0" w:space="0" w:color="auto"/>
      </w:divBdr>
    </w:div>
    <w:div w:id="524908058">
      <w:bodyDiv w:val="1"/>
      <w:marLeft w:val="0"/>
      <w:marRight w:val="0"/>
      <w:marTop w:val="0"/>
      <w:marBottom w:val="0"/>
      <w:divBdr>
        <w:top w:val="none" w:sz="0" w:space="0" w:color="auto"/>
        <w:left w:val="none" w:sz="0" w:space="0" w:color="auto"/>
        <w:bottom w:val="none" w:sz="0" w:space="0" w:color="auto"/>
        <w:right w:val="none" w:sz="0" w:space="0" w:color="auto"/>
      </w:divBdr>
    </w:div>
    <w:div w:id="577253991">
      <w:bodyDiv w:val="1"/>
      <w:marLeft w:val="0"/>
      <w:marRight w:val="0"/>
      <w:marTop w:val="0"/>
      <w:marBottom w:val="0"/>
      <w:divBdr>
        <w:top w:val="none" w:sz="0" w:space="0" w:color="auto"/>
        <w:left w:val="none" w:sz="0" w:space="0" w:color="auto"/>
        <w:bottom w:val="none" w:sz="0" w:space="0" w:color="auto"/>
        <w:right w:val="none" w:sz="0" w:space="0" w:color="auto"/>
      </w:divBdr>
    </w:div>
    <w:div w:id="745300895">
      <w:bodyDiv w:val="1"/>
      <w:marLeft w:val="0"/>
      <w:marRight w:val="0"/>
      <w:marTop w:val="0"/>
      <w:marBottom w:val="0"/>
      <w:divBdr>
        <w:top w:val="none" w:sz="0" w:space="0" w:color="auto"/>
        <w:left w:val="none" w:sz="0" w:space="0" w:color="auto"/>
        <w:bottom w:val="none" w:sz="0" w:space="0" w:color="auto"/>
        <w:right w:val="none" w:sz="0" w:space="0" w:color="auto"/>
      </w:divBdr>
    </w:div>
    <w:div w:id="1858764557">
      <w:bodyDiv w:val="1"/>
      <w:marLeft w:val="0"/>
      <w:marRight w:val="0"/>
      <w:marTop w:val="0"/>
      <w:marBottom w:val="0"/>
      <w:divBdr>
        <w:top w:val="none" w:sz="0" w:space="0" w:color="auto"/>
        <w:left w:val="none" w:sz="0" w:space="0" w:color="auto"/>
        <w:bottom w:val="none" w:sz="0" w:space="0" w:color="auto"/>
        <w:right w:val="none" w:sz="0" w:space="0" w:color="auto"/>
      </w:divBdr>
    </w:div>
    <w:div w:id="2003192317">
      <w:bodyDiv w:val="1"/>
      <w:marLeft w:val="0"/>
      <w:marRight w:val="0"/>
      <w:marTop w:val="0"/>
      <w:marBottom w:val="0"/>
      <w:divBdr>
        <w:top w:val="none" w:sz="0" w:space="0" w:color="auto"/>
        <w:left w:val="none" w:sz="0" w:space="0" w:color="auto"/>
        <w:bottom w:val="none" w:sz="0" w:space="0" w:color="auto"/>
        <w:right w:val="none" w:sz="0" w:space="0" w:color="auto"/>
      </w:divBdr>
      <w:divsChild>
        <w:div w:id="1532106544">
          <w:marLeft w:val="0"/>
          <w:marRight w:val="0"/>
          <w:marTop w:val="0"/>
          <w:marBottom w:val="0"/>
          <w:divBdr>
            <w:top w:val="none" w:sz="0" w:space="0" w:color="auto"/>
            <w:left w:val="none" w:sz="0" w:space="0" w:color="auto"/>
            <w:bottom w:val="none" w:sz="0" w:space="0" w:color="auto"/>
            <w:right w:val="none" w:sz="0" w:space="0" w:color="auto"/>
          </w:divBdr>
        </w:div>
        <w:div w:id="19230710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Kuleuven</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Simionescu</dc:creator>
  <cp:keywords/>
  <dc:description/>
  <cp:lastModifiedBy>Mona Simion</cp:lastModifiedBy>
  <cp:revision>14</cp:revision>
  <dcterms:created xsi:type="dcterms:W3CDTF">2022-07-13T19:53:00Z</dcterms:created>
  <dcterms:modified xsi:type="dcterms:W3CDTF">2023-12-21T10:25:00Z</dcterms:modified>
</cp:coreProperties>
</file>