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AA54" w14:textId="77777777" w:rsidR="003A3EA7" w:rsidRDefault="00000000">
      <w:pPr>
        <w:jc w:val="center"/>
        <w:rPr>
          <w:b/>
          <w:sz w:val="36"/>
          <w:szCs w:val="36"/>
        </w:rPr>
      </w:pPr>
      <w:r>
        <w:rPr>
          <w:b/>
          <w:sz w:val="36"/>
          <w:szCs w:val="36"/>
        </w:rPr>
        <w:t xml:space="preserve">Moral and </w:t>
      </w:r>
      <w:proofErr w:type="spellStart"/>
      <w:r>
        <w:rPr>
          <w:b/>
          <w:sz w:val="36"/>
          <w:szCs w:val="36"/>
        </w:rPr>
        <w:t>Moorean</w:t>
      </w:r>
      <w:proofErr w:type="spellEnd"/>
      <w:r>
        <w:rPr>
          <w:b/>
          <w:sz w:val="36"/>
          <w:szCs w:val="36"/>
        </w:rPr>
        <w:t xml:space="preserve"> Incoherencies  </w:t>
      </w:r>
    </w:p>
    <w:p w14:paraId="2AC53A4C" w14:textId="77777777" w:rsidR="003A3EA7" w:rsidRDefault="00000000">
      <w:pPr>
        <w:jc w:val="center"/>
      </w:pPr>
      <w:r>
        <w:t xml:space="preserve">Words: 8369 </w:t>
      </w:r>
    </w:p>
    <w:p w14:paraId="6B5A5105" w14:textId="77777777" w:rsidR="003A3EA7" w:rsidRDefault="003A3EA7">
      <w:pPr>
        <w:jc w:val="center"/>
      </w:pPr>
    </w:p>
    <w:p w14:paraId="02E31DBD" w14:textId="77777777" w:rsidR="003A3EA7" w:rsidRDefault="00000000">
      <w:pPr>
        <w:jc w:val="center"/>
      </w:pPr>
      <w:r>
        <w:t xml:space="preserve">Andrés Soria-Ruiz, Logos, University of Barcelona, Nils </w:t>
      </w:r>
      <w:proofErr w:type="spellStart"/>
      <w:r>
        <w:t>Franzén</w:t>
      </w:r>
      <w:proofErr w:type="spellEnd"/>
      <w:r>
        <w:t xml:space="preserve">, </w:t>
      </w:r>
      <w:proofErr w:type="spellStart"/>
      <w:r>
        <w:t>Umeå</w:t>
      </w:r>
      <w:proofErr w:type="spellEnd"/>
      <w:r>
        <w:t xml:space="preserve"> University.</w:t>
      </w:r>
    </w:p>
    <w:p w14:paraId="5DF884F2" w14:textId="77777777" w:rsidR="003A3EA7" w:rsidRDefault="00000000">
      <w:pPr>
        <w:jc w:val="center"/>
        <w:rPr>
          <w:i/>
        </w:rPr>
      </w:pPr>
      <w:r>
        <w:t xml:space="preserve">Forthcoming in </w:t>
      </w:r>
      <w:r>
        <w:rPr>
          <w:i/>
        </w:rPr>
        <w:t>Ergo</w:t>
      </w:r>
    </w:p>
    <w:p w14:paraId="221114FB" w14:textId="77777777" w:rsidR="003A3EA7" w:rsidRDefault="003A3EA7">
      <w:pPr>
        <w:sectPr w:rsidR="003A3EA7">
          <w:headerReference w:type="default" r:id="rId7"/>
          <w:footerReference w:type="default" r:id="rId8"/>
          <w:pgSz w:w="11906" w:h="16838"/>
          <w:pgMar w:top="1440" w:right="1440" w:bottom="1440" w:left="1440" w:header="680" w:footer="680" w:gutter="0"/>
          <w:pgNumType w:start="1"/>
          <w:cols w:space="720"/>
        </w:sectPr>
      </w:pPr>
    </w:p>
    <w:p w14:paraId="045E9C3B" w14:textId="77777777" w:rsidR="003A3EA7" w:rsidRDefault="00000000">
      <w:pPr>
        <w:spacing w:after="120"/>
        <w:ind w:left="720" w:right="526"/>
      </w:pPr>
      <w:r>
        <w:rPr>
          <w:b/>
        </w:rPr>
        <w:t xml:space="preserve">Abstract </w:t>
      </w:r>
      <w:r>
        <w:t xml:space="preserve">It has been argued that moral assertions involve the possession, on the part of the speaker, of appropriate non-cognitive attitudes. Thus, uttering 'murder is wrong' invites an inference that the speaker disapproves of murder. In this paper, we present the result of 4 empirical studies concerning this phenomenon. We assess the acceptability of constructions in which that inference is explicitly canceled, such as 'murder is wrong but I don't disapprove of it'; and we compare them to similar constructions involving 'think' instead of 'disapprove'—that is, Moore paradoxes ('murder is wrong but I don't think that it is wrong'). Our results indicate that the former type of constructions </w:t>
      </w:r>
      <w:proofErr w:type="gramStart"/>
      <w:r>
        <w:t>are</w:t>
      </w:r>
      <w:proofErr w:type="gramEnd"/>
      <w:r>
        <w:t xml:space="preserve"> largely infelicitous, although not as infelicitous as their </w:t>
      </w:r>
      <w:proofErr w:type="spellStart"/>
      <w:r>
        <w:t>Moorean</w:t>
      </w:r>
      <w:proofErr w:type="spellEnd"/>
      <w:r>
        <w:t xml:space="preserve"> counterparts.</w:t>
      </w:r>
    </w:p>
    <w:p w14:paraId="3C9C3C01" w14:textId="77777777" w:rsidR="003A3EA7" w:rsidRDefault="003A3EA7">
      <w:pPr>
        <w:spacing w:after="120"/>
        <w:rPr>
          <w:b/>
        </w:rPr>
      </w:pPr>
    </w:p>
    <w:p w14:paraId="50B6D186" w14:textId="77777777" w:rsidR="003A3EA7" w:rsidRDefault="00000000">
      <w:pPr>
        <w:spacing w:after="120" w:line="480" w:lineRule="auto"/>
        <w:rPr>
          <w:b/>
        </w:rPr>
      </w:pPr>
      <w:r>
        <w:rPr>
          <w:b/>
        </w:rPr>
        <w:t>Introduction</w:t>
      </w:r>
    </w:p>
    <w:p w14:paraId="1090CF62" w14:textId="77777777" w:rsidR="003A3EA7" w:rsidRDefault="00000000">
      <w:pPr>
        <w:spacing w:before="120" w:after="120" w:line="480" w:lineRule="auto"/>
      </w:pPr>
      <w:r>
        <w:t xml:space="preserve">The last twenty years have witnessed the rise of empirically oriented philosophy of language. But </w:t>
      </w:r>
      <w:proofErr w:type="gramStart"/>
      <w:r>
        <w:t>despite the fact that</w:t>
      </w:r>
      <w:proofErr w:type="gramEnd"/>
      <w:r>
        <w:t xml:space="preserve"> a central concern of metaethics is the meaning of moral terms, there are few empirical studies about the meaning of such terms.</w:t>
      </w:r>
      <w:r w:rsidRPr="00515B0A">
        <w:rPr>
          <w:rStyle w:val="Fotnotsreferens"/>
        </w:rPr>
        <w:footnoteReference w:id="1"/>
      </w:r>
      <w:r>
        <w:t xml:space="preserve"> Our purpose is to remedy this, by beginning to empirically investigate some of the central claims about moral discourse made within metaethical research. </w:t>
      </w:r>
    </w:p>
    <w:p w14:paraId="1E70A3F1" w14:textId="77777777" w:rsidR="003A3EA7" w:rsidRDefault="00000000">
      <w:pPr>
        <w:spacing w:before="120" w:after="120" w:line="480" w:lineRule="auto"/>
      </w:pPr>
      <w:r>
        <w:t xml:space="preserve">In this paper, we investigate </w:t>
      </w:r>
      <w:proofErr w:type="spellStart"/>
      <w:r>
        <w:t>expressivism</w:t>
      </w:r>
      <w:proofErr w:type="spellEnd"/>
      <w:r>
        <w:t xml:space="preserve"> and the empirical claim that moral statements express non-cognitive states of mind. We present the first piece of formal empirical evidence in favor of the existence of a connection between the use of moral language and the practical attitudes of speakers. As motivational </w:t>
      </w:r>
      <w:proofErr w:type="spellStart"/>
      <w:r>
        <w:t>internalists</w:t>
      </w:r>
      <w:proofErr w:type="spellEnd"/>
      <w:r>
        <w:t xml:space="preserve"> highlight, judging that murder is wrong involves being in a certain motivational, desire-like state towards murdering  (see e.g., </w:t>
      </w:r>
      <w:hyperlink r:id="rId9">
        <w:proofErr w:type="spellStart"/>
        <w:r>
          <w:t>Björnsson</w:t>
        </w:r>
        <w:proofErr w:type="spellEnd"/>
        <w:r>
          <w:t xml:space="preserve"> et al., 2015; </w:t>
        </w:r>
      </w:hyperlink>
      <w:hyperlink r:id="rId10">
        <w:r>
          <w:t xml:space="preserve">Rosati, 2016; </w:t>
        </w:r>
        <w:proofErr w:type="spellStart"/>
        <w:r>
          <w:t>Svavarsdottir</w:t>
        </w:r>
        <w:proofErr w:type="spellEnd"/>
        <w:r>
          <w:t>, 2006, for some overviews</w:t>
        </w:r>
      </w:hyperlink>
      <w:hyperlink r:id="rId11">
        <w:r>
          <w:t>)</w:t>
        </w:r>
      </w:hyperlink>
      <w:r>
        <w:t xml:space="preserve">. We propose to treat that claim as a thesis about natural language, specifically as the thesis that assertions containing </w:t>
      </w:r>
      <w:r>
        <w:rPr>
          <w:i/>
        </w:rPr>
        <w:t>moral adjectives carry an inference that the speaker is in a state of (dis-)approval towards whatever the moral adjective is applied to</w:t>
      </w:r>
      <w:r>
        <w:t xml:space="preserve">. Why do assertions with moral adjectives </w:t>
      </w:r>
      <w:r>
        <w:lastRenderedPageBreak/>
        <w:t>carry such inferences, and what type of inference is this? These are the questions that we tackle in this paper.</w:t>
      </w:r>
    </w:p>
    <w:p w14:paraId="624E1703" w14:textId="77777777" w:rsidR="003A3EA7" w:rsidRDefault="00000000">
      <w:pPr>
        <w:spacing w:before="120" w:after="120" w:line="480" w:lineRule="auto"/>
        <w:ind w:right="-40"/>
      </w:pPr>
      <w:r>
        <w:t xml:space="preserve">To begin answering those questions, we present the results of four empirical studies, focused on the moral adjective ‘wrong’. Their purpose is to assess the acceptability of constructions in which that inference is canceled, that is, sentences like ‘murder is </w:t>
      </w:r>
      <w:proofErr w:type="gramStart"/>
      <w:r>
        <w:t>wrong</w:t>
      </w:r>
      <w:proofErr w:type="gramEnd"/>
      <w:r>
        <w:t xml:space="preserve"> but I don’t disapprove of it’. </w:t>
      </w:r>
    </w:p>
    <w:p w14:paraId="68D5AC59" w14:textId="77777777" w:rsidR="003A3EA7" w:rsidRDefault="00000000">
      <w:pPr>
        <w:spacing w:before="120" w:after="120" w:line="480" w:lineRule="auto"/>
        <w:ind w:right="-40"/>
      </w:pPr>
      <w:r>
        <w:t xml:space="preserve">Our experiments compare the acceptability of those constructions to the acceptability of similar constructions involving the verb ‘think’, that is, Moore’s paradoxes (‘murder is </w:t>
      </w:r>
      <w:proofErr w:type="gramStart"/>
      <w:r>
        <w:t>wrong</w:t>
      </w:r>
      <w:proofErr w:type="gramEnd"/>
      <w:r>
        <w:t xml:space="preserve"> but I don’t think that it is wrong’). The purpose of that comparison is to shed light on the Parity Thesis, the view that moral sentences express non-cognitive attitudes (like disapproval) in the same way that declarative sentences express cognitive attitudes (like belief, </w:t>
      </w:r>
      <w:hyperlink r:id="rId12">
        <w:r>
          <w:t>(Schroeder, 2008, p. 3</w:t>
        </w:r>
      </w:hyperlink>
      <w:r>
        <w:t xml:space="preserve">)). Jack Woods </w:t>
      </w:r>
      <w:hyperlink r:id="rId13">
        <w:r>
          <w:t>(2014)</w:t>
        </w:r>
      </w:hyperlink>
      <w:r>
        <w:t xml:space="preserve"> has made the following point: If declarative sentences containing, e.g., ‘wrong’, express disapproval just as the use of any declarative sentence expresses belief, then one would expect that conjoining one such sentence with a negative ascription of disapproval should result in infelicity, just like conjoining any declarative sentence with a negative ascription of belief results in a Moore paradox. </w:t>
      </w:r>
    </w:p>
    <w:p w14:paraId="6841BF80" w14:textId="77777777" w:rsidR="003A3EA7" w:rsidRDefault="00000000">
      <w:pPr>
        <w:spacing w:before="120" w:after="120" w:line="480" w:lineRule="auto"/>
        <w:ind w:right="-40"/>
      </w:pPr>
      <w:r>
        <w:t xml:space="preserve">Woods furthermore argues that this prediction is not borne out, since he finds constructions like ‘murder is </w:t>
      </w:r>
      <w:proofErr w:type="gramStart"/>
      <w:r>
        <w:t>wrong</w:t>
      </w:r>
      <w:proofErr w:type="gramEnd"/>
      <w:r>
        <w:t xml:space="preserve"> but I don’t disapprove of it’ acceptable. Taking Woods’ observations as starting point for our empirical investigation, our results paint a more complicated picture: </w:t>
      </w:r>
      <w:proofErr w:type="gramStart"/>
      <w:r>
        <w:t>Similarly</w:t>
      </w:r>
      <w:proofErr w:type="gramEnd"/>
      <w:r>
        <w:t xml:space="preserve"> to Moore’s paradoxes, constructions like ‘murder is wrong but I don’t disapprove of it’ are significantly less acceptable than similar constructions mentioning a different person than the speaker (‘murder is wrong but Ann doesn’t disapprove of it’). However, this effect is weaker for ‘disapproval’-constructions than for Moore’s paradoxes. Moreover, the infelicity of ‘disapproval’-constructions is bolstered when we rule out so-called </w:t>
      </w:r>
      <w:r>
        <w:rPr>
          <w:i/>
        </w:rPr>
        <w:t>exocentric</w:t>
      </w:r>
      <w:r>
        <w:t xml:space="preserve"> readings of moral sentences </w:t>
      </w:r>
      <w:hyperlink r:id="rId14">
        <w:r>
          <w:t xml:space="preserve">(Hare, 1952; </w:t>
        </w:r>
        <w:proofErr w:type="spellStart"/>
        <w:r>
          <w:t>Lasersohn</w:t>
        </w:r>
        <w:proofErr w:type="spellEnd"/>
        <w:r>
          <w:t>, 2005; Stephenson, 2007)</w:t>
        </w:r>
      </w:hyperlink>
      <w:r>
        <w:t xml:space="preserve">. </w:t>
      </w:r>
    </w:p>
    <w:p w14:paraId="3D5C844A" w14:textId="77777777" w:rsidR="003A3EA7" w:rsidRDefault="00000000">
      <w:pPr>
        <w:spacing w:before="120" w:after="120" w:line="480" w:lineRule="auto"/>
        <w:ind w:right="-40"/>
      </w:pPr>
      <w:r>
        <w:lastRenderedPageBreak/>
        <w:t>Here is a preview: We ran 4 studies.</w:t>
      </w:r>
      <w:r w:rsidRPr="00515B0A">
        <w:rPr>
          <w:rStyle w:val="Fotnotsreferens"/>
        </w:rPr>
        <w:footnoteReference w:id="2"/>
      </w:r>
      <w:r>
        <w:t xml:space="preserve"> The first, Preliminary Study was designed to compare the acceptability of Moore’s paradoxes built with moral vs. non-moral predicates (‘murder is wrong/</w:t>
      </w:r>
      <w:proofErr w:type="gramStart"/>
      <w:r>
        <w:t>common</w:t>
      </w:r>
      <w:proofErr w:type="gramEnd"/>
      <w:r>
        <w:t xml:space="preserve"> but I don’t think that it is wrong/common’). Since no significant difference was found between these, in Study 1 we compared the acceptability of Moore paradoxes with moral predicates (‘murder is </w:t>
      </w:r>
      <w:proofErr w:type="gramStart"/>
      <w:r>
        <w:t>wrong</w:t>
      </w:r>
      <w:proofErr w:type="gramEnd"/>
      <w:r>
        <w:t xml:space="preserve"> but I don’t think that it is wrong’) to similar constructions involving ‘disapprove’ instead of ‘think’ (‘murder is wrong but I don’t disapprove of it’). In Studies 2 and 3, we ran two variations of Study 1: In Study 2, we tested whether subjects might be interpreting the moral predicates in a way that allows for exceptions. To control for that potential interpretation, we added the qualification ‘under any circumstance’ throughout our test items (‘murder is wrong under any </w:t>
      </w:r>
      <w:proofErr w:type="gramStart"/>
      <w:r>
        <w:t>circumstance</w:t>
      </w:r>
      <w:proofErr w:type="gramEnd"/>
      <w:r>
        <w:t xml:space="preserve"> but I don’t disapprove of it under any circumstance’). However, we did not find this variation to have an impact on our results. In Study 3, we tested whether subjects might be interpreting the moral sentences </w:t>
      </w:r>
      <w:r>
        <w:rPr>
          <w:i/>
        </w:rPr>
        <w:t>exocentrically</w:t>
      </w:r>
      <w:r>
        <w:t>, that is, expressing someone else’s moral views. To control for that, we added the qualification ‘that’s my opinion’ throughout our test items (‘murder is wrong, that’s my opinion, but I don’t disapprove of it’). Participants did find these constructions significantly less acceptable than those in Study 1.</w:t>
      </w:r>
    </w:p>
    <w:p w14:paraId="214BEF37" w14:textId="77777777" w:rsidR="003A3EA7" w:rsidRDefault="00000000">
      <w:pPr>
        <w:spacing w:before="120" w:after="120" w:line="480" w:lineRule="auto"/>
        <w:ind w:right="-40"/>
      </w:pPr>
      <w:r>
        <w:t>We take our results to provide initial evidence in favor of the existence of a relatively robust connection between moral language and non-cognitive attitudes.</w:t>
      </w:r>
    </w:p>
    <w:p w14:paraId="7924CCC5" w14:textId="77777777" w:rsidR="003A3EA7" w:rsidRDefault="00000000">
      <w:pPr>
        <w:spacing w:before="120" w:after="120" w:line="480" w:lineRule="auto"/>
        <w:ind w:right="-40"/>
        <w:rPr>
          <w:b/>
        </w:rPr>
      </w:pPr>
      <w:r>
        <w:rPr>
          <w:b/>
        </w:rPr>
        <w:t xml:space="preserve">1. Background (I): The disapproval inference </w:t>
      </w:r>
    </w:p>
    <w:p w14:paraId="13D09FD3" w14:textId="77777777" w:rsidR="003A3EA7" w:rsidRDefault="00000000">
      <w:pPr>
        <w:spacing w:before="120" w:after="120" w:line="480" w:lineRule="auto"/>
        <w:ind w:right="-40"/>
      </w:pPr>
      <w:r>
        <w:t xml:space="preserve">In this section, we argue that the inference triggered by moral adjectives cannot be straightforwardly assimilated to other, well-known natural language inferences, such as entailment, presupposition, or implicature. </w:t>
      </w:r>
      <w:proofErr w:type="gramStart"/>
      <w:r>
        <w:t>In particular, it</w:t>
      </w:r>
      <w:proofErr w:type="gramEnd"/>
      <w:r>
        <w:t xml:space="preserve"> is not clear whether the inference </w:t>
      </w:r>
      <w:r>
        <w:lastRenderedPageBreak/>
        <w:t>can be canceled, which suffices to motivate an empirical investigation of this issue.</w:t>
      </w:r>
      <w:r w:rsidRPr="00515B0A">
        <w:rPr>
          <w:rStyle w:val="Fotnotsreferens"/>
        </w:rPr>
        <w:footnoteReference w:id="3"/>
      </w:r>
      <w:r>
        <w:t xml:space="preserve"> The linguistic correlate of the claim that moral judgment involves motivation is the claim that moral language triggers an inference that the speaker is in a motivational state, e.g., a state of (dis-)approval. We will henceforth call this the </w:t>
      </w:r>
      <w:r>
        <w:rPr>
          <w:i/>
        </w:rPr>
        <w:t>dis/approval inference</w:t>
      </w:r>
      <w:r>
        <w:rPr>
          <w:rFonts w:ascii="Cardo" w:eastAsia="Cardo" w:hAnsi="Cardo" w:cs="Cardo"/>
        </w:rPr>
        <w:t>, (DI). We represent this inference with the symbol ↝:</w:t>
      </w:r>
    </w:p>
    <w:p w14:paraId="459017AD" w14:textId="77777777" w:rsidR="003A3EA7" w:rsidRDefault="00000000">
      <w:pPr>
        <w:numPr>
          <w:ilvl w:val="0"/>
          <w:numId w:val="2"/>
        </w:numPr>
        <w:spacing w:before="120" w:after="120" w:line="480" w:lineRule="auto"/>
        <w:ind w:left="720" w:right="-40" w:firstLine="0"/>
      </w:pPr>
      <w:r>
        <w:rPr>
          <w:rFonts w:ascii="Cardo" w:eastAsia="Cardo" w:hAnsi="Cardo" w:cs="Cardo"/>
        </w:rPr>
        <w:t>Murder is wrong.</w:t>
      </w:r>
      <w:r>
        <w:rPr>
          <w:rFonts w:ascii="Cardo" w:eastAsia="Cardo" w:hAnsi="Cardo" w:cs="Cardo"/>
        </w:rPr>
        <w:tab/>
      </w:r>
      <w:r>
        <w:rPr>
          <w:rFonts w:ascii="Cardo" w:eastAsia="Cardo" w:hAnsi="Cardo" w:cs="Cardo"/>
        </w:rPr>
        <w:tab/>
        <w:t xml:space="preserve">↝ the speaker disapproves of murder  </w:t>
      </w:r>
    </w:p>
    <w:p w14:paraId="43E92043" w14:textId="77777777" w:rsidR="003A3EA7" w:rsidRDefault="00000000">
      <w:pPr>
        <w:spacing w:before="120" w:after="120" w:line="480" w:lineRule="auto"/>
        <w:ind w:right="-40"/>
      </w:pPr>
      <w:r>
        <w:t>DI does not fit squarely with other well-known types of natural language inferences, in particular entailments, presuppositions, and (conventional and conversational) implicatures.</w:t>
      </w:r>
      <w:r w:rsidRPr="00515B0A">
        <w:rPr>
          <w:rStyle w:val="Fotnotsreferens"/>
        </w:rPr>
        <w:footnoteReference w:id="4"/>
      </w:r>
    </w:p>
    <w:p w14:paraId="61879111" w14:textId="77777777" w:rsidR="003A3EA7" w:rsidRDefault="00000000">
      <w:pPr>
        <w:spacing w:before="120" w:after="120" w:line="480" w:lineRule="auto"/>
        <w:ind w:right="-40"/>
      </w:pPr>
      <w:r>
        <w:t>First, consider entailments. A sentence such as (2) entails that someone had coffee.</w:t>
      </w:r>
    </w:p>
    <w:p w14:paraId="28D51424" w14:textId="77777777" w:rsidR="003A3EA7" w:rsidRDefault="00000000">
      <w:pPr>
        <w:numPr>
          <w:ilvl w:val="0"/>
          <w:numId w:val="2"/>
        </w:numPr>
        <w:spacing w:before="120" w:after="120" w:line="480" w:lineRule="auto"/>
        <w:ind w:left="720" w:right="-40" w:firstLine="0"/>
      </w:pPr>
      <w:r>
        <w:rPr>
          <w:rFonts w:ascii="Cardo" w:eastAsia="Cardo" w:hAnsi="Cardo" w:cs="Cardo"/>
        </w:rPr>
        <w:t>Jakob had coffee</w:t>
      </w:r>
      <w:r>
        <w:rPr>
          <w:rFonts w:ascii="Cardo" w:eastAsia="Cardo" w:hAnsi="Cardo" w:cs="Cardo"/>
        </w:rPr>
        <w:tab/>
      </w:r>
      <w:r>
        <w:rPr>
          <w:rFonts w:ascii="Cardo" w:eastAsia="Cardo" w:hAnsi="Cardo" w:cs="Cardo"/>
        </w:rPr>
        <w:tab/>
        <w:t>↝ someone had coffee</w:t>
      </w:r>
    </w:p>
    <w:p w14:paraId="11727030" w14:textId="77777777" w:rsidR="003A3EA7" w:rsidRDefault="00000000">
      <w:pPr>
        <w:spacing w:before="120" w:after="120" w:line="480" w:lineRule="auto"/>
        <w:ind w:right="-40"/>
      </w:pPr>
      <w:r>
        <w:t xml:space="preserve">Any entailment </w:t>
      </w:r>
      <w:r>
        <w:rPr>
          <w:i/>
        </w:rPr>
        <w:t xml:space="preserve">e </w:t>
      </w:r>
      <w:r>
        <w:t xml:space="preserve">of a sentence </w:t>
      </w:r>
      <w:r>
        <w:rPr>
          <w:i/>
        </w:rPr>
        <w:t>s</w:t>
      </w:r>
      <w:r>
        <w:t xml:space="preserve"> is such that </w:t>
      </w:r>
      <w:proofErr w:type="spellStart"/>
      <w:r>
        <w:rPr>
          <w:i/>
        </w:rPr>
        <w:t>e</w:t>
      </w:r>
      <w:proofErr w:type="spellEnd"/>
      <w:r>
        <w:t xml:space="preserve"> cannot be false unless </w:t>
      </w:r>
      <w:r>
        <w:rPr>
          <w:i/>
        </w:rPr>
        <w:t>s</w:t>
      </w:r>
      <w:r>
        <w:t xml:space="preserve"> is, on pain of contradiction. This implies that conjoining </w:t>
      </w:r>
      <w:r>
        <w:rPr>
          <w:i/>
        </w:rPr>
        <w:t>s</w:t>
      </w:r>
      <w:r>
        <w:t xml:space="preserve"> with the negation of </w:t>
      </w:r>
      <w:r>
        <w:rPr>
          <w:i/>
        </w:rPr>
        <w:t>e</w:t>
      </w:r>
      <w:r>
        <w:t xml:space="preserve"> results in a contradiction:</w:t>
      </w:r>
    </w:p>
    <w:p w14:paraId="6E46A35F" w14:textId="77777777" w:rsidR="003A3EA7" w:rsidRDefault="00000000">
      <w:pPr>
        <w:numPr>
          <w:ilvl w:val="0"/>
          <w:numId w:val="2"/>
        </w:numPr>
        <w:spacing w:before="120" w:after="120" w:line="480" w:lineRule="auto"/>
        <w:ind w:left="720" w:right="-40" w:firstLine="0"/>
      </w:pPr>
      <w:r>
        <w:t>Jakob had coffee and no one had coffee</w:t>
      </w:r>
    </w:p>
    <w:p w14:paraId="26F66DB9" w14:textId="77777777" w:rsidR="003A3EA7" w:rsidRDefault="00000000">
      <w:pPr>
        <w:spacing w:before="120" w:after="120" w:line="480" w:lineRule="auto"/>
        <w:ind w:right="-40"/>
      </w:pPr>
      <w:r>
        <w:t xml:space="preserve">Importantly, the contradictory flavor of (3) remains when it is embedded under the antecedent of a conditional </w:t>
      </w:r>
      <w:hyperlink r:id="rId15">
        <w:r>
          <w:t>(Yalcin, 2007)</w:t>
        </w:r>
      </w:hyperlink>
      <w:r>
        <w:t>:</w:t>
      </w:r>
    </w:p>
    <w:p w14:paraId="56DC0F92" w14:textId="77777777" w:rsidR="003A3EA7" w:rsidRDefault="00000000">
      <w:pPr>
        <w:numPr>
          <w:ilvl w:val="0"/>
          <w:numId w:val="2"/>
        </w:numPr>
        <w:spacing w:before="120" w:after="120" w:line="480" w:lineRule="auto"/>
        <w:ind w:left="720" w:right="-40" w:firstLine="0"/>
      </w:pPr>
      <w:r>
        <w:t>If Jakob had coffee and no one had coffee, then…</w:t>
      </w:r>
    </w:p>
    <w:p w14:paraId="534E4B2D" w14:textId="77777777" w:rsidR="003A3EA7" w:rsidRDefault="00000000">
      <w:pPr>
        <w:spacing w:before="120" w:after="120" w:line="480" w:lineRule="auto"/>
        <w:ind w:right="-40"/>
      </w:pPr>
      <w:r>
        <w:t xml:space="preserve">DI differs from entailments in this respect. First, it is contentious whether conjoining (1) with the negation of the purported inferences is felicitous—in fact, that is the topic of this paper. </w:t>
      </w:r>
    </w:p>
    <w:p w14:paraId="7DA6CFD7" w14:textId="77777777" w:rsidR="003A3EA7" w:rsidRDefault="00000000">
      <w:pPr>
        <w:numPr>
          <w:ilvl w:val="0"/>
          <w:numId w:val="2"/>
        </w:numPr>
        <w:spacing w:before="120" w:after="120" w:line="480" w:lineRule="auto"/>
        <w:ind w:left="720" w:right="-40" w:firstLine="0"/>
      </w:pPr>
      <w:r>
        <w:t xml:space="preserve">Murder is wrong but I don’t disapprove of it. </w:t>
      </w:r>
    </w:p>
    <w:p w14:paraId="03806ACA" w14:textId="77777777" w:rsidR="003A3EA7" w:rsidRDefault="00000000">
      <w:pPr>
        <w:spacing w:before="120" w:after="120" w:line="480" w:lineRule="auto"/>
        <w:ind w:right="-40"/>
      </w:pPr>
      <w:r>
        <w:lastRenderedPageBreak/>
        <w:t>Secondly, the oddness of these constructions goes away when they are embedded under the antecedent of a conditional.</w:t>
      </w:r>
    </w:p>
    <w:p w14:paraId="708D6846" w14:textId="77777777" w:rsidR="003A3EA7" w:rsidRDefault="00000000">
      <w:pPr>
        <w:numPr>
          <w:ilvl w:val="0"/>
          <w:numId w:val="2"/>
        </w:numPr>
        <w:spacing w:before="120" w:after="120" w:line="480" w:lineRule="auto"/>
        <w:ind w:left="720" w:right="-40" w:firstLine="0"/>
      </w:pPr>
      <w:r>
        <w:t>If murder is wrong but I don’t disapprove of it, then …</w:t>
      </w:r>
    </w:p>
    <w:p w14:paraId="7BE63BAA" w14:textId="77777777" w:rsidR="003A3EA7" w:rsidRDefault="00000000">
      <w:pPr>
        <w:spacing w:before="120" w:after="120" w:line="480" w:lineRule="auto"/>
        <w:ind w:right="-40"/>
      </w:pPr>
      <w:r>
        <w:t>(6) is markedly different from (4), in the sense that whereas (4) has a (saliently) impossible antecedent, (6) does not. It is possible to suppose that a certain activity is morally wrong even though I do not share that opinion. Regarding (6) for example, I might just have never thought of the moral status of murder and have no attitudes about it, and this is consistent with murder being wrong. Thus, the negation of DI is not logically inconsistent with the sentence that triggers it, suggesting that DI is not an entailment.</w:t>
      </w:r>
    </w:p>
    <w:p w14:paraId="4A8BDAE0" w14:textId="77777777" w:rsidR="003A3EA7" w:rsidRDefault="00000000">
      <w:pPr>
        <w:spacing w:before="120" w:after="120" w:line="480" w:lineRule="auto"/>
        <w:ind w:right="-40"/>
      </w:pPr>
      <w:r>
        <w:t xml:space="preserve">Secondly, consider semantic presuppositions. As is well known, presuppositions project out of entailment-canceling environments, such as negation, questions, or modals. In this respect, the DI of (1) is very much </w:t>
      </w:r>
      <w:r>
        <w:rPr>
          <w:i/>
        </w:rPr>
        <w:t>unlike</w:t>
      </w:r>
      <w:r>
        <w:t xml:space="preserve"> a </w:t>
      </w:r>
      <w:proofErr w:type="gramStart"/>
      <w:r>
        <w:t>presupposition, since</w:t>
      </w:r>
      <w:proofErr w:type="gramEnd"/>
      <w:r>
        <w:t xml:space="preserve"> it does not project in these environments. We take this contrast to suggest that the DI is not a presupposition.</w:t>
      </w:r>
      <w:r w:rsidRPr="00515B0A">
        <w:rPr>
          <w:rStyle w:val="Fotnotsreferens"/>
        </w:rPr>
        <w:footnoteReference w:id="5"/>
      </w:r>
      <w:r>
        <w:t xml:space="preserve"> </w:t>
      </w:r>
    </w:p>
    <w:p w14:paraId="72588F6D" w14:textId="77777777" w:rsidR="003A3EA7" w:rsidRDefault="00000000">
      <w:pPr>
        <w:numPr>
          <w:ilvl w:val="0"/>
          <w:numId w:val="2"/>
        </w:numPr>
        <w:spacing w:before="120" w:after="120" w:line="360" w:lineRule="auto"/>
        <w:ind w:left="720" w:right="-40" w:firstLine="0"/>
      </w:pPr>
      <w:r>
        <w:rPr>
          <w:rFonts w:ascii="Cardo" w:eastAsia="Cardo" w:hAnsi="Cardo" w:cs="Cardo"/>
        </w:rPr>
        <w:t>Murder is not wrong</w:t>
      </w:r>
      <w:r>
        <w:rPr>
          <w:rFonts w:ascii="Cardo" w:eastAsia="Cardo" w:hAnsi="Cardo" w:cs="Cardo"/>
        </w:rPr>
        <w:tab/>
      </w:r>
      <w:r>
        <w:rPr>
          <w:rFonts w:ascii="Cardo" w:eastAsia="Cardo" w:hAnsi="Cardo" w:cs="Cardo"/>
        </w:rPr>
        <w:tab/>
      </w:r>
      <w:r>
        <w:rPr>
          <w:rFonts w:ascii="Cardo" w:eastAsia="Cardo" w:hAnsi="Cardo" w:cs="Cardo"/>
        </w:rPr>
        <w:tab/>
        <w:t>↝̸ the speaker disapproves of murder</w:t>
      </w:r>
    </w:p>
    <w:p w14:paraId="4A833073" w14:textId="77777777" w:rsidR="003A3EA7" w:rsidRDefault="00000000">
      <w:pPr>
        <w:spacing w:before="120" w:after="120" w:line="480" w:lineRule="auto"/>
        <w:ind w:right="-40"/>
      </w:pPr>
      <w:r>
        <w:t xml:space="preserve">Finally, consider conversational implicatures. Conversational implicatures are standardly characterized as inferences triggered by utterances that flout one or more Gricean conversational maxims </w:t>
      </w:r>
      <w:hyperlink r:id="rId16">
        <w:r>
          <w:t>(</w:t>
        </w:r>
      </w:hyperlink>
      <w:hyperlink r:id="rId17">
        <w:r>
          <w:t>Grice, 1993)</w:t>
        </w:r>
      </w:hyperlink>
      <w:r>
        <w:t xml:space="preserve">. A standard example are scalar implicatures, triggered when a speaker chooses a lexical item that sits below the top item on a scale of informativity, thereby suggesting that the top item does not apply. </w:t>
      </w:r>
    </w:p>
    <w:p w14:paraId="25E67C54" w14:textId="77777777" w:rsidR="003A3EA7" w:rsidRDefault="00000000">
      <w:pPr>
        <w:numPr>
          <w:ilvl w:val="0"/>
          <w:numId w:val="2"/>
        </w:numPr>
        <w:spacing w:before="120" w:after="120" w:line="480" w:lineRule="auto"/>
        <w:ind w:left="720" w:right="-40" w:firstLine="0"/>
      </w:pPr>
      <w:r>
        <w:rPr>
          <w:rFonts w:ascii="Cardo" w:eastAsia="Cardo" w:hAnsi="Cardo" w:cs="Cardo"/>
        </w:rPr>
        <w:t>Marcin ate some of the cookies.</w:t>
      </w:r>
      <w:r>
        <w:rPr>
          <w:rFonts w:ascii="Cardo" w:eastAsia="Cardo" w:hAnsi="Cardo" w:cs="Cardo"/>
        </w:rPr>
        <w:tab/>
        <w:t>↝ Marcin didn’t eat all the cookies</w:t>
      </w:r>
    </w:p>
    <w:p w14:paraId="163C601C" w14:textId="77777777" w:rsidR="003A3EA7" w:rsidRDefault="00000000">
      <w:pPr>
        <w:spacing w:before="120" w:after="120" w:line="480" w:lineRule="auto"/>
        <w:ind w:right="-40"/>
      </w:pPr>
      <w:r>
        <w:t xml:space="preserve">The inference in (8) can be canceled, which is a hallmark of conversational implicature:   </w:t>
      </w:r>
    </w:p>
    <w:p w14:paraId="253FD17D" w14:textId="77777777" w:rsidR="003A3EA7" w:rsidRDefault="00000000">
      <w:pPr>
        <w:numPr>
          <w:ilvl w:val="0"/>
          <w:numId w:val="2"/>
        </w:numPr>
        <w:spacing w:before="120" w:after="120" w:line="480" w:lineRule="auto"/>
        <w:ind w:left="720" w:right="-40" w:firstLine="0"/>
      </w:pPr>
      <w:r>
        <w:lastRenderedPageBreak/>
        <w:t>Marcin ate some of the cookies, in fact he ate all of them.</w:t>
      </w:r>
    </w:p>
    <w:p w14:paraId="1C546E8C" w14:textId="77777777" w:rsidR="003A3EA7" w:rsidRDefault="00000000">
      <w:pPr>
        <w:spacing w:before="120" w:after="120" w:line="480" w:lineRule="auto"/>
        <w:ind w:right="-40"/>
      </w:pPr>
      <w:r>
        <w:t xml:space="preserve">DI also behaves differently according to this test. We take it that there is an intuitive contrast between the cancellation of a stereotypical conversational implicature, like (9), and the cancellation of DI in (5) (repeated below). </w:t>
      </w:r>
    </w:p>
    <w:p w14:paraId="6E21A4EF" w14:textId="77777777" w:rsidR="003A3EA7" w:rsidRDefault="00000000">
      <w:pPr>
        <w:spacing w:before="120" w:after="120" w:line="480" w:lineRule="auto"/>
        <w:ind w:right="-40" w:firstLine="720"/>
      </w:pPr>
      <w:r>
        <w:t>5.</w:t>
      </w:r>
      <w:r>
        <w:tab/>
        <w:t xml:space="preserve">Murder is </w:t>
      </w:r>
      <w:proofErr w:type="gramStart"/>
      <w:r>
        <w:t>wrong</w:t>
      </w:r>
      <w:proofErr w:type="gramEnd"/>
      <w:r>
        <w:t xml:space="preserve"> but I don’t disapprove of it.</w:t>
      </w:r>
      <w:r>
        <w:tab/>
      </w:r>
    </w:p>
    <w:p w14:paraId="1BC147E2" w14:textId="77777777" w:rsidR="003A3EA7" w:rsidRDefault="00000000">
      <w:pPr>
        <w:spacing w:before="120" w:after="120" w:line="480" w:lineRule="auto"/>
        <w:ind w:right="-40"/>
      </w:pPr>
      <w:r>
        <w:t xml:space="preserve">While (9) is unproblematic, the acceptability of (5) is up for grabs. </w:t>
      </w:r>
    </w:p>
    <w:p w14:paraId="60EF61AC" w14:textId="77777777" w:rsidR="003A3EA7" w:rsidRDefault="003A3EA7">
      <w:pPr>
        <w:spacing w:before="120" w:after="120" w:line="480" w:lineRule="auto"/>
        <w:ind w:right="-40"/>
      </w:pPr>
    </w:p>
    <w:p w14:paraId="5A82E2A4" w14:textId="77777777" w:rsidR="003A3EA7" w:rsidRDefault="00000000">
      <w:pPr>
        <w:spacing w:before="120" w:after="120" w:line="480" w:lineRule="auto"/>
        <w:ind w:right="-40"/>
        <w:rPr>
          <w:b/>
        </w:rPr>
      </w:pPr>
      <w:r>
        <w:rPr>
          <w:b/>
        </w:rPr>
        <w:t xml:space="preserve">2. Background (II): </w:t>
      </w:r>
      <w:proofErr w:type="spellStart"/>
      <w:r>
        <w:rPr>
          <w:b/>
        </w:rPr>
        <w:t>Expressivism</w:t>
      </w:r>
      <w:proofErr w:type="spellEnd"/>
      <w:r>
        <w:rPr>
          <w:b/>
        </w:rPr>
        <w:t xml:space="preserve"> and the Parity Thesis</w:t>
      </w:r>
    </w:p>
    <w:p w14:paraId="6A3DA1A4" w14:textId="77777777" w:rsidR="003A3EA7" w:rsidRDefault="00000000">
      <w:pPr>
        <w:spacing w:before="120" w:after="120" w:line="480" w:lineRule="auto"/>
        <w:ind w:right="-40"/>
      </w:pPr>
      <w:r>
        <w:t xml:space="preserve">Another potential diagnosis for the DI is that moral sentences </w:t>
      </w:r>
      <w:r>
        <w:rPr>
          <w:i/>
        </w:rPr>
        <w:t xml:space="preserve">express </w:t>
      </w:r>
      <w:r>
        <w:t xml:space="preserve">non-cognitive states, such as disapproval. The word “expresses”, as attached to words and discourse, has been used to designate several different phenomena within philosophy of language and metaethics (see </w:t>
      </w:r>
      <w:proofErr w:type="spellStart"/>
      <w:r>
        <w:t>eg.</w:t>
      </w:r>
      <w:proofErr w:type="spellEnd"/>
      <w:r>
        <w:t xml:space="preserve"> </w:t>
      </w:r>
      <w:hyperlink r:id="rId18">
        <w:proofErr w:type="spellStart"/>
        <w:r>
          <w:t>Schlenker</w:t>
        </w:r>
        <w:proofErr w:type="spellEnd"/>
        <w:r>
          <w:t xml:space="preserve">, 2007, for an </w:t>
        </w:r>
      </w:hyperlink>
      <w:hyperlink r:id="rId19">
        <w:r>
          <w:t>alternative</w:t>
        </w:r>
      </w:hyperlink>
      <w:hyperlink r:id="rId20">
        <w:r>
          <w:t xml:space="preserve"> use</w:t>
        </w:r>
      </w:hyperlink>
      <w:r>
        <w:t>). Here, we are primarily interested in the relationship that is typically taken to pertain between an assertion of a proposition and the belief in that proposition. For instance, uttering the declarative sentence ‘it is raining’</w:t>
      </w:r>
      <w:r>
        <w:rPr>
          <w:i/>
        </w:rPr>
        <w:t xml:space="preserve"> expresses </w:t>
      </w:r>
      <w:r>
        <w:t xml:space="preserve">the speaker’s belief that it is raining </w:t>
      </w:r>
      <w:hyperlink r:id="rId21">
        <w:r>
          <w:t>(</w:t>
        </w:r>
        <w:proofErr w:type="spellStart"/>
      </w:hyperlink>
      <w:hyperlink r:id="rId22">
        <w:r>
          <w:t>eg.</w:t>
        </w:r>
        <w:proofErr w:type="spellEnd"/>
        <w:r>
          <w:t xml:space="preserve"> </w:t>
        </w:r>
      </w:hyperlink>
      <w:hyperlink r:id="rId23">
        <w:r>
          <w:t>Grice, 1993, p. 42; Searle, 1979, pp. 3–5)</w:t>
        </w:r>
      </w:hyperlink>
      <w:r>
        <w:t xml:space="preserve">. </w:t>
      </w:r>
    </w:p>
    <w:p w14:paraId="596EF847" w14:textId="77777777" w:rsidR="003A3EA7" w:rsidRDefault="00000000">
      <w:pPr>
        <w:spacing w:before="120" w:after="120" w:line="480" w:lineRule="auto"/>
        <w:ind w:right="-40"/>
      </w:pPr>
      <w:r>
        <w:t xml:space="preserve">Within metaethics, it is common to point to the relationship of expression </w:t>
      </w:r>
      <w:proofErr w:type="gramStart"/>
      <w:r>
        <w:t>in the course of</w:t>
      </w:r>
      <w:proofErr w:type="gramEnd"/>
      <w:r>
        <w:t xml:space="preserve"> articulating a core tenet of metaethical </w:t>
      </w:r>
      <w:proofErr w:type="spellStart"/>
      <w:r>
        <w:rPr>
          <w:i/>
        </w:rPr>
        <w:t>expressivism</w:t>
      </w:r>
      <w:proofErr w:type="spellEnd"/>
      <w:r>
        <w:t xml:space="preserve">, i.e., the family of views according to which moral statements do not serve to describe the world, but rather to express some positive or negative attitude of the speaker. That core tenet can be articulated as the 'Parity Thesis', as formulated by Schroeder, which he and others take to be a defining feature of </w:t>
      </w:r>
      <w:proofErr w:type="spellStart"/>
      <w:r>
        <w:t>expressivism</w:t>
      </w:r>
      <w:proofErr w:type="spellEnd"/>
      <w:r>
        <w:t xml:space="preserve">:  </w:t>
      </w:r>
    </w:p>
    <w:p w14:paraId="1137A49F" w14:textId="77777777" w:rsidR="003A3EA7" w:rsidRDefault="00000000">
      <w:pPr>
        <w:spacing w:before="120" w:after="120" w:line="360" w:lineRule="auto"/>
        <w:ind w:left="720" w:right="-40"/>
      </w:pPr>
      <w:r>
        <w:rPr>
          <w:b/>
        </w:rPr>
        <w:t>Parity</w:t>
      </w:r>
      <w:r>
        <w:t>: ‘[M]oral sentences are related to noncognitive, desire-like states of mind in the same way that ordinary descriptive sentences are related to ordinary beliefs—they express them’ (</w:t>
      </w:r>
      <w:hyperlink r:id="rId24">
        <w:r>
          <w:t>Schroeder, 2008, p. 3</w:t>
        </w:r>
      </w:hyperlink>
      <w:r>
        <w:t xml:space="preserve">). </w:t>
      </w:r>
    </w:p>
    <w:p w14:paraId="1EB31FA9" w14:textId="77777777" w:rsidR="003A3EA7" w:rsidRDefault="00000000">
      <w:pPr>
        <w:spacing w:before="120" w:after="120" w:line="480" w:lineRule="auto"/>
        <w:ind w:right="-40"/>
      </w:pPr>
      <w:r>
        <w:lastRenderedPageBreak/>
        <w:t xml:space="preserve">One can think of the Parity Thesis as one </w:t>
      </w:r>
      <w:proofErr w:type="gramStart"/>
      <w:r>
        <w:t>particular hypothesis</w:t>
      </w:r>
      <w:proofErr w:type="gramEnd"/>
      <w:r>
        <w:t xml:space="preserve"> about why statements to the effect something is wrong typically trigger the DI. Under this hypothesis, they do so because ‘wrong’-statements express disapproval, </w:t>
      </w:r>
      <w:proofErr w:type="gramStart"/>
      <w:r>
        <w:t>similar to</w:t>
      </w:r>
      <w:proofErr w:type="gramEnd"/>
      <w:r>
        <w:t xml:space="preserve"> how assertions express beliefs. Call the latter inference the </w:t>
      </w:r>
      <w:r>
        <w:rPr>
          <w:i/>
        </w:rPr>
        <w:t>belief inference</w:t>
      </w:r>
      <w:r>
        <w:t xml:space="preserve"> (BI). </w:t>
      </w:r>
    </w:p>
    <w:p w14:paraId="58D25D33" w14:textId="77777777" w:rsidR="003A3EA7" w:rsidRDefault="00000000">
      <w:pPr>
        <w:spacing w:before="120" w:after="120" w:line="360" w:lineRule="auto"/>
        <w:ind w:left="720" w:right="-40"/>
      </w:pPr>
      <w:r>
        <w:rPr>
          <w:rFonts w:ascii="Cardo" w:eastAsia="Cardo" w:hAnsi="Cardo" w:cs="Cardo"/>
        </w:rPr>
        <w:t>1.</w:t>
      </w:r>
      <w:r>
        <w:rPr>
          <w:rFonts w:ascii="Cardo" w:eastAsia="Cardo" w:hAnsi="Cardo" w:cs="Cardo"/>
        </w:rPr>
        <w:tab/>
        <w:t>Murder is wrong</w:t>
      </w:r>
      <w:r>
        <w:rPr>
          <w:rFonts w:ascii="Cardo" w:eastAsia="Cardo" w:hAnsi="Cardo" w:cs="Cardo"/>
        </w:rPr>
        <w:tab/>
      </w:r>
      <w:r>
        <w:rPr>
          <w:rFonts w:ascii="Cardo" w:eastAsia="Cardo" w:hAnsi="Cardo" w:cs="Cardo"/>
        </w:rPr>
        <w:tab/>
        <w:t>↝ the speaker disapproves of murder</w:t>
      </w:r>
      <w:r>
        <w:rPr>
          <w:rFonts w:ascii="Cardo" w:eastAsia="Cardo" w:hAnsi="Cardo" w:cs="Cardo"/>
        </w:rPr>
        <w:tab/>
      </w:r>
      <w:r>
        <w:rPr>
          <w:rFonts w:ascii="Cardo" w:eastAsia="Cardo" w:hAnsi="Cardo" w:cs="Cardo"/>
        </w:rPr>
        <w:tab/>
        <w:t xml:space="preserve">(DI)  </w:t>
      </w:r>
    </w:p>
    <w:p w14:paraId="194E6052" w14:textId="77777777" w:rsidR="003A3EA7" w:rsidRDefault="00000000">
      <w:pPr>
        <w:numPr>
          <w:ilvl w:val="0"/>
          <w:numId w:val="2"/>
        </w:numPr>
        <w:spacing w:before="120" w:after="120" w:line="480" w:lineRule="auto"/>
        <w:ind w:left="720" w:right="-40" w:firstLine="0"/>
      </w:pPr>
      <w:r>
        <w:rPr>
          <w:rFonts w:ascii="Cardo" w:eastAsia="Cardo" w:hAnsi="Cardo" w:cs="Cardo"/>
        </w:rPr>
        <w:t>It’s raining</w:t>
      </w:r>
      <w:r>
        <w:rPr>
          <w:rFonts w:ascii="Cardo" w:eastAsia="Cardo" w:hAnsi="Cardo" w:cs="Cardo"/>
        </w:rPr>
        <w:tab/>
      </w:r>
      <w:r>
        <w:rPr>
          <w:rFonts w:ascii="Cardo" w:eastAsia="Cardo" w:hAnsi="Cardo" w:cs="Cardo"/>
        </w:rPr>
        <w:tab/>
      </w:r>
      <w:r>
        <w:rPr>
          <w:rFonts w:ascii="Cardo" w:eastAsia="Cardo" w:hAnsi="Cardo" w:cs="Cardo"/>
        </w:rPr>
        <w:tab/>
        <w:t>↝ the speaker believes that it’s raining</w:t>
      </w:r>
      <w:r>
        <w:rPr>
          <w:rFonts w:ascii="Cardo" w:eastAsia="Cardo" w:hAnsi="Cardo" w:cs="Cardo"/>
        </w:rPr>
        <w:tab/>
        <w:t>(BI)</w:t>
      </w:r>
    </w:p>
    <w:p w14:paraId="6ED1E7C1" w14:textId="77777777" w:rsidR="003A3EA7" w:rsidRDefault="00000000">
      <w:pPr>
        <w:spacing w:before="120" w:after="120" w:line="480" w:lineRule="auto"/>
        <w:ind w:right="-40"/>
      </w:pPr>
      <w:r>
        <w:t>At a first approximation, the relationship of expression pertaining between assertions and beliefs seems to share important properties with the DI. First, the BI is not an entailment, as evinced by the felicity of (11) (Yalcin 2007):</w:t>
      </w:r>
    </w:p>
    <w:p w14:paraId="05B4B946" w14:textId="77777777" w:rsidR="003A3EA7" w:rsidRDefault="00000000">
      <w:pPr>
        <w:spacing w:before="120" w:after="120" w:line="480" w:lineRule="auto"/>
        <w:ind w:left="720" w:right="-40"/>
        <w:rPr>
          <w:color w:val="FF0000"/>
        </w:rPr>
      </w:pPr>
      <w:r>
        <w:t>11.</w:t>
      </w:r>
      <w:r>
        <w:tab/>
        <w:t xml:space="preserve">If it’s raining and I don’t believe that it is raining, then I am misinformed. </w:t>
      </w:r>
    </w:p>
    <w:p w14:paraId="0134641C" w14:textId="77777777" w:rsidR="003A3EA7" w:rsidRDefault="00000000">
      <w:pPr>
        <w:spacing w:before="120" w:after="120" w:line="480" w:lineRule="auto"/>
        <w:ind w:right="-40"/>
        <w:rPr>
          <w:color w:val="FF0000"/>
        </w:rPr>
      </w:pPr>
      <w:r>
        <w:t xml:space="preserve">Secondly, the BI does not seem to be a conventional implicature or </w:t>
      </w:r>
      <w:proofErr w:type="gramStart"/>
      <w:r>
        <w:t>presupposition, since</w:t>
      </w:r>
      <w:proofErr w:type="gramEnd"/>
      <w:r>
        <w:t xml:space="preserve"> it does not project out of negations and questions. While an assertion to the effect that it is raining communicates that the speaker believes that it is raining, an assertion to the effect that it is </w:t>
      </w:r>
      <w:r>
        <w:rPr>
          <w:i/>
        </w:rPr>
        <w:t>not</w:t>
      </w:r>
      <w:r>
        <w:t xml:space="preserve"> raining does not communicate that. </w:t>
      </w:r>
    </w:p>
    <w:p w14:paraId="51F14A0E" w14:textId="77777777" w:rsidR="003A3EA7" w:rsidRDefault="00000000">
      <w:pPr>
        <w:spacing w:before="120" w:after="120" w:line="480" w:lineRule="auto"/>
        <w:ind w:right="-40"/>
      </w:pPr>
      <w:r>
        <w:t xml:space="preserve">Thirdly, another salient feature of the BI is that it is not cancellable, suggesting that BI is not an implicature </w:t>
      </w:r>
      <w:hyperlink r:id="rId25">
        <w:r>
          <w:t>(</w:t>
        </w:r>
      </w:hyperlink>
      <w:hyperlink r:id="rId26">
        <w:r>
          <w:t xml:space="preserve">pace </w:t>
        </w:r>
      </w:hyperlink>
      <w:hyperlink r:id="rId27">
        <w:proofErr w:type="spellStart"/>
        <w:r>
          <w:t>Schlenker</w:t>
        </w:r>
        <w:proofErr w:type="spellEnd"/>
        <w:r>
          <w:t>, 2016</w:t>
        </w:r>
      </w:hyperlink>
      <w:r>
        <w:t>). Non-cancellability is evinced by the infelicity of Moore paradoxes like (12):</w:t>
      </w:r>
    </w:p>
    <w:p w14:paraId="30B2EAA8" w14:textId="77777777" w:rsidR="003A3EA7" w:rsidRDefault="00000000">
      <w:pPr>
        <w:spacing w:before="120" w:after="120" w:line="480" w:lineRule="auto"/>
        <w:ind w:left="720" w:right="-40"/>
      </w:pPr>
      <w:r>
        <w:t>12.</w:t>
      </w:r>
      <w:r>
        <w:tab/>
        <w:t>It’s raining but I don’t believe that it is raining.</w:t>
      </w:r>
    </w:p>
    <w:p w14:paraId="5AE0FFBA" w14:textId="77777777" w:rsidR="003A3EA7" w:rsidRDefault="00000000">
      <w:pPr>
        <w:spacing w:before="120" w:after="120" w:line="480" w:lineRule="auto"/>
        <w:ind w:right="-40"/>
      </w:pPr>
      <w:r>
        <w:t xml:space="preserve">The first two features are clearly shared by DI, but what about the third? Here is where Woods (2014) enters the picture. Woods (2014) draws attention to the fact that </w:t>
      </w:r>
      <w:proofErr w:type="spellStart"/>
      <w:r>
        <w:t>expressivism</w:t>
      </w:r>
      <w:proofErr w:type="spellEnd"/>
      <w:r>
        <w:t xml:space="preserve">, through the Parity Thesis, makes testable predictions that can, and should be tested empirically against our linguistic intuitions: if moral assertions express non-cognitive attitudes in the same way that assertions express beliefs, then the relationship holding between assertions and belief </w:t>
      </w:r>
      <w:r>
        <w:lastRenderedPageBreak/>
        <w:t xml:space="preserve">ascriptions should also hold between moral assertions and ascriptions of the relevant non-cognitive attitudes. </w:t>
      </w:r>
    </w:p>
    <w:p w14:paraId="04BF7477" w14:textId="77777777" w:rsidR="003A3EA7" w:rsidRDefault="00000000">
      <w:pPr>
        <w:spacing w:before="120" w:after="120" w:line="480" w:lineRule="auto"/>
        <w:ind w:right="-40"/>
      </w:pPr>
      <w:proofErr w:type="gramStart"/>
      <w:r>
        <w:t>In particular, just</w:t>
      </w:r>
      <w:proofErr w:type="gramEnd"/>
      <w:r>
        <w:t xml:space="preserve"> as the right combinations of sentences and belief ascriptions generate Moore paradoxes such as (12), the right combinations of moral sentences and ascriptions of non-cognitive attitudes ought to generate analogously unacceptable constructions, as in (5):</w:t>
      </w:r>
    </w:p>
    <w:p w14:paraId="3FE3B04E" w14:textId="77777777" w:rsidR="003A3EA7" w:rsidRDefault="00000000">
      <w:pPr>
        <w:spacing w:before="120" w:after="120" w:line="480" w:lineRule="auto"/>
        <w:ind w:left="720" w:right="-40"/>
      </w:pPr>
      <w:r>
        <w:t>5.</w:t>
      </w:r>
      <w:r>
        <w:tab/>
        <w:t xml:space="preserve">Murder is </w:t>
      </w:r>
      <w:proofErr w:type="gramStart"/>
      <w:r>
        <w:t>wrong</w:t>
      </w:r>
      <w:proofErr w:type="gramEnd"/>
      <w:r>
        <w:t xml:space="preserve"> but I don’t disapprove of it.</w:t>
      </w:r>
    </w:p>
    <w:p w14:paraId="1CEF6738" w14:textId="77777777" w:rsidR="003A3EA7" w:rsidRDefault="00000000">
      <w:pPr>
        <w:spacing w:before="120" w:after="120" w:line="480" w:lineRule="auto"/>
        <w:ind w:right="-40"/>
      </w:pPr>
      <w:r>
        <w:t>As pointed out above, our intuitions with respect to (5) are not very clear. Are these sentences felicitous or infelicitous? Accordingly, one finds both views represented in the literature.</w:t>
      </w:r>
      <w:r>
        <w:rPr>
          <w:color w:val="FF0000"/>
        </w:rPr>
        <w:t xml:space="preserve"> </w:t>
      </w:r>
      <w:r>
        <w:t xml:space="preserve">Woods (2014), argues that constructions </w:t>
      </w:r>
      <w:proofErr w:type="gramStart"/>
      <w:r>
        <w:t>similar to</w:t>
      </w:r>
      <w:proofErr w:type="gramEnd"/>
      <w:r>
        <w:t xml:space="preserve"> (5) are not unacceptable in the same way as (12), and thus that this prediction is not borne out. He argues that this constitutes a major blow to the Parity Thesis, and thus to </w:t>
      </w:r>
      <w:proofErr w:type="spellStart"/>
      <w:r>
        <w:t>expressivism</w:t>
      </w:r>
      <w:proofErr w:type="spellEnd"/>
      <w:r>
        <w:t xml:space="preserve"> (cf. also </w:t>
      </w:r>
      <w:proofErr w:type="spellStart"/>
      <w:r>
        <w:t>Väyrynen</w:t>
      </w:r>
      <w:proofErr w:type="spellEnd"/>
      <w:r>
        <w:t xml:space="preserve">, 2022). By contrast, other theorists have claimed that it is ‘semantically inappropriate’ to call an action wrong while not disapproving of it </w:t>
      </w:r>
      <w:hyperlink r:id="rId28">
        <w:r>
          <w:t>(</w:t>
        </w:r>
        <w:proofErr w:type="spellStart"/>
        <w:r>
          <w:t>Copp</w:t>
        </w:r>
        <w:proofErr w:type="spellEnd"/>
        <w:r>
          <w:t xml:space="preserve">, 2009, p. 187; </w:t>
        </w:r>
      </w:hyperlink>
      <w:hyperlink r:id="rId29">
        <w:r>
          <w:t>cf.</w:t>
        </w:r>
      </w:hyperlink>
      <w:hyperlink r:id="rId30">
        <w:r>
          <w:t xml:space="preserve"> Joyce, 2016, p. 29)</w:t>
        </w:r>
      </w:hyperlink>
      <w:r>
        <w:t>.</w:t>
      </w:r>
    </w:p>
    <w:p w14:paraId="2757A2BE" w14:textId="77777777" w:rsidR="003A3EA7" w:rsidRDefault="00000000">
      <w:pPr>
        <w:spacing w:before="120" w:after="120" w:line="480" w:lineRule="auto"/>
        <w:ind w:right="-40"/>
      </w:pPr>
      <w:r>
        <w:t xml:space="preserve">The main purpose of this paper is to experimentally test the acceptability of sentences like (5) above. </w:t>
      </w:r>
      <w:proofErr w:type="gramStart"/>
      <w:r>
        <w:t>In light of</w:t>
      </w:r>
      <w:proofErr w:type="gramEnd"/>
      <w:r>
        <w:t xml:space="preserve"> the previous discussion, it should be clear why we think this is important.  Testing the acceptability of sentences like (5) is a way of testing the cancellability of the DI, and thereby, </w:t>
      </w:r>
      <w:r>
        <w:rPr>
          <w:i/>
        </w:rPr>
        <w:t xml:space="preserve">inter alia, </w:t>
      </w:r>
      <w:r>
        <w:t xml:space="preserve">of testing the feasibility of the Parity Thesis and </w:t>
      </w:r>
      <w:proofErr w:type="spellStart"/>
      <w:r>
        <w:t>expressivism</w:t>
      </w:r>
      <w:proofErr w:type="spellEnd"/>
      <w:r>
        <w:t xml:space="preserve">. </w:t>
      </w:r>
    </w:p>
    <w:p w14:paraId="680B0CDE" w14:textId="77777777" w:rsidR="003A3EA7" w:rsidRDefault="00000000">
      <w:pPr>
        <w:spacing w:before="120" w:after="120" w:line="480" w:lineRule="auto"/>
        <w:ind w:right="-40"/>
      </w:pPr>
      <w:r>
        <w:t xml:space="preserve">It should also be noted that we focus on variations of </w:t>
      </w:r>
      <w:proofErr w:type="spellStart"/>
      <w:r>
        <w:t>expressivism</w:t>
      </w:r>
      <w:proofErr w:type="spellEnd"/>
      <w:r>
        <w:t xml:space="preserve"> which take the non-cognitive attitude expressed by </w:t>
      </w:r>
      <w:proofErr w:type="gramStart"/>
      <w:r>
        <w:t>wrong-statements</w:t>
      </w:r>
      <w:proofErr w:type="gramEnd"/>
      <w:r>
        <w:t xml:space="preserve"> to be disapproval. This version of </w:t>
      </w:r>
      <w:proofErr w:type="spellStart"/>
      <w:r>
        <w:t>expressivism</w:t>
      </w:r>
      <w:proofErr w:type="spellEnd"/>
      <w:r>
        <w:t xml:space="preserve"> is perhaps most closely associated with Simon Blackburn </w:t>
      </w:r>
      <w:hyperlink r:id="rId31">
        <w:r>
          <w:t>(1993)</w:t>
        </w:r>
      </w:hyperlink>
      <w:r>
        <w:t xml:space="preserve">. Versions of </w:t>
      </w:r>
      <w:proofErr w:type="spellStart"/>
      <w:r>
        <w:t>expressivism</w:t>
      </w:r>
      <w:proofErr w:type="spellEnd"/>
      <w:r>
        <w:t xml:space="preserve"> which take moral statements to express some other </w:t>
      </w:r>
      <w:proofErr w:type="gramStart"/>
      <w:r>
        <w:t>kind</w:t>
      </w:r>
      <w:proofErr w:type="gramEnd"/>
      <w:r>
        <w:t xml:space="preserve"> of attitude are not covered directly by our investigation. One reason for this is that Blackburn’s kind of </w:t>
      </w:r>
      <w:proofErr w:type="spellStart"/>
      <w:r>
        <w:t>expressivism</w:t>
      </w:r>
      <w:proofErr w:type="spellEnd"/>
      <w:r>
        <w:t xml:space="preserve"> is the one that most </w:t>
      </w:r>
      <w:r>
        <w:lastRenderedPageBreak/>
        <w:t xml:space="preserve">naturally aligns with DI, the latter which we take to be an important phenomenon to investigate quite independently of any concerns about </w:t>
      </w:r>
      <w:proofErr w:type="spellStart"/>
      <w:r>
        <w:t>expressivism</w:t>
      </w:r>
      <w:proofErr w:type="spellEnd"/>
      <w:r>
        <w:t>.</w:t>
      </w:r>
      <w:r w:rsidRPr="00515B0A">
        <w:rPr>
          <w:rStyle w:val="Fotnotsreferens"/>
        </w:rPr>
        <w:footnoteReference w:id="6"/>
      </w:r>
      <w:r>
        <w:t xml:space="preserve"> </w:t>
      </w:r>
    </w:p>
    <w:p w14:paraId="0AF9832F" w14:textId="77777777" w:rsidR="003A3EA7" w:rsidRDefault="003A3EA7">
      <w:pPr>
        <w:spacing w:before="120" w:after="120" w:line="480" w:lineRule="auto"/>
        <w:ind w:right="-40"/>
      </w:pPr>
    </w:p>
    <w:p w14:paraId="212A5015" w14:textId="77777777" w:rsidR="003A3EA7" w:rsidRDefault="00000000">
      <w:pPr>
        <w:spacing w:before="120" w:after="120" w:line="480" w:lineRule="auto"/>
        <w:ind w:right="-40"/>
        <w:rPr>
          <w:b/>
        </w:rPr>
      </w:pPr>
      <w:r>
        <w:rPr>
          <w:b/>
        </w:rPr>
        <w:t xml:space="preserve">3. An empirical study of the disapproval inference </w:t>
      </w:r>
      <w:r>
        <w:rPr>
          <w:b/>
        </w:rPr>
        <w:tab/>
      </w:r>
      <w:r>
        <w:rPr>
          <w:b/>
        </w:rPr>
        <w:tab/>
      </w:r>
      <w:r>
        <w:rPr>
          <w:b/>
        </w:rPr>
        <w:tab/>
      </w:r>
      <w:r>
        <w:rPr>
          <w:b/>
        </w:rPr>
        <w:tab/>
      </w:r>
      <w:r>
        <w:rPr>
          <w:b/>
        </w:rPr>
        <w:tab/>
      </w:r>
    </w:p>
    <w:p w14:paraId="6F4EFD55" w14:textId="77777777" w:rsidR="003A3EA7" w:rsidRDefault="00000000">
      <w:pPr>
        <w:spacing w:before="120" w:after="120" w:line="480" w:lineRule="auto"/>
        <w:ind w:right="-40"/>
      </w:pPr>
      <w:r>
        <w:t xml:space="preserve">The discussion in §1 surrounding DI arrived at the following hypothesis: if DI is a conversational implicature, it should be cancellable. Thus, constructions like (5) ('murder is wrong but I don't disapprove of it') should be acceptable. The discussion in §2 surrounding the predictions of </w:t>
      </w:r>
      <w:proofErr w:type="spellStart"/>
      <w:r>
        <w:t>expressivism</w:t>
      </w:r>
      <w:proofErr w:type="spellEnd"/>
      <w:r>
        <w:t xml:space="preserve"> as an empirical thesis about moral language arrived at the Parity Thesis, which predicts that constructions like (5) should lead to infelicity in the same way as Moore paradoxes, like (12), do. </w:t>
      </w:r>
    </w:p>
    <w:p w14:paraId="44599F90" w14:textId="77777777" w:rsidR="003A3EA7" w:rsidRDefault="00000000">
      <w:pPr>
        <w:spacing w:before="120" w:after="120" w:line="480" w:lineRule="auto"/>
        <w:ind w:right="-40"/>
      </w:pPr>
      <w:r>
        <w:t xml:space="preserve">To assess the defectiveness of these constructions, we propose to compare them to similar sentences where a third person is mentioned instead of the speaker. If these constructions are defective, one ought to find a contrast between those constructions when they mention the speaker (‘murder is </w:t>
      </w:r>
      <w:proofErr w:type="gramStart"/>
      <w:r>
        <w:t>wrong</w:t>
      </w:r>
      <w:proofErr w:type="gramEnd"/>
      <w:r>
        <w:t xml:space="preserve"> but </w:t>
      </w:r>
      <w:r>
        <w:rPr>
          <w:u w:val="single"/>
        </w:rPr>
        <w:t>I</w:t>
      </w:r>
      <w:r>
        <w:t xml:space="preserve"> don’t disapprove/think…’) and when they mention someone else (‘murder is wrong but </w:t>
      </w:r>
      <w:r>
        <w:rPr>
          <w:u w:val="single"/>
        </w:rPr>
        <w:t>Ann</w:t>
      </w:r>
      <w:r>
        <w:t xml:space="preserve"> doesn’t disapprove/think…’).</w:t>
      </w:r>
      <w:r w:rsidRPr="00515B0A">
        <w:rPr>
          <w:rStyle w:val="Fotnotsreferens"/>
        </w:rPr>
        <w:footnoteReference w:id="7"/>
      </w:r>
      <w:r>
        <w:t xml:space="preserve"> </w:t>
      </w:r>
    </w:p>
    <w:p w14:paraId="3D4B308D" w14:textId="77777777" w:rsidR="003A3EA7" w:rsidRDefault="00000000">
      <w:pPr>
        <w:spacing w:before="120" w:after="120" w:line="480" w:lineRule="auto"/>
        <w:ind w:right="-40"/>
      </w:pPr>
      <w:r>
        <w:lastRenderedPageBreak/>
        <w:t xml:space="preserve">We ran 4 experiments using an ‘anti-inference test’ paradigm  </w:t>
      </w:r>
      <w:hyperlink r:id="rId32">
        <w:r>
          <w:t xml:space="preserve">(Hansen and </w:t>
        </w:r>
        <w:proofErr w:type="spellStart"/>
        <w:r>
          <w:t>Chemla</w:t>
        </w:r>
        <w:proofErr w:type="spellEnd"/>
        <w:r>
          <w:t>, 2017)</w:t>
        </w:r>
      </w:hyperlink>
      <w:r>
        <w:t>, in which participants were asked whether sentences of the form ‘</w:t>
      </w:r>
      <w:r>
        <w:rPr>
          <w:i/>
        </w:rPr>
        <w:t>p</w:t>
      </w:r>
      <w:r>
        <w:t xml:space="preserve"> but not </w:t>
      </w:r>
      <w:r>
        <w:rPr>
          <w:i/>
        </w:rPr>
        <w:t>q</w:t>
      </w:r>
      <w:r>
        <w:t xml:space="preserve">’ made sense or not. We assume that positive answers signal that participants do not see any oddness in that sentence. By contrast, if they </w:t>
      </w:r>
      <w:proofErr w:type="gramStart"/>
      <w:r>
        <w:t>reply</w:t>
      </w:r>
      <w:proofErr w:type="gramEnd"/>
      <w:r>
        <w:t xml:space="preserve"> ‘it doesn’t make sense’, we assume that they take the sentence to be defective in some way. </w:t>
      </w:r>
    </w:p>
    <w:p w14:paraId="089277E1" w14:textId="77777777" w:rsidR="003A3EA7" w:rsidRDefault="00000000">
      <w:pPr>
        <w:spacing w:before="120" w:after="120" w:line="480" w:lineRule="auto"/>
        <w:ind w:right="-40"/>
      </w:pPr>
      <w:r>
        <w:rPr>
          <w:highlight w:val="white"/>
        </w:rPr>
        <w:t xml:space="preserve">The first, Preliminary Study (§3.1) was designed to compare the acceptability of Moore's paradoxes built with moral vs. non-moral predicates. Given that we found no difference between these constructions, in Studies 1–3 (§§3.2–4) we adopted Moore's paradoxes built with moral predicates as a baseline, and we compared their acceptability to that of counterparts of such sentences involving disapproval instead of belief (e.g., (5)). Studies 2 and 3 involved two different variations of Study 1, designed to control for possible interpretations of the items in Study 1 that might be driving these results. </w:t>
      </w:r>
      <w:proofErr w:type="gramStart"/>
      <w:r>
        <w:rPr>
          <w:highlight w:val="white"/>
        </w:rPr>
        <w:t>So</w:t>
      </w:r>
      <w:proofErr w:type="gramEnd"/>
      <w:r>
        <w:rPr>
          <w:highlight w:val="white"/>
        </w:rPr>
        <w:t xml:space="preserve"> in addition to analyzing the results of each study, we also compared the results of Study 1 vs. Study 2, on the one hand, and Study 1 vs Study 3, on the other.</w:t>
      </w:r>
    </w:p>
    <w:p w14:paraId="760DA05E" w14:textId="77777777" w:rsidR="003A3EA7" w:rsidRDefault="00000000">
      <w:pPr>
        <w:spacing w:before="120" w:after="120" w:line="480" w:lineRule="auto"/>
        <w:ind w:right="-40"/>
      </w:pPr>
      <w:r>
        <w:t xml:space="preserve">Before moving on, let us highlight two features of our studies. First, we only tested the predicate ‘wrong’ throughout. Thus, our data concern inferences attributable to this predicate and this predicate only. Secondly, participants’ opinion about the acceptability of these constructions could be influenced by their first-order opinions about the moral sentences that they include. For example, someone who thinks that murder is wrong might reject a sentence like (5), not </w:t>
      </w:r>
      <w:proofErr w:type="gramStart"/>
      <w:r>
        <w:t>on the basis of</w:t>
      </w:r>
      <w:proofErr w:type="gramEnd"/>
      <w:r>
        <w:t xml:space="preserve"> the construction itself, but because they think that whoever fails to disapprove of murder cannot be in their right mind. To control for participants’ first-order opinions about the object of evaluation, in our test items we introduced four different objects of evaluation: negative (murder), positive (volunteering), controversial (eating meat), and something that participants could not be opinionated about (‘what she did’). This way we ensured that participants’ first-order opinions were not driving their assessment of constructions like (5).</w:t>
      </w:r>
    </w:p>
    <w:p w14:paraId="03CE27BE" w14:textId="77777777" w:rsidR="003A3EA7" w:rsidRDefault="00000000">
      <w:pPr>
        <w:spacing w:before="120" w:after="120" w:line="480" w:lineRule="auto"/>
        <w:ind w:right="-40"/>
        <w:rPr>
          <w:b/>
        </w:rPr>
      </w:pPr>
      <w:r>
        <w:rPr>
          <w:b/>
        </w:rPr>
        <w:lastRenderedPageBreak/>
        <w:t>3.1 Preliminary Study</w:t>
      </w:r>
    </w:p>
    <w:p w14:paraId="16D76597" w14:textId="77777777" w:rsidR="003A3EA7" w:rsidRDefault="00000000">
      <w:pPr>
        <w:spacing w:before="120" w:after="120" w:line="480" w:lineRule="auto"/>
        <w:ind w:right="-40"/>
      </w:pPr>
      <w:r>
        <w:t xml:space="preserve">This study was meant to test whether Moore-paradoxes containing moral sentences (13) are infelicitous in the same way that stereotypical Moore-paradoxes—containing nonmoral predicates, (14)—are. To this effect, we measured the acceptability of sentences like (13) and (14) by comparing both of these constructions with minimally different alternatives containing a proper name instead of the </w:t>
      </w:r>
      <w:proofErr w:type="gramStart"/>
      <w:r>
        <w:t>first person</w:t>
      </w:r>
      <w:proofErr w:type="gramEnd"/>
      <w:r>
        <w:t xml:space="preserve"> pronoun (15), (16):</w:t>
      </w:r>
    </w:p>
    <w:p w14:paraId="606102DB" w14:textId="77777777" w:rsidR="003A3EA7" w:rsidRDefault="00000000">
      <w:pPr>
        <w:spacing w:before="120" w:after="120"/>
        <w:ind w:right="-40" w:firstLine="720"/>
      </w:pPr>
      <w:r>
        <w:t>13.</w:t>
      </w:r>
      <w:r>
        <w:tab/>
        <w:t xml:space="preserve">Murder is </w:t>
      </w:r>
      <w:proofErr w:type="gramStart"/>
      <w:r>
        <w:t>wrong</w:t>
      </w:r>
      <w:proofErr w:type="gramEnd"/>
      <w:r>
        <w:t xml:space="preserve"> but I don’t think that it is wrong.</w:t>
      </w:r>
    </w:p>
    <w:p w14:paraId="04B783D3" w14:textId="77777777" w:rsidR="003A3EA7" w:rsidRDefault="00000000">
      <w:pPr>
        <w:spacing w:before="120" w:after="120"/>
        <w:ind w:right="-40" w:firstLine="720"/>
      </w:pPr>
      <w:r>
        <w:t>14.</w:t>
      </w:r>
      <w:r>
        <w:tab/>
        <w:t xml:space="preserve">Murder is </w:t>
      </w:r>
      <w:proofErr w:type="gramStart"/>
      <w:r>
        <w:t>common</w:t>
      </w:r>
      <w:proofErr w:type="gramEnd"/>
      <w:r>
        <w:t xml:space="preserve"> but I don’t think that it is common.</w:t>
      </w:r>
    </w:p>
    <w:p w14:paraId="0F48D739" w14:textId="77777777" w:rsidR="003A3EA7" w:rsidRDefault="00000000">
      <w:pPr>
        <w:spacing w:before="120" w:after="120"/>
        <w:ind w:right="-40" w:firstLine="720"/>
      </w:pPr>
      <w:r>
        <w:t>15.</w:t>
      </w:r>
      <w:r>
        <w:tab/>
        <w:t xml:space="preserve">Murder is </w:t>
      </w:r>
      <w:proofErr w:type="gramStart"/>
      <w:r>
        <w:t>wrong</w:t>
      </w:r>
      <w:proofErr w:type="gramEnd"/>
      <w:r>
        <w:t xml:space="preserve"> but Ann doesn’t think that it is wrong.</w:t>
      </w:r>
    </w:p>
    <w:p w14:paraId="78756791" w14:textId="77777777" w:rsidR="003A3EA7" w:rsidRDefault="00000000">
      <w:pPr>
        <w:spacing w:before="120" w:after="120" w:line="480" w:lineRule="auto"/>
        <w:ind w:right="-40" w:firstLine="720"/>
      </w:pPr>
      <w:r>
        <w:t>16.</w:t>
      </w:r>
      <w:r>
        <w:tab/>
        <w:t xml:space="preserve">Murder is </w:t>
      </w:r>
      <w:proofErr w:type="gramStart"/>
      <w:r>
        <w:t>common</w:t>
      </w:r>
      <w:proofErr w:type="gramEnd"/>
      <w:r>
        <w:t xml:space="preserve"> but Bill doesn’t think that it is common.</w:t>
      </w:r>
    </w:p>
    <w:p w14:paraId="4B1318EA" w14:textId="77777777" w:rsidR="003A3EA7" w:rsidRDefault="00000000">
      <w:pPr>
        <w:spacing w:before="120" w:after="120" w:line="480" w:lineRule="auto"/>
        <w:ind w:right="-40"/>
      </w:pPr>
      <w:r>
        <w:t>The purpose of this study was to ensure that we could use Moore paradoxes like (13) as baseline in subsequent studies.</w:t>
      </w:r>
      <w:r w:rsidRPr="00515B0A">
        <w:rPr>
          <w:rStyle w:val="Fotnotsreferens"/>
        </w:rPr>
        <w:footnoteReference w:id="8"/>
      </w:r>
      <w:r>
        <w:t xml:space="preserve"> </w:t>
      </w:r>
    </w:p>
    <w:p w14:paraId="36AFB0EF" w14:textId="77777777" w:rsidR="003A3EA7" w:rsidRDefault="00000000">
      <w:pPr>
        <w:spacing w:before="120" w:after="120" w:line="480" w:lineRule="auto"/>
        <w:ind w:right="-40"/>
        <w:rPr>
          <w:b/>
        </w:rPr>
      </w:pPr>
      <w:r>
        <w:rPr>
          <w:b/>
        </w:rPr>
        <w:t>3.1.1 Methods</w:t>
      </w:r>
    </w:p>
    <w:p w14:paraId="0D239832" w14:textId="77777777" w:rsidR="003A3EA7" w:rsidRDefault="00000000">
      <w:pPr>
        <w:spacing w:before="120" w:after="120" w:line="480" w:lineRule="auto"/>
        <w:ind w:right="-40"/>
        <w:rPr>
          <w:b/>
        </w:rPr>
      </w:pPr>
      <w:r>
        <w:rPr>
          <w:b/>
        </w:rPr>
        <w:t xml:space="preserve">Participants. </w:t>
      </w:r>
      <w:r>
        <w:t>We recruited 80 self-reported English native speakers via Prolific. Participants were paid £0.45 for approximately 3 minutes of their time (9£/h). Per our preregistration, we excluded from the analysis participants who failed to show sensitivity to Moore’s sentences with ‘common’. That is, we excluded participants who accepted more than 50% of 1st person 'common'-</w:t>
      </w:r>
      <w:proofErr w:type="gramStart"/>
      <w:r>
        <w:t>sentences, or</w:t>
      </w:r>
      <w:proofErr w:type="gramEnd"/>
      <w:r>
        <w:t xml:space="preserve"> rejected more than 50% of 3rd person 'common'-sentences. This resulted in the analysis of 49 participants. This exclusion criterion worked as an attention check.</w:t>
      </w:r>
    </w:p>
    <w:p w14:paraId="299261B3" w14:textId="77777777" w:rsidR="003A3EA7" w:rsidRDefault="00000000">
      <w:pPr>
        <w:spacing w:before="120" w:after="120" w:line="480" w:lineRule="auto"/>
        <w:ind w:right="-40"/>
      </w:pPr>
      <w:r>
        <w:rPr>
          <w:b/>
        </w:rPr>
        <w:t xml:space="preserve">Materials and design. </w:t>
      </w:r>
      <w:r>
        <w:t xml:space="preserve">Test items were generated from the following template, where φ is an act-type (the “object of evaluation”), x is an individual, and </w:t>
      </w:r>
      <w:r>
        <w:rPr>
          <w:i/>
        </w:rPr>
        <w:t>ADJ</w:t>
      </w:r>
      <w:r>
        <w:t xml:space="preserve"> is an adjective: </w:t>
      </w:r>
    </w:p>
    <w:p w14:paraId="6FBAD7F5" w14:textId="77777777" w:rsidR="003A3EA7" w:rsidRDefault="00000000">
      <w:pPr>
        <w:numPr>
          <w:ilvl w:val="0"/>
          <w:numId w:val="3"/>
        </w:numPr>
        <w:spacing w:before="120" w:after="120" w:line="480" w:lineRule="auto"/>
        <w:ind w:right="-40"/>
      </w:pPr>
      <w:r>
        <w:t>φ-</w:t>
      </w:r>
      <w:proofErr w:type="spellStart"/>
      <w:r>
        <w:t>ing</w:t>
      </w:r>
      <w:proofErr w:type="spellEnd"/>
      <w:r>
        <w:t xml:space="preserve"> is </w:t>
      </w:r>
      <w:r>
        <w:rPr>
          <w:i/>
        </w:rPr>
        <w:t>ADJ</w:t>
      </w:r>
      <w:r>
        <w:t xml:space="preserve"> but x does not think that φ-</w:t>
      </w:r>
      <w:proofErr w:type="spellStart"/>
      <w:r>
        <w:t>ing</w:t>
      </w:r>
      <w:proofErr w:type="spellEnd"/>
      <w:r>
        <w:t xml:space="preserve"> is </w:t>
      </w:r>
      <w:r>
        <w:rPr>
          <w:i/>
        </w:rPr>
        <w:t>ADJ</w:t>
      </w:r>
      <w:r>
        <w:t xml:space="preserve"> </w:t>
      </w:r>
    </w:p>
    <w:p w14:paraId="6DFBBA3A" w14:textId="77777777" w:rsidR="003A3EA7" w:rsidRDefault="00000000">
      <w:pPr>
        <w:spacing w:before="120" w:after="120" w:line="480" w:lineRule="auto"/>
        <w:ind w:right="-40"/>
      </w:pPr>
      <w:r>
        <w:lastRenderedPageBreak/>
        <w:t>This is a sentence stating (</w:t>
      </w:r>
      <w:proofErr w:type="spellStart"/>
      <w:r>
        <w:t>i</w:t>
      </w:r>
      <w:proofErr w:type="spellEnd"/>
      <w:r>
        <w:t xml:space="preserve">) that an act-type falls under a certain adjective and (ii) that a certain individual does not think that. Adopting this template, we manipulated 2 factors with 2 levels each: </w:t>
      </w:r>
    </w:p>
    <w:p w14:paraId="6D243662" w14:textId="77777777" w:rsidR="003A3EA7" w:rsidRDefault="00000000">
      <w:pPr>
        <w:numPr>
          <w:ilvl w:val="0"/>
          <w:numId w:val="4"/>
        </w:numPr>
        <w:spacing w:before="120" w:line="480" w:lineRule="auto"/>
        <w:ind w:right="-40"/>
      </w:pPr>
      <w:r>
        <w:t>Adjective (levels: ‘wrong’/’common’</w:t>
      </w:r>
      <w:proofErr w:type="gramStart"/>
      <w:r>
        <w:t>);</w:t>
      </w:r>
      <w:proofErr w:type="gramEnd"/>
    </w:p>
    <w:p w14:paraId="21473C6C" w14:textId="77777777" w:rsidR="003A3EA7" w:rsidRDefault="00000000">
      <w:pPr>
        <w:numPr>
          <w:ilvl w:val="0"/>
          <w:numId w:val="4"/>
        </w:numPr>
        <w:spacing w:after="120" w:line="480" w:lineRule="auto"/>
        <w:ind w:right="-40"/>
      </w:pPr>
      <w:r>
        <w:t xml:space="preserve">Person (levels: 1st or 3rd </w:t>
      </w:r>
      <w:proofErr w:type="gramStart"/>
      <w:r>
        <w:t>person;</w:t>
      </w:r>
      <w:proofErr w:type="gramEnd"/>
      <w:r>
        <w:t xml:space="preserve"> i.e., ‘I’ or ‘Ann’, ‘Bill’, etc.). </w:t>
      </w:r>
    </w:p>
    <w:p w14:paraId="44E5C796" w14:textId="77777777" w:rsidR="003A3EA7" w:rsidRDefault="00000000">
      <w:pPr>
        <w:spacing w:before="120" w:after="120" w:line="480" w:lineRule="auto"/>
        <w:ind w:right="-40"/>
      </w:pPr>
      <w:r>
        <w:t xml:space="preserve">The combination of these two factors gives rise to the four sentence-types shown on </w:t>
      </w:r>
      <w:r>
        <w:rPr>
          <w:b/>
        </w:rPr>
        <w:t>Table 1</w:t>
      </w:r>
      <w:r>
        <w:t>, illustrated with ‘murder’ as act-type:</w:t>
      </w:r>
    </w:p>
    <w:tbl>
      <w:tblPr>
        <w:tblStyle w:val="a"/>
        <w:tblW w:w="9060" w:type="dxa"/>
        <w:tblInd w:w="-25" w:type="dxa"/>
        <w:tblLayout w:type="fixed"/>
        <w:tblLook w:val="0400" w:firstRow="0" w:lastRow="0" w:firstColumn="0" w:lastColumn="0" w:noHBand="0" w:noVBand="1"/>
      </w:tblPr>
      <w:tblGrid>
        <w:gridCol w:w="885"/>
        <w:gridCol w:w="4080"/>
        <w:gridCol w:w="4095"/>
      </w:tblGrid>
      <w:tr w:rsidR="003A3EA7" w14:paraId="237A79CB" w14:textId="77777777">
        <w:trPr>
          <w:trHeight w:val="364"/>
        </w:trPr>
        <w:tc>
          <w:tcPr>
            <w:tcW w:w="8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6A2DA" w14:textId="77777777" w:rsidR="003A3EA7" w:rsidRDefault="003A3EA7">
            <w:pPr>
              <w:ind w:right="-40"/>
            </w:pPr>
          </w:p>
          <w:p w14:paraId="6B426B78" w14:textId="77777777" w:rsidR="003A3EA7" w:rsidRDefault="00000000">
            <w:pPr>
              <w:ind w:right="-40"/>
              <w:jc w:val="center"/>
            </w:pPr>
            <w:r>
              <w:rPr>
                <w:b/>
              </w:rPr>
              <w:t>Person</w:t>
            </w:r>
          </w:p>
        </w:tc>
        <w:tc>
          <w:tcPr>
            <w:tcW w:w="81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1D879" w14:textId="77777777" w:rsidR="003A3EA7" w:rsidRDefault="00000000">
            <w:pPr>
              <w:ind w:right="-40"/>
              <w:jc w:val="center"/>
            </w:pPr>
            <w:r>
              <w:rPr>
                <w:b/>
              </w:rPr>
              <w:t xml:space="preserve">Adjective </w:t>
            </w:r>
          </w:p>
        </w:tc>
      </w:tr>
      <w:tr w:rsidR="003A3EA7" w14:paraId="70F38A0A" w14:textId="77777777">
        <w:trPr>
          <w:trHeight w:val="233"/>
        </w:trPr>
        <w:tc>
          <w:tcPr>
            <w:tcW w:w="88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F2083" w14:textId="77777777" w:rsidR="003A3EA7" w:rsidRDefault="003A3EA7">
            <w:pPr>
              <w:widowControl w:val="0"/>
              <w:spacing w:line="480" w:lineRule="auto"/>
              <w:ind w:right="-40"/>
            </w:pP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F0B2B" w14:textId="77777777" w:rsidR="003A3EA7" w:rsidRDefault="00000000">
            <w:pPr>
              <w:ind w:right="-40"/>
              <w:jc w:val="center"/>
            </w:pPr>
            <w:r>
              <w:t>‘wrong’</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C58B3" w14:textId="77777777" w:rsidR="003A3EA7" w:rsidRDefault="00000000">
            <w:pPr>
              <w:ind w:right="-40"/>
              <w:jc w:val="center"/>
            </w:pPr>
            <w:r>
              <w:t>‘common’</w:t>
            </w:r>
          </w:p>
        </w:tc>
      </w:tr>
      <w:tr w:rsidR="003A3EA7" w14:paraId="74660BD6" w14:textId="77777777">
        <w:trPr>
          <w:trHeight w:val="63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3989E" w14:textId="77777777" w:rsidR="003A3EA7" w:rsidRDefault="00000000">
            <w:pPr>
              <w:ind w:right="-40"/>
              <w:jc w:val="center"/>
              <w:rPr>
                <w:vertAlign w:val="superscript"/>
              </w:rPr>
            </w:pPr>
            <w:r>
              <w:t>1</w:t>
            </w:r>
            <w:r>
              <w:rPr>
                <w:vertAlign w:val="superscript"/>
              </w:rPr>
              <w:t>st</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D053" w14:textId="77777777" w:rsidR="003A3EA7" w:rsidRDefault="00000000">
            <w:pPr>
              <w:ind w:right="-40"/>
              <w:jc w:val="left"/>
            </w:pPr>
            <w:r>
              <w:t>Murder is wrong but I don't think that it is wrong.</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EBB59" w14:textId="77777777" w:rsidR="003A3EA7" w:rsidRDefault="00000000">
            <w:pPr>
              <w:ind w:right="-40"/>
              <w:jc w:val="left"/>
            </w:pPr>
            <w:r>
              <w:t>Murder is common but I don't think that it is common.</w:t>
            </w:r>
          </w:p>
        </w:tc>
      </w:tr>
      <w:tr w:rsidR="003A3EA7" w14:paraId="2BA5686C" w14:textId="77777777">
        <w:trPr>
          <w:trHeight w:val="441"/>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10E07" w14:textId="77777777" w:rsidR="003A3EA7" w:rsidRDefault="00000000">
            <w:pPr>
              <w:ind w:right="-40"/>
              <w:jc w:val="center"/>
              <w:rPr>
                <w:vertAlign w:val="superscript"/>
              </w:rPr>
            </w:pPr>
            <w:r>
              <w:t>3</w:t>
            </w:r>
            <w:r>
              <w:rPr>
                <w:vertAlign w:val="superscript"/>
              </w:rPr>
              <w:t>rd</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3CAA2" w14:textId="77777777" w:rsidR="003A3EA7" w:rsidRDefault="00000000">
            <w:pPr>
              <w:ind w:right="-40"/>
              <w:jc w:val="left"/>
            </w:pPr>
            <w:r>
              <w:t>Murder is wrong but Ann doesn't think that it is wrong.</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16325" w14:textId="77777777" w:rsidR="003A3EA7" w:rsidRDefault="00000000">
            <w:pPr>
              <w:ind w:right="-40"/>
              <w:jc w:val="left"/>
            </w:pPr>
            <w:r>
              <w:t>Murder is common but Bill doesn't think that it is common. </w:t>
            </w:r>
          </w:p>
        </w:tc>
      </w:tr>
    </w:tbl>
    <w:p w14:paraId="03A3B2E2" w14:textId="77777777" w:rsidR="003A3EA7" w:rsidRDefault="00000000">
      <w:pPr>
        <w:spacing w:before="120" w:after="120" w:line="360" w:lineRule="auto"/>
        <w:ind w:right="-40"/>
        <w:jc w:val="center"/>
        <w:rPr>
          <w:b/>
        </w:rPr>
      </w:pPr>
      <w:r>
        <w:rPr>
          <w:b/>
        </w:rPr>
        <w:t>Table 1.</w:t>
      </w:r>
      <w:r>
        <w:t xml:space="preserve"> 2×2 within subject design for the Preliminary Study.</w:t>
      </w:r>
    </w:p>
    <w:p w14:paraId="3A122BB1" w14:textId="77777777" w:rsidR="003A3EA7" w:rsidRDefault="00000000">
      <w:pPr>
        <w:spacing w:before="120" w:after="120" w:line="480" w:lineRule="auto"/>
        <w:ind w:right="-40"/>
        <w:rPr>
          <w:b/>
        </w:rPr>
      </w:pPr>
      <w:r>
        <w:t xml:space="preserve">The Preliminary Study consisted of 16 sentences generated by combining the 4 possible </w:t>
      </w:r>
      <w:proofErr w:type="gramStart"/>
      <w:r>
        <w:t>sentences</w:t>
      </w:r>
      <w:proofErr w:type="gramEnd"/>
      <w:r>
        <w:t xml:space="preserve"> types in </w:t>
      </w:r>
      <w:r>
        <w:rPr>
          <w:b/>
        </w:rPr>
        <w:t>Table 1</w:t>
      </w:r>
      <w:r>
        <w:t xml:space="preserve"> with each of 4 act-types (murder, volunteering, eating meat, and ‘what she did’).</w:t>
      </w:r>
    </w:p>
    <w:p w14:paraId="662309DA" w14:textId="77777777" w:rsidR="003A3EA7" w:rsidRDefault="00000000">
      <w:pPr>
        <w:spacing w:before="120" w:after="120" w:line="480" w:lineRule="auto"/>
        <w:ind w:right="-40"/>
        <w:rPr>
          <w:color w:val="0000FF"/>
        </w:rPr>
      </w:pPr>
      <w:r>
        <w:rPr>
          <w:b/>
        </w:rPr>
        <w:t xml:space="preserve">Procedure. </w:t>
      </w:r>
      <w:r>
        <w:t xml:space="preserve">The experiments were executed on </w:t>
      </w:r>
      <w:proofErr w:type="spellStart"/>
      <w:r>
        <w:t>PCIbex</w:t>
      </w:r>
      <w:proofErr w:type="spellEnd"/>
      <w:r>
        <w:t xml:space="preserve"> Farm (</w:t>
      </w:r>
      <w:hyperlink r:id="rId33">
        <w:r>
          <w:rPr>
            <w:color w:val="1155CC"/>
            <w:u w:val="single"/>
          </w:rPr>
          <w:t>https://farm.pcibex.net/</w:t>
        </w:r>
      </w:hyperlink>
      <w:r>
        <w:t xml:space="preserve">), to which Prolific workers were directed with a link. Participants saw an Instruction page, shown in </w:t>
      </w:r>
      <w:r>
        <w:rPr>
          <w:b/>
        </w:rPr>
        <w:t>Figure 1</w:t>
      </w:r>
      <w:r>
        <w:t xml:space="preserve">, and were shown items, as illustrated in </w:t>
      </w:r>
      <w:r>
        <w:rPr>
          <w:b/>
        </w:rPr>
        <w:t>Figure 2</w:t>
      </w:r>
      <w:r>
        <w:t xml:space="preserve">. </w:t>
      </w:r>
      <w:r>
        <w:rPr>
          <w:color w:val="0000FF"/>
        </w:rPr>
        <w:t>Importantly, the order of presentation of each of the 16 sentences was randomized for each participant.</w:t>
      </w:r>
    </w:p>
    <w:p w14:paraId="693DE741" w14:textId="77777777" w:rsidR="003A3EA7" w:rsidRDefault="00000000">
      <w:pPr>
        <w:spacing w:before="120" w:after="120"/>
        <w:ind w:right="-40"/>
        <w:jc w:val="center"/>
      </w:pPr>
      <w:r>
        <w:rPr>
          <w:noProof/>
        </w:rPr>
        <w:lastRenderedPageBreak/>
        <w:drawing>
          <wp:inline distT="114300" distB="114300" distL="114300" distR="114300" wp14:anchorId="019FE8C5" wp14:editId="6EB17367">
            <wp:extent cx="5262563" cy="2962275"/>
            <wp:effectExtent l="12700" t="12700" r="12700" b="127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4"/>
                    <a:srcRect/>
                    <a:stretch>
                      <a:fillRect/>
                    </a:stretch>
                  </pic:blipFill>
                  <pic:spPr>
                    <a:xfrm>
                      <a:off x="0" y="0"/>
                      <a:ext cx="5262563" cy="2962275"/>
                    </a:xfrm>
                    <a:prstGeom prst="rect">
                      <a:avLst/>
                    </a:prstGeom>
                    <a:ln w="12700">
                      <a:solidFill>
                        <a:srgbClr val="000000"/>
                      </a:solidFill>
                      <a:prstDash val="solid"/>
                    </a:ln>
                  </pic:spPr>
                </pic:pic>
              </a:graphicData>
            </a:graphic>
          </wp:inline>
        </w:drawing>
      </w:r>
      <w:r>
        <w:t xml:space="preserve"> </w:t>
      </w:r>
      <w:r>
        <w:rPr>
          <w:b/>
        </w:rPr>
        <w:t>Figure 1</w:t>
      </w:r>
      <w:r>
        <w:t>. Instruction page for the study</w:t>
      </w:r>
    </w:p>
    <w:p w14:paraId="06DD9A82" w14:textId="77777777" w:rsidR="003A3EA7" w:rsidRDefault="00000000">
      <w:pPr>
        <w:spacing w:before="120" w:after="120"/>
        <w:ind w:right="-40"/>
      </w:pPr>
      <w:r>
        <w:rPr>
          <w:noProof/>
        </w:rPr>
        <w:drawing>
          <wp:inline distT="114300" distB="114300" distL="114300" distR="114300" wp14:anchorId="28A52C35" wp14:editId="639DC0F2">
            <wp:extent cx="5731200" cy="148590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5731200" cy="1485900"/>
                    </a:xfrm>
                    <a:prstGeom prst="rect">
                      <a:avLst/>
                    </a:prstGeom>
                    <a:ln w="12700">
                      <a:solidFill>
                        <a:srgbClr val="000000"/>
                      </a:solidFill>
                      <a:prstDash val="solid"/>
                    </a:ln>
                  </pic:spPr>
                </pic:pic>
              </a:graphicData>
            </a:graphic>
          </wp:inline>
        </w:drawing>
      </w:r>
    </w:p>
    <w:p w14:paraId="7E7D244C" w14:textId="77777777" w:rsidR="003A3EA7" w:rsidRDefault="00000000">
      <w:pPr>
        <w:spacing w:before="120" w:after="120" w:line="480" w:lineRule="auto"/>
        <w:ind w:right="-40"/>
        <w:jc w:val="center"/>
      </w:pPr>
      <w:r>
        <w:rPr>
          <w:b/>
        </w:rPr>
        <w:t>Figure 2.</w:t>
      </w:r>
      <w:r>
        <w:t xml:space="preserve"> Illustration of a critical trial used in the studies.</w:t>
      </w:r>
    </w:p>
    <w:p w14:paraId="21E664DB" w14:textId="77777777" w:rsidR="003A3EA7" w:rsidRDefault="00000000">
      <w:pPr>
        <w:spacing w:before="120" w:after="120" w:line="480" w:lineRule="auto"/>
        <w:ind w:right="-40"/>
        <w:rPr>
          <w:b/>
        </w:rPr>
      </w:pPr>
      <w:r>
        <w:t>At the end, participants were asked for their native language, self-perceived gender (male/female/other), Prolific ID, and they were given the chance to leave a comment.</w:t>
      </w:r>
    </w:p>
    <w:p w14:paraId="1EB7F91B" w14:textId="77777777" w:rsidR="003A3EA7" w:rsidRDefault="00000000">
      <w:pPr>
        <w:spacing w:before="120" w:after="120" w:line="480" w:lineRule="auto"/>
        <w:ind w:right="-40"/>
      </w:pPr>
      <w:r>
        <w:rPr>
          <w:b/>
        </w:rPr>
        <w:t xml:space="preserve">Predictions. </w:t>
      </w:r>
      <w:r>
        <w:t xml:space="preserve">For the Preliminary Study, we entertained two hypotheses: </w:t>
      </w:r>
    </w:p>
    <w:p w14:paraId="12DC4898" w14:textId="77777777" w:rsidR="003A3EA7" w:rsidRDefault="00000000">
      <w:pPr>
        <w:spacing w:before="120" w:after="120" w:line="360" w:lineRule="auto"/>
        <w:ind w:left="720" w:right="-40"/>
      </w:pPr>
      <w:r>
        <w:rPr>
          <w:b/>
        </w:rPr>
        <w:t>Hypothesis (I)</w:t>
      </w:r>
      <w:r>
        <w:t xml:space="preserve">: 1st-personal sentences are less acceptable than their 3rd-personal counterparts. That is, we predict a main effect of </w:t>
      </w:r>
      <w:proofErr w:type="gramStart"/>
      <w:r>
        <w:t>Person;</w:t>
      </w:r>
      <w:proofErr w:type="gramEnd"/>
    </w:p>
    <w:p w14:paraId="27D9A325" w14:textId="77777777" w:rsidR="003A3EA7" w:rsidRDefault="00000000">
      <w:pPr>
        <w:spacing w:before="120" w:after="120" w:line="360" w:lineRule="auto"/>
        <w:ind w:left="720" w:right="-40"/>
      </w:pPr>
      <w:r>
        <w:rPr>
          <w:b/>
        </w:rPr>
        <w:t>Hypothesis (II)</w:t>
      </w:r>
      <w:r>
        <w:t>: the difference in acceptability between 1st- and 3rd-personal is smaller for ‘wrong’-sentences than for ‘common’-sentences. That is, we predict an interaction between Person and Adjective.</w:t>
      </w:r>
    </w:p>
    <w:p w14:paraId="6354978F" w14:textId="77777777" w:rsidR="003A3EA7" w:rsidRDefault="00000000">
      <w:pPr>
        <w:spacing w:before="120" w:after="120" w:line="480" w:lineRule="auto"/>
        <w:ind w:right="-40"/>
      </w:pPr>
      <w:r>
        <w:t xml:space="preserve">We would adopt Moore-paradoxes formed with ‘wrong’-sentences as baseline for subsequent studies if we find evidence for </w:t>
      </w:r>
      <w:r>
        <w:rPr>
          <w:b/>
        </w:rPr>
        <w:t>Hypothesis (I)</w:t>
      </w:r>
      <w:r>
        <w:t xml:space="preserve"> but not for </w:t>
      </w:r>
      <w:r>
        <w:rPr>
          <w:b/>
        </w:rPr>
        <w:t>Hypothesis (II)</w:t>
      </w:r>
      <w:r>
        <w:t>.</w:t>
      </w:r>
    </w:p>
    <w:p w14:paraId="3F472FFA" w14:textId="77777777" w:rsidR="003A3EA7" w:rsidRDefault="00000000">
      <w:pPr>
        <w:spacing w:before="120" w:after="120" w:line="480" w:lineRule="auto"/>
        <w:ind w:right="-40"/>
        <w:rPr>
          <w:b/>
        </w:rPr>
      </w:pPr>
      <w:r>
        <w:rPr>
          <w:b/>
        </w:rPr>
        <w:lastRenderedPageBreak/>
        <w:t>3.1.2 Results</w:t>
      </w:r>
    </w:p>
    <w:p w14:paraId="29085A4C" w14:textId="77777777" w:rsidR="003A3EA7" w:rsidRDefault="00000000">
      <w:pPr>
        <w:spacing w:before="120" w:after="120" w:line="480" w:lineRule="auto"/>
        <w:ind w:right="-40"/>
      </w:pPr>
      <w:r>
        <w:t xml:space="preserve">The far-left plot on </w:t>
      </w:r>
      <w:r>
        <w:rPr>
          <w:b/>
        </w:rPr>
        <w:t>Figure 3</w:t>
      </w:r>
      <w:r>
        <w:t xml:space="preserve"> shows the mean proportion of ‘make sense’ responses for </w:t>
      </w:r>
      <w:r>
        <w:rPr>
          <w:i/>
        </w:rPr>
        <w:t>Person</w:t>
      </w:r>
      <w:r>
        <w:t xml:space="preserve"> and </w:t>
      </w:r>
      <w:r>
        <w:rPr>
          <w:i/>
        </w:rPr>
        <w:t>Adjective</w:t>
      </w:r>
      <w:r>
        <w:t xml:space="preserve"> in the Preliminary Study. Data were analyzed using a logistic mixed regression that predicted participants’ binary responses (1 if ‘make sense’, 0 otherwise) by </w:t>
      </w:r>
      <w:r>
        <w:rPr>
          <w:i/>
        </w:rPr>
        <w:t>Person</w:t>
      </w:r>
      <w:r>
        <w:t xml:space="preserve"> (two levels: 1st and 3rd), </w:t>
      </w:r>
      <w:r>
        <w:rPr>
          <w:i/>
        </w:rPr>
        <w:t>Adjective</w:t>
      </w:r>
      <w:r>
        <w:t xml:space="preserve"> (two levels: ‘common’ and ‘wrong’) and their interaction.</w:t>
      </w:r>
      <w:r w:rsidRPr="00515B0A">
        <w:rPr>
          <w:rStyle w:val="Fotnotsreferens"/>
        </w:rPr>
        <w:footnoteReference w:id="9"/>
      </w:r>
      <w:r>
        <w:t xml:space="preserve"> Fixed effects were sum-coded. We included random by-subject and by-act-type intercepts, and random slopes by-</w:t>
      </w:r>
      <w:r>
        <w:rPr>
          <w:i/>
        </w:rPr>
        <w:t>Person</w:t>
      </w:r>
      <w:r>
        <w:t xml:space="preserve"> and </w:t>
      </w:r>
      <w:r>
        <w:rPr>
          <w:i/>
        </w:rPr>
        <w:t>Adjective</w:t>
      </w:r>
      <w:r>
        <w:t>.</w:t>
      </w:r>
      <w:r w:rsidRPr="00515B0A">
        <w:rPr>
          <w:rStyle w:val="Fotnotsreferens"/>
        </w:rPr>
        <w:footnoteReference w:id="10"/>
      </w:r>
      <w:r>
        <w:t xml:space="preserve"> </w:t>
      </w:r>
    </w:p>
    <w:p w14:paraId="407CCC3B" w14:textId="77777777" w:rsidR="003A3EA7" w:rsidRDefault="00000000">
      <w:pPr>
        <w:spacing w:before="120" w:after="120" w:line="480" w:lineRule="auto"/>
        <w:ind w:right="-40"/>
      </w:pPr>
      <w:r>
        <w:t xml:space="preserve">Here and throughout all the studies, our confirmatory analyses use Likelihood Ratio Tests where an omnibus model is compared to a simpler model, in which the relevant predictor is removed. In this case, these comparisons revealed a main effect of </w:t>
      </w:r>
      <w:r>
        <w:rPr>
          <w:i/>
        </w:rPr>
        <w:t>Person</w:t>
      </w:r>
      <w:r>
        <w:t xml:space="preserve">: 1st-person sentences were significantly less acceptable than 3rd-person sentences across </w:t>
      </w:r>
      <w:r>
        <w:rPr>
          <w:i/>
        </w:rPr>
        <w:t>Adjective</w:t>
      </w:r>
      <w:r>
        <w:t xml:space="preserve"> types (</w:t>
      </w:r>
      <w:r>
        <w:rPr>
          <w:i/>
        </w:rPr>
        <w:t>χ</w:t>
      </w:r>
      <w:r>
        <w:rPr>
          <w:i/>
          <w:vertAlign w:val="superscript"/>
        </w:rPr>
        <w:t>2</w:t>
      </w:r>
      <w:r>
        <w:t xml:space="preserve">=65.441; </w:t>
      </w:r>
      <w:r>
        <w:rPr>
          <w:i/>
        </w:rPr>
        <w:t>p</w:t>
      </w:r>
      <w:r>
        <w:t xml:space="preserve">&lt;0.001; </w:t>
      </w:r>
      <w:r>
        <w:rPr>
          <w:i/>
        </w:rPr>
        <w:t>ß</w:t>
      </w:r>
      <w:r>
        <w:t xml:space="preserve">=-2.02203); and no significant interaction between </w:t>
      </w:r>
      <w:r>
        <w:rPr>
          <w:i/>
        </w:rPr>
        <w:t>Person</w:t>
      </w:r>
      <w:r>
        <w:t xml:space="preserve"> and </w:t>
      </w:r>
      <w:r>
        <w:rPr>
          <w:i/>
        </w:rPr>
        <w:t>Adjective</w:t>
      </w:r>
      <w:r>
        <w:t xml:space="preserve"> was found (</w:t>
      </w:r>
      <w:r>
        <w:rPr>
          <w:i/>
        </w:rPr>
        <w:t>χ</w:t>
      </w:r>
      <w:r>
        <w:rPr>
          <w:i/>
          <w:vertAlign w:val="superscript"/>
        </w:rPr>
        <w:t>2</w:t>
      </w:r>
      <w:r>
        <w:t xml:space="preserve">=0.5718; </w:t>
      </w:r>
      <w:r>
        <w:rPr>
          <w:i/>
        </w:rPr>
        <w:t>p</w:t>
      </w:r>
      <w:r>
        <w:t xml:space="preserve">=0.4495; </w:t>
      </w:r>
      <w:r>
        <w:rPr>
          <w:i/>
        </w:rPr>
        <w:t>ß</w:t>
      </w:r>
      <w:r>
        <w:t xml:space="preserve">=-0.09736). </w:t>
      </w:r>
    </w:p>
    <w:p w14:paraId="0EB3DD3C" w14:textId="77777777" w:rsidR="003A3EA7" w:rsidRDefault="003A3EA7">
      <w:pPr>
        <w:spacing w:before="120" w:after="120" w:line="480" w:lineRule="auto"/>
        <w:ind w:right="-40"/>
      </w:pPr>
    </w:p>
    <w:p w14:paraId="253B0C8F" w14:textId="77777777" w:rsidR="003A3EA7" w:rsidRDefault="00000000">
      <w:pPr>
        <w:spacing w:before="120" w:after="120"/>
        <w:ind w:right="-40"/>
        <w:jc w:val="center"/>
      </w:pPr>
      <w:r>
        <w:rPr>
          <w:noProof/>
        </w:rPr>
        <w:lastRenderedPageBreak/>
        <w:drawing>
          <wp:inline distT="114300" distB="114300" distL="114300" distR="114300" wp14:anchorId="35FFFFFF" wp14:editId="390CABAF">
            <wp:extent cx="5731200" cy="3390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5731200" cy="3390900"/>
                    </a:xfrm>
                    <a:prstGeom prst="rect">
                      <a:avLst/>
                    </a:prstGeom>
                    <a:ln/>
                  </pic:spPr>
                </pic:pic>
              </a:graphicData>
            </a:graphic>
          </wp:inline>
        </w:drawing>
      </w:r>
    </w:p>
    <w:p w14:paraId="655D818B" w14:textId="77777777" w:rsidR="003A3EA7" w:rsidRDefault="00000000">
      <w:pPr>
        <w:spacing w:before="120" w:after="120"/>
        <w:ind w:right="-40"/>
      </w:pPr>
      <w:r>
        <w:rPr>
          <w:b/>
        </w:rPr>
        <w:t>Figure 3</w:t>
      </w:r>
      <w:r>
        <w:t>. Results of the Preliminary Study and Studies 1–3. In the Preliminary Study there was a significant main Person effect, and no interaction between Person and Adjective. Throughout Studies 1–3, we found a main effect of Person as well as an interaction between Person and Attitude.</w:t>
      </w:r>
    </w:p>
    <w:p w14:paraId="4F3FA928" w14:textId="77777777" w:rsidR="003A3EA7" w:rsidRDefault="003A3EA7">
      <w:pPr>
        <w:spacing w:before="120" w:after="120"/>
        <w:ind w:right="-40"/>
      </w:pPr>
    </w:p>
    <w:p w14:paraId="58494071" w14:textId="77777777" w:rsidR="003A3EA7" w:rsidRDefault="00000000">
      <w:pPr>
        <w:spacing w:before="120" w:after="120" w:line="480" w:lineRule="auto"/>
        <w:ind w:right="-40"/>
        <w:rPr>
          <w:b/>
        </w:rPr>
      </w:pPr>
      <w:r>
        <w:rPr>
          <w:b/>
        </w:rPr>
        <w:t>3.1.3 Discussion</w:t>
      </w:r>
    </w:p>
    <w:p w14:paraId="0D3A11E2" w14:textId="77777777" w:rsidR="003A3EA7" w:rsidRDefault="00000000">
      <w:pPr>
        <w:spacing w:before="120" w:after="120" w:line="480" w:lineRule="auto"/>
        <w:ind w:right="-40"/>
      </w:pPr>
      <w:r>
        <w:t xml:space="preserve">Since we found no interaction between the Person and Adjective factors, we purported to adopt the sentence pair (13), (15) as baseline for subsequent studies. Thus, in Studies 1–3 we compare the acceptability of (13) and (15) to that of similar constructions involving </w:t>
      </w:r>
      <w:r>
        <w:rPr>
          <w:i/>
        </w:rPr>
        <w:t>disapproval</w:t>
      </w:r>
      <w:r>
        <w:t xml:space="preserve"> instead of </w:t>
      </w:r>
      <w:r>
        <w:rPr>
          <w:i/>
        </w:rPr>
        <w:t>think</w:t>
      </w:r>
      <w:r>
        <w:t>. Even though these results were somewhat predictable, it bears pointing out that we are offering—to our knowledge—the first piece of formal experimental evidence on Moore’s paradox.</w:t>
      </w:r>
    </w:p>
    <w:p w14:paraId="07CCD4FC" w14:textId="77777777" w:rsidR="003A3EA7" w:rsidRDefault="00000000">
      <w:pPr>
        <w:spacing w:before="120" w:after="120" w:line="480" w:lineRule="auto"/>
        <w:ind w:right="-40"/>
        <w:rPr>
          <w:b/>
        </w:rPr>
      </w:pPr>
      <w:r>
        <w:rPr>
          <w:b/>
        </w:rPr>
        <w:t>3.2 Study 1</w:t>
      </w:r>
    </w:p>
    <w:p w14:paraId="58137EC5" w14:textId="77777777" w:rsidR="003A3EA7" w:rsidRDefault="00000000">
      <w:pPr>
        <w:spacing w:before="120" w:after="120" w:line="480" w:lineRule="auto"/>
        <w:ind w:right="-40"/>
      </w:pPr>
      <w:r>
        <w:t xml:space="preserve">In Study 1, we compared the acceptability of sentences like (13) and (5) (repeated below) by comparing each of these constructions with a minimally different alternative containing a proper name instead of the </w:t>
      </w:r>
      <w:proofErr w:type="gramStart"/>
      <w:r>
        <w:t>first person</w:t>
      </w:r>
      <w:proofErr w:type="gramEnd"/>
      <w:r>
        <w:t xml:space="preserve"> pronoun ((15) and (16), respectively):</w:t>
      </w:r>
    </w:p>
    <w:p w14:paraId="7EF32062" w14:textId="77777777" w:rsidR="003A3EA7" w:rsidRDefault="00000000">
      <w:pPr>
        <w:spacing w:before="120" w:after="120"/>
        <w:ind w:left="720" w:right="-40"/>
      </w:pPr>
      <w:r>
        <w:t>13.</w:t>
      </w:r>
      <w:r>
        <w:tab/>
        <w:t xml:space="preserve">Murder is </w:t>
      </w:r>
      <w:proofErr w:type="gramStart"/>
      <w:r>
        <w:t>wrong</w:t>
      </w:r>
      <w:proofErr w:type="gramEnd"/>
      <w:r>
        <w:t xml:space="preserve"> but I don’t think that it is wrong.</w:t>
      </w:r>
    </w:p>
    <w:p w14:paraId="502E411E" w14:textId="77777777" w:rsidR="003A3EA7" w:rsidRDefault="00000000">
      <w:pPr>
        <w:spacing w:before="120" w:after="120"/>
        <w:ind w:left="720" w:right="-40"/>
      </w:pPr>
      <w:r>
        <w:lastRenderedPageBreak/>
        <w:t>15.</w:t>
      </w:r>
      <w:r>
        <w:tab/>
        <w:t xml:space="preserve">Murder is </w:t>
      </w:r>
      <w:proofErr w:type="gramStart"/>
      <w:r>
        <w:t>wrong</w:t>
      </w:r>
      <w:proofErr w:type="gramEnd"/>
      <w:r>
        <w:t xml:space="preserve"> but Ann doesn’t think that it is wrong.</w:t>
      </w:r>
    </w:p>
    <w:p w14:paraId="1984FCEF" w14:textId="77777777" w:rsidR="003A3EA7" w:rsidRDefault="00000000">
      <w:pPr>
        <w:spacing w:before="120" w:after="120"/>
        <w:ind w:right="-40" w:firstLine="720"/>
      </w:pPr>
      <w:r>
        <w:t>5.</w:t>
      </w:r>
      <w:r>
        <w:tab/>
        <w:t xml:space="preserve">Murder is </w:t>
      </w:r>
      <w:proofErr w:type="gramStart"/>
      <w:r>
        <w:t>wrong</w:t>
      </w:r>
      <w:proofErr w:type="gramEnd"/>
      <w:r>
        <w:t xml:space="preserve"> but I don't disapprove of it.</w:t>
      </w:r>
    </w:p>
    <w:p w14:paraId="1DE818EB" w14:textId="77777777" w:rsidR="003A3EA7" w:rsidRDefault="00000000">
      <w:pPr>
        <w:spacing w:before="120" w:after="120" w:line="480" w:lineRule="auto"/>
        <w:ind w:left="720" w:right="-40"/>
      </w:pPr>
      <w:r>
        <w:t>16.</w:t>
      </w:r>
      <w:r>
        <w:tab/>
        <w:t xml:space="preserve">Murder is </w:t>
      </w:r>
      <w:proofErr w:type="gramStart"/>
      <w:r>
        <w:t>wrong</w:t>
      </w:r>
      <w:proofErr w:type="gramEnd"/>
      <w:r>
        <w:t xml:space="preserve"> but Bill doesn't disapprove of it.</w:t>
      </w:r>
    </w:p>
    <w:p w14:paraId="6C10BCC5" w14:textId="77777777" w:rsidR="003A3EA7" w:rsidRDefault="00000000">
      <w:pPr>
        <w:spacing w:before="120" w:after="120" w:line="480" w:lineRule="auto"/>
        <w:ind w:right="-40"/>
      </w:pPr>
      <w:r>
        <w:t>The objective throughout Studies 1-3 was to compare the degree of acceptability of 1st-person sentences like (13) and (5) to that of 3rd-person sentences like (15) and (16), and to test whether the choice of attitude (‘think’; ‘disapprove’) has an impact on their acceptability.</w:t>
      </w:r>
      <w:r w:rsidRPr="00515B0A">
        <w:rPr>
          <w:rStyle w:val="Fotnotsreferens"/>
        </w:rPr>
        <w:footnoteReference w:id="11"/>
      </w:r>
    </w:p>
    <w:p w14:paraId="5926C3C2" w14:textId="77777777" w:rsidR="003A3EA7" w:rsidRDefault="00000000">
      <w:pPr>
        <w:spacing w:before="120" w:after="120" w:line="480" w:lineRule="auto"/>
        <w:ind w:right="-40"/>
        <w:rPr>
          <w:b/>
        </w:rPr>
      </w:pPr>
      <w:r>
        <w:rPr>
          <w:b/>
        </w:rPr>
        <w:t>3.2.1 Methods</w:t>
      </w:r>
    </w:p>
    <w:p w14:paraId="3F30BC6C" w14:textId="77777777" w:rsidR="003A3EA7" w:rsidRDefault="00000000">
      <w:pPr>
        <w:spacing w:before="120" w:after="120" w:line="480" w:lineRule="auto"/>
        <w:ind w:right="-40"/>
      </w:pPr>
      <w:r>
        <w:rPr>
          <w:b/>
        </w:rPr>
        <w:t xml:space="preserve">Participants. </w:t>
      </w:r>
      <w:r>
        <w:t>We recruited 80 self-reported English native speakers via Prolific, who were paid £0.45 for 3 minutes approximately. Per our preregistration, we excluded from the analysis participants who failed to show sensitivity to Moore’s paradox. That is, we excluded participants who accepted more than 50% of 1st person 'think'-</w:t>
      </w:r>
      <w:proofErr w:type="gramStart"/>
      <w:r>
        <w:t>sentences, or</w:t>
      </w:r>
      <w:proofErr w:type="gramEnd"/>
      <w:r>
        <w:t xml:space="preserve"> rejected more than 50% of 3rd person ‘think'-sentences. This resulted in the analysis of 48 participants.</w:t>
      </w:r>
    </w:p>
    <w:p w14:paraId="4BB957FF" w14:textId="77777777" w:rsidR="003A3EA7" w:rsidRDefault="00000000">
      <w:pPr>
        <w:spacing w:before="120" w:after="120" w:line="480" w:lineRule="auto"/>
        <w:ind w:right="-40"/>
      </w:pPr>
      <w:r>
        <w:rPr>
          <w:b/>
        </w:rPr>
        <w:t xml:space="preserve">Materials and design. </w:t>
      </w:r>
      <w:r>
        <w:t xml:space="preserve">Test items were generated from the following template, where </w:t>
      </w:r>
      <w:r>
        <w:rPr>
          <w:i/>
        </w:rPr>
        <w:t>φ</w:t>
      </w:r>
      <w:r>
        <w:t xml:space="preserve"> is an act-type (the “object of evaluation”), </w:t>
      </w:r>
      <w:r>
        <w:rPr>
          <w:i/>
        </w:rPr>
        <w:t xml:space="preserve">x </w:t>
      </w:r>
      <w:r>
        <w:t xml:space="preserve">is an individual and </w:t>
      </w:r>
      <w:r>
        <w:rPr>
          <w:i/>
        </w:rPr>
        <w:t>A</w:t>
      </w:r>
      <w:r>
        <w:t xml:space="preserve"> is an attitude verb: </w:t>
      </w:r>
    </w:p>
    <w:p w14:paraId="2071A688" w14:textId="77777777" w:rsidR="003A3EA7" w:rsidRDefault="00000000">
      <w:pPr>
        <w:numPr>
          <w:ilvl w:val="0"/>
          <w:numId w:val="5"/>
        </w:numPr>
        <w:spacing w:before="120" w:after="120" w:line="480" w:lineRule="auto"/>
        <w:ind w:right="-40"/>
      </w:pPr>
      <w:r>
        <w:rPr>
          <w:i/>
        </w:rPr>
        <w:t>φ</w:t>
      </w:r>
      <w:r>
        <w:t>-</w:t>
      </w:r>
      <w:proofErr w:type="spellStart"/>
      <w:r>
        <w:t>ing</w:t>
      </w:r>
      <w:proofErr w:type="spellEnd"/>
      <w:r>
        <w:t xml:space="preserve"> is wrong but </w:t>
      </w:r>
      <w:r>
        <w:rPr>
          <w:i/>
        </w:rPr>
        <w:t>x</w:t>
      </w:r>
      <w:r>
        <w:t xml:space="preserve"> does not </w:t>
      </w:r>
      <w:r>
        <w:rPr>
          <w:i/>
        </w:rPr>
        <w:t>A</w:t>
      </w:r>
      <w:r>
        <w:t xml:space="preserve"> {that </w:t>
      </w:r>
      <w:r>
        <w:rPr>
          <w:i/>
        </w:rPr>
        <w:t>φ</w:t>
      </w:r>
      <w:r>
        <w:t>-</w:t>
      </w:r>
      <w:proofErr w:type="spellStart"/>
      <w:r>
        <w:t>ing</w:t>
      </w:r>
      <w:proofErr w:type="spellEnd"/>
      <w:r>
        <w:t xml:space="preserve"> is wrong / </w:t>
      </w:r>
      <w:r>
        <w:rPr>
          <w:i/>
        </w:rPr>
        <w:t>φ</w:t>
      </w:r>
      <w:r>
        <w:t>-</w:t>
      </w:r>
      <w:proofErr w:type="spellStart"/>
      <w:r>
        <w:t>ing</w:t>
      </w:r>
      <w:proofErr w:type="spellEnd"/>
      <w:r>
        <w:t>} </w:t>
      </w:r>
    </w:p>
    <w:p w14:paraId="430E8187" w14:textId="77777777" w:rsidR="003A3EA7" w:rsidRDefault="00000000">
      <w:pPr>
        <w:spacing w:before="120" w:after="120" w:line="480" w:lineRule="auto"/>
        <w:ind w:right="-40"/>
      </w:pPr>
      <w:r>
        <w:t>This is a sentence stating (</w:t>
      </w:r>
      <w:proofErr w:type="spellStart"/>
      <w:r>
        <w:t>i</w:t>
      </w:r>
      <w:proofErr w:type="spellEnd"/>
      <w:r>
        <w:t>) that an act-type is wrong and (ii) that an individual does not have a certain attitude towards that act-type. We manipulated 2 factors with 2 levels each: </w:t>
      </w:r>
    </w:p>
    <w:p w14:paraId="1E8BF4E2" w14:textId="77777777" w:rsidR="003A3EA7" w:rsidRDefault="00000000">
      <w:pPr>
        <w:numPr>
          <w:ilvl w:val="0"/>
          <w:numId w:val="1"/>
        </w:numPr>
        <w:spacing w:before="120" w:line="480" w:lineRule="auto"/>
        <w:ind w:left="720" w:right="-40" w:firstLine="0"/>
      </w:pPr>
      <w:r>
        <w:t>Attitude (levels: 'think' and ‘disapprove’</w:t>
      </w:r>
      <w:proofErr w:type="gramStart"/>
      <w:r>
        <w:t>);</w:t>
      </w:r>
      <w:proofErr w:type="gramEnd"/>
      <w:r>
        <w:t xml:space="preserve"> </w:t>
      </w:r>
    </w:p>
    <w:p w14:paraId="7A3E3799" w14:textId="77777777" w:rsidR="003A3EA7" w:rsidRDefault="00000000">
      <w:pPr>
        <w:numPr>
          <w:ilvl w:val="0"/>
          <w:numId w:val="1"/>
        </w:numPr>
        <w:spacing w:after="120" w:line="480" w:lineRule="auto"/>
        <w:ind w:left="720" w:right="-40" w:firstLine="0"/>
      </w:pPr>
      <w:r>
        <w:t>Person (levels: 1</w:t>
      </w:r>
      <w:r>
        <w:rPr>
          <w:vertAlign w:val="superscript"/>
        </w:rPr>
        <w:t>st</w:t>
      </w:r>
      <w:r>
        <w:t xml:space="preserve"> or 3</w:t>
      </w:r>
      <w:r>
        <w:rPr>
          <w:vertAlign w:val="superscript"/>
        </w:rPr>
        <w:t>rd</w:t>
      </w:r>
      <w:r>
        <w:t xml:space="preserve"> </w:t>
      </w:r>
      <w:proofErr w:type="gramStart"/>
      <w:r>
        <w:t>person;</w:t>
      </w:r>
      <w:proofErr w:type="gramEnd"/>
      <w:r>
        <w:t xml:space="preserve"> i.e., ‘I’ or ‘Ann’, ‘Bill’, etc.). </w:t>
      </w:r>
    </w:p>
    <w:p w14:paraId="3FE7DCF2" w14:textId="77777777" w:rsidR="003A3EA7" w:rsidRDefault="00000000">
      <w:pPr>
        <w:spacing w:before="120" w:after="120" w:line="480" w:lineRule="auto"/>
        <w:ind w:right="-40"/>
      </w:pPr>
      <w:r>
        <w:t xml:space="preserve">This 2×2 within-subject design generates the 4 sentence-types shown in </w:t>
      </w:r>
      <w:r>
        <w:rPr>
          <w:b/>
        </w:rPr>
        <w:t>Table 2</w:t>
      </w:r>
      <w:r>
        <w:t xml:space="preserve">. </w:t>
      </w:r>
    </w:p>
    <w:tbl>
      <w:tblPr>
        <w:tblStyle w:val="a0"/>
        <w:tblW w:w="9060" w:type="dxa"/>
        <w:tblInd w:w="-25" w:type="dxa"/>
        <w:tblLayout w:type="fixed"/>
        <w:tblLook w:val="0400" w:firstRow="0" w:lastRow="0" w:firstColumn="0" w:lastColumn="0" w:noHBand="0" w:noVBand="1"/>
      </w:tblPr>
      <w:tblGrid>
        <w:gridCol w:w="885"/>
        <w:gridCol w:w="4080"/>
        <w:gridCol w:w="4095"/>
      </w:tblGrid>
      <w:tr w:rsidR="003A3EA7" w14:paraId="5CF99DB2" w14:textId="77777777">
        <w:trPr>
          <w:trHeight w:val="364"/>
        </w:trPr>
        <w:tc>
          <w:tcPr>
            <w:tcW w:w="8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40D33" w14:textId="77777777" w:rsidR="003A3EA7" w:rsidRDefault="003A3EA7">
            <w:pPr>
              <w:ind w:right="-40"/>
            </w:pPr>
          </w:p>
          <w:p w14:paraId="454B3CD6" w14:textId="77777777" w:rsidR="003A3EA7" w:rsidRDefault="00000000">
            <w:pPr>
              <w:ind w:right="-40"/>
              <w:jc w:val="center"/>
            </w:pPr>
            <w:r>
              <w:rPr>
                <w:b/>
              </w:rPr>
              <w:t>Person</w:t>
            </w:r>
          </w:p>
        </w:tc>
        <w:tc>
          <w:tcPr>
            <w:tcW w:w="81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9B960" w14:textId="77777777" w:rsidR="003A3EA7" w:rsidRDefault="00000000">
            <w:pPr>
              <w:ind w:right="-40"/>
              <w:jc w:val="center"/>
            </w:pPr>
            <w:r>
              <w:rPr>
                <w:b/>
              </w:rPr>
              <w:t xml:space="preserve">Attitude </w:t>
            </w:r>
          </w:p>
        </w:tc>
      </w:tr>
      <w:tr w:rsidR="003A3EA7" w14:paraId="5886FBD9" w14:textId="77777777">
        <w:trPr>
          <w:trHeight w:val="233"/>
        </w:trPr>
        <w:tc>
          <w:tcPr>
            <w:tcW w:w="88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39F63" w14:textId="77777777" w:rsidR="003A3EA7" w:rsidRDefault="003A3EA7">
            <w:pPr>
              <w:widowControl w:val="0"/>
              <w:spacing w:line="480" w:lineRule="auto"/>
              <w:ind w:right="-40"/>
            </w:pP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67E1E" w14:textId="77777777" w:rsidR="003A3EA7" w:rsidRDefault="00000000">
            <w:pPr>
              <w:ind w:right="-40"/>
              <w:jc w:val="center"/>
            </w:pPr>
            <w:r>
              <w:t>think</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12721" w14:textId="77777777" w:rsidR="003A3EA7" w:rsidRDefault="00000000">
            <w:pPr>
              <w:ind w:right="-40"/>
              <w:jc w:val="center"/>
            </w:pPr>
            <w:r>
              <w:t>disapprove</w:t>
            </w:r>
          </w:p>
        </w:tc>
      </w:tr>
      <w:tr w:rsidR="003A3EA7" w14:paraId="146B7B80" w14:textId="77777777">
        <w:trPr>
          <w:trHeight w:val="63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88C06" w14:textId="77777777" w:rsidR="003A3EA7" w:rsidRDefault="00000000">
            <w:pPr>
              <w:ind w:right="-40"/>
              <w:jc w:val="center"/>
              <w:rPr>
                <w:vertAlign w:val="superscript"/>
              </w:rPr>
            </w:pPr>
            <w:r>
              <w:lastRenderedPageBreak/>
              <w:t>1</w:t>
            </w:r>
            <w:r>
              <w:rPr>
                <w:vertAlign w:val="superscript"/>
              </w:rPr>
              <w:t>st</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09401" w14:textId="77777777" w:rsidR="003A3EA7" w:rsidRDefault="00000000">
            <w:pPr>
              <w:ind w:right="-40"/>
            </w:pPr>
            <w:r>
              <w:t>Murder is wrong but I don't think that it is wrong.</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AAB54" w14:textId="77777777" w:rsidR="003A3EA7" w:rsidRDefault="00000000">
            <w:pPr>
              <w:ind w:right="-40"/>
            </w:pPr>
            <w:r>
              <w:t>Murder is wrong but I don’t disapprove of it.  </w:t>
            </w:r>
          </w:p>
        </w:tc>
      </w:tr>
      <w:tr w:rsidR="003A3EA7" w14:paraId="57330435" w14:textId="77777777">
        <w:trPr>
          <w:trHeight w:val="441"/>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DAA00" w14:textId="77777777" w:rsidR="003A3EA7" w:rsidRDefault="00000000">
            <w:pPr>
              <w:ind w:right="-40"/>
              <w:jc w:val="center"/>
              <w:rPr>
                <w:vertAlign w:val="superscript"/>
              </w:rPr>
            </w:pPr>
            <w:r>
              <w:t>3</w:t>
            </w:r>
            <w:r>
              <w:rPr>
                <w:vertAlign w:val="superscript"/>
              </w:rPr>
              <w:t>rd</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FAD4C" w14:textId="77777777" w:rsidR="003A3EA7" w:rsidRDefault="00000000">
            <w:pPr>
              <w:ind w:right="-40"/>
            </w:pPr>
            <w:r>
              <w:t>Murder is wrong but Ann doesn't think that it is wrong.</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81AA5" w14:textId="77777777" w:rsidR="003A3EA7" w:rsidRDefault="00000000">
            <w:pPr>
              <w:ind w:right="-40"/>
            </w:pPr>
            <w:r>
              <w:t>Murder is wrong but Bill doesn't disapprove of it.  </w:t>
            </w:r>
          </w:p>
        </w:tc>
      </w:tr>
    </w:tbl>
    <w:p w14:paraId="5B353E0B" w14:textId="77777777" w:rsidR="003A3EA7" w:rsidRDefault="00000000">
      <w:pPr>
        <w:spacing w:before="120" w:after="120" w:line="480" w:lineRule="auto"/>
        <w:ind w:right="-40"/>
        <w:jc w:val="center"/>
      </w:pPr>
      <w:r>
        <w:rPr>
          <w:b/>
        </w:rPr>
        <w:t>Table 2.</w:t>
      </w:r>
      <w:r>
        <w:t xml:space="preserve"> 2×2 within subject design for Study 1.</w:t>
      </w:r>
    </w:p>
    <w:p w14:paraId="249A0F34" w14:textId="77777777" w:rsidR="003A3EA7" w:rsidRDefault="00000000">
      <w:pPr>
        <w:spacing w:before="120" w:after="120" w:line="480" w:lineRule="auto"/>
        <w:ind w:right="-40"/>
        <w:rPr>
          <w:b/>
        </w:rPr>
      </w:pPr>
      <w:r>
        <w:t xml:space="preserve">Study 1 consisted of 16 sentences generated by combining the four possible </w:t>
      </w:r>
      <w:proofErr w:type="gramStart"/>
      <w:r>
        <w:t>sentences</w:t>
      </w:r>
      <w:proofErr w:type="gramEnd"/>
      <w:r>
        <w:t xml:space="preserve"> types in </w:t>
      </w:r>
      <w:r>
        <w:rPr>
          <w:b/>
        </w:rPr>
        <w:t>Table 2</w:t>
      </w:r>
      <w:r>
        <w:t xml:space="preserve"> with each of four act-types (murder, volunteering, eating meat, and ‘what she did’). </w:t>
      </w:r>
    </w:p>
    <w:p w14:paraId="45460440" w14:textId="77777777" w:rsidR="003A3EA7" w:rsidRDefault="00000000">
      <w:pPr>
        <w:spacing w:before="120" w:after="120" w:line="480" w:lineRule="auto"/>
        <w:ind w:right="-40"/>
      </w:pPr>
      <w:r>
        <w:rPr>
          <w:b/>
        </w:rPr>
        <w:t xml:space="preserve">Procedure. </w:t>
      </w:r>
      <w:r>
        <w:t xml:space="preserve">The study was carried out in </w:t>
      </w:r>
      <w:proofErr w:type="spellStart"/>
      <w:r>
        <w:t>PCIbex</w:t>
      </w:r>
      <w:proofErr w:type="spellEnd"/>
      <w:r>
        <w:t xml:space="preserve"> Farm. The procedure was identical to the Preliminary Study (§3.1.1).</w:t>
      </w:r>
    </w:p>
    <w:p w14:paraId="2A1DD43B" w14:textId="77777777" w:rsidR="003A3EA7" w:rsidRDefault="00000000">
      <w:pPr>
        <w:spacing w:before="120" w:after="120" w:line="480" w:lineRule="auto"/>
        <w:ind w:right="-40"/>
      </w:pPr>
      <w:r>
        <w:rPr>
          <w:b/>
        </w:rPr>
        <w:t xml:space="preserve">Predictions. </w:t>
      </w:r>
      <w:r>
        <w:t xml:space="preserve">We have two hypotheses (the first one is </w:t>
      </w:r>
      <w:r>
        <w:rPr>
          <w:b/>
        </w:rPr>
        <w:t>Hypothesis (I)</w:t>
      </w:r>
      <w:r>
        <w:t xml:space="preserve"> from the Preliminary Study; the second one is the same as </w:t>
      </w:r>
      <w:r>
        <w:rPr>
          <w:b/>
        </w:rPr>
        <w:t>Hypothesis (II)</w:t>
      </w:r>
      <w:r>
        <w:t xml:space="preserve"> except that we are now looking at the interaction between Person and Attitude, instead of Person and Adjective): </w:t>
      </w:r>
    </w:p>
    <w:p w14:paraId="5563B220" w14:textId="77777777" w:rsidR="003A3EA7" w:rsidRDefault="00000000">
      <w:pPr>
        <w:spacing w:before="120" w:after="120" w:line="360" w:lineRule="auto"/>
        <w:ind w:left="720" w:right="-40"/>
      </w:pPr>
      <w:r>
        <w:rPr>
          <w:b/>
        </w:rPr>
        <w:t>Hypothesis (I):</w:t>
      </w:r>
      <w:r>
        <w:t xml:space="preserve"> 1st-personal sentences are significantly less acceptable than their 3rd-personal counterparts. That is, we predict a main effect of </w:t>
      </w:r>
      <w:proofErr w:type="gramStart"/>
      <w:r>
        <w:t>Person;</w:t>
      </w:r>
      <w:proofErr w:type="gramEnd"/>
    </w:p>
    <w:p w14:paraId="6CB55588" w14:textId="77777777" w:rsidR="003A3EA7" w:rsidRDefault="00000000">
      <w:pPr>
        <w:spacing w:before="120" w:after="120" w:line="360" w:lineRule="auto"/>
        <w:ind w:left="720" w:right="-40"/>
      </w:pPr>
      <w:r>
        <w:rPr>
          <w:b/>
        </w:rPr>
        <w:t>Hypothesis (II*)</w:t>
      </w:r>
      <w:r>
        <w:t xml:space="preserve">: The difference in acceptability between 1st- and 3rd-personal sentences is smaller for ‘disapproval’-sentences than for ‘think’-sentences. That is, we predict an interaction between Person and Attitude. </w:t>
      </w:r>
    </w:p>
    <w:p w14:paraId="039F2F6E" w14:textId="77777777" w:rsidR="003A3EA7" w:rsidRDefault="00000000">
      <w:pPr>
        <w:spacing w:before="120" w:after="120" w:line="480" w:lineRule="auto"/>
        <w:ind w:right="-40"/>
      </w:pPr>
      <w:proofErr w:type="gramStart"/>
      <w:r>
        <w:t>Both of these</w:t>
      </w:r>
      <w:proofErr w:type="gramEnd"/>
      <w:r>
        <w:t xml:space="preserve"> hypotheses are related to the Parity Thesis, but in different ways. </w:t>
      </w:r>
      <w:r>
        <w:rPr>
          <w:b/>
        </w:rPr>
        <w:t>Hypothesis (I)</w:t>
      </w:r>
      <w:r>
        <w:t xml:space="preserve"> can be considered a corollary of Parity. If Parity is true, then one should find a contrast between 1st- and 3rd-person constructions when looking at moral sentences paired with the relevant ‘think’- and ‘disapprove’-ascriptions. In other words, </w:t>
      </w:r>
      <w:proofErr w:type="gramStart"/>
      <w:r>
        <w:t>assuming that</w:t>
      </w:r>
      <w:proofErr w:type="gramEnd"/>
      <w:r>
        <w:t xml:space="preserve"> the phenomenon exists for ‘think’ (that is, Moore’s paradox), introducing the relevant ‘disapproval’-constructions should not make it go away. </w:t>
      </w:r>
    </w:p>
    <w:p w14:paraId="0CEB4D88" w14:textId="77777777" w:rsidR="003A3EA7" w:rsidRDefault="00000000">
      <w:pPr>
        <w:spacing w:before="120" w:after="120" w:line="480" w:lineRule="auto"/>
        <w:ind w:right="-40"/>
      </w:pPr>
      <w:r>
        <w:rPr>
          <w:b/>
        </w:rPr>
        <w:t>Hypothesis (II*)</w:t>
      </w:r>
      <w:r>
        <w:t xml:space="preserve">, by contrast, is not a corollary of Parity, but its denial might be seen as such: if Parity is true, one may expect to find </w:t>
      </w:r>
      <w:r>
        <w:rPr>
          <w:i/>
        </w:rPr>
        <w:t>no evidence</w:t>
      </w:r>
      <w:r>
        <w:t xml:space="preserve"> of an interaction between ‘think’ and ‘disapprove’. However, that is not a hypothesis that we can test, since we cannot conclude </w:t>
      </w:r>
      <w:r>
        <w:lastRenderedPageBreak/>
        <w:t>anything from the absence of an effect. At most, we can hypothesize that we will find an interaction, and then we can consider whether the existence of such an interaction implies that Parity is false. We return to this issue in Section 4.</w:t>
      </w:r>
    </w:p>
    <w:p w14:paraId="3A0A0138" w14:textId="77777777" w:rsidR="003A3EA7" w:rsidRDefault="00000000">
      <w:pPr>
        <w:spacing w:before="120" w:after="120" w:line="480" w:lineRule="auto"/>
        <w:ind w:right="-40"/>
        <w:rPr>
          <w:b/>
        </w:rPr>
      </w:pPr>
      <w:r>
        <w:rPr>
          <w:b/>
        </w:rPr>
        <w:t>3.2.2 Results</w:t>
      </w:r>
    </w:p>
    <w:p w14:paraId="2CDD9EA2" w14:textId="77777777" w:rsidR="003A3EA7" w:rsidRDefault="00000000">
      <w:pPr>
        <w:spacing w:before="120" w:after="120" w:line="480" w:lineRule="auto"/>
        <w:ind w:right="-40"/>
        <w:rPr>
          <w:b/>
        </w:rPr>
      </w:pPr>
      <w:r>
        <w:rPr>
          <w:b/>
        </w:rPr>
        <w:t>Figure 3</w:t>
      </w:r>
      <w:r>
        <w:t xml:space="preserve"> shows the mean proportion of ‘make sense’ responses for </w:t>
      </w:r>
      <w:r>
        <w:rPr>
          <w:i/>
        </w:rPr>
        <w:t>Person</w:t>
      </w:r>
      <w:r>
        <w:t xml:space="preserve"> and </w:t>
      </w:r>
      <w:r>
        <w:rPr>
          <w:i/>
        </w:rPr>
        <w:t>Attitude</w:t>
      </w:r>
      <w:r>
        <w:t xml:space="preserve"> in Study 1.  A visual inspection suggests that ‘make sense’ responses are generally lower for 1st than for 3rd person, and that this difference is weaker for ‘disapprove’-sentences than for ‘think’-sentences. A logistic regression</w:t>
      </w:r>
      <w:r w:rsidRPr="00515B0A">
        <w:rPr>
          <w:rStyle w:val="Fotnotsreferens"/>
        </w:rPr>
        <w:footnoteReference w:id="12"/>
      </w:r>
      <w:r>
        <w:t xml:space="preserve"> (see §3.1.2) statically confirm these results, revealing a main effect of </w:t>
      </w:r>
      <w:r>
        <w:rPr>
          <w:i/>
        </w:rPr>
        <w:t>Person</w:t>
      </w:r>
      <w:r>
        <w:t xml:space="preserve"> (</w:t>
      </w:r>
      <w:r>
        <w:rPr>
          <w:i/>
        </w:rPr>
        <w:t>χ</w:t>
      </w:r>
      <w:r>
        <w:rPr>
          <w:vertAlign w:val="superscript"/>
        </w:rPr>
        <w:t>2</w:t>
      </w:r>
      <w:r>
        <w:t xml:space="preserve">=84.858; </w:t>
      </w:r>
      <w:r>
        <w:rPr>
          <w:i/>
        </w:rPr>
        <w:t>p</w:t>
      </w:r>
      <w:r>
        <w:t xml:space="preserve">&lt;0.001; </w:t>
      </w:r>
      <w:r>
        <w:rPr>
          <w:i/>
        </w:rPr>
        <w:t>ß</w:t>
      </w:r>
      <w:r>
        <w:t xml:space="preserve">=-1.4452) as well as a significant interaction between </w:t>
      </w:r>
      <w:r>
        <w:rPr>
          <w:i/>
        </w:rPr>
        <w:t>Person</w:t>
      </w:r>
      <w:r>
        <w:t xml:space="preserve"> and </w:t>
      </w:r>
      <w:r>
        <w:rPr>
          <w:i/>
        </w:rPr>
        <w:t>Attitude</w:t>
      </w:r>
      <w:r>
        <w:t xml:space="preserve"> (</w:t>
      </w:r>
      <w:r>
        <w:rPr>
          <w:i/>
        </w:rPr>
        <w:t>χ</w:t>
      </w:r>
      <w:r>
        <w:rPr>
          <w:vertAlign w:val="superscript"/>
        </w:rPr>
        <w:t>2</w:t>
      </w:r>
      <w:r>
        <w:t xml:space="preserve">=68.167; </w:t>
      </w:r>
      <w:r>
        <w:rPr>
          <w:i/>
        </w:rPr>
        <w:t>p</w:t>
      </w:r>
      <w:r>
        <w:t xml:space="preserve">&lt;0.001; </w:t>
      </w:r>
      <w:r>
        <w:rPr>
          <w:i/>
        </w:rPr>
        <w:t>ß</w:t>
      </w:r>
      <w:r>
        <w:t>=-0.6138).</w:t>
      </w:r>
      <w:r>
        <w:rPr>
          <w:b/>
        </w:rPr>
        <w:t xml:space="preserve"> </w:t>
      </w:r>
    </w:p>
    <w:p w14:paraId="4D1B65CC" w14:textId="77777777" w:rsidR="003A3EA7" w:rsidRDefault="00000000">
      <w:pPr>
        <w:spacing w:before="120" w:after="120" w:line="480" w:lineRule="auto"/>
        <w:ind w:right="-40"/>
        <w:rPr>
          <w:b/>
        </w:rPr>
      </w:pPr>
      <w:r>
        <w:t>We also conducted a second logistic regression only on data from ‘disapproval’ trials (baseline level: 1st-person, treatment coded). This showed that the acceptability of 1st-personal ‘disapproval’-sentences was not statistically different from chance (</w:t>
      </w:r>
      <w:r>
        <w:rPr>
          <w:i/>
        </w:rPr>
        <w:t>ß</w:t>
      </w:r>
      <w:r>
        <w:t xml:space="preserve">=0.1427; </w:t>
      </w:r>
      <w:r>
        <w:rPr>
          <w:i/>
        </w:rPr>
        <w:t>p</w:t>
      </w:r>
      <w:r>
        <w:t xml:space="preserve">=0.454). </w:t>
      </w:r>
    </w:p>
    <w:p w14:paraId="2F1D1EBF" w14:textId="77777777" w:rsidR="003A3EA7" w:rsidRDefault="00000000">
      <w:pPr>
        <w:spacing w:before="120" w:after="120" w:line="480" w:lineRule="auto"/>
        <w:ind w:right="-40"/>
        <w:rPr>
          <w:b/>
        </w:rPr>
      </w:pPr>
      <w:r>
        <w:rPr>
          <w:b/>
        </w:rPr>
        <w:t>3.2.3 Discussion</w:t>
      </w:r>
    </w:p>
    <w:p w14:paraId="0B3164D9" w14:textId="77777777" w:rsidR="003A3EA7" w:rsidRDefault="00000000">
      <w:pPr>
        <w:spacing w:before="120" w:after="120" w:line="480" w:lineRule="auto"/>
        <w:ind w:right="-40"/>
        <w:rPr>
          <w:b/>
        </w:rPr>
      </w:pPr>
      <w:r>
        <w:t xml:space="preserve">In Study 1, we found that 1st-person sentences are perceived as significantly less acceptable than 3rd-person sentences. This confirms </w:t>
      </w:r>
      <w:r>
        <w:rPr>
          <w:b/>
        </w:rPr>
        <w:t>Hypothesis (I)</w:t>
      </w:r>
      <w:r>
        <w:t xml:space="preserve">. We also found that the contrast between 1st- and 3rd-person constructions was significantly weaker for ‘disapproval’- than for ‘think’-sentences, thus confirming </w:t>
      </w:r>
      <w:r>
        <w:rPr>
          <w:b/>
        </w:rPr>
        <w:t>Hypothesis (II*)</w:t>
      </w:r>
      <w:r>
        <w:t xml:space="preserve"> as well. In Studies 2 and 3, we aimed to control for two possible interpretations of (5) that might be driving these results.</w:t>
      </w:r>
    </w:p>
    <w:p w14:paraId="00F69C0C" w14:textId="77777777" w:rsidR="003A3EA7" w:rsidRDefault="00000000">
      <w:pPr>
        <w:spacing w:before="120" w:after="120" w:line="480" w:lineRule="auto"/>
        <w:ind w:right="-40"/>
        <w:rPr>
          <w:b/>
        </w:rPr>
      </w:pPr>
      <w:r>
        <w:rPr>
          <w:b/>
        </w:rPr>
        <w:t>3.3 Study 2</w:t>
      </w:r>
    </w:p>
    <w:p w14:paraId="0FCD2937" w14:textId="77777777" w:rsidR="003A3EA7" w:rsidRDefault="00000000">
      <w:pPr>
        <w:spacing w:before="120" w:after="120" w:line="480" w:lineRule="auto"/>
        <w:ind w:right="-40"/>
        <w:rPr>
          <w:b/>
        </w:rPr>
      </w:pPr>
      <w:r>
        <w:t xml:space="preserve">In Study 2, we assessed the possibility that speakers interpret ‘wrong’ in (5) with a </w:t>
      </w:r>
      <w:r>
        <w:rPr>
          <w:i/>
        </w:rPr>
        <w:t>sotto voce</w:t>
      </w:r>
      <w:r>
        <w:t xml:space="preserve"> ‘pro-tanto’, so that it allows for circumstantial exceptions. The idea is that, when a speaker calls </w:t>
      </w:r>
      <w:r>
        <w:lastRenderedPageBreak/>
        <w:t xml:space="preserve">an action ‘wrong’, they might mean that it is wrong </w:t>
      </w:r>
      <w:r>
        <w:rPr>
          <w:i/>
        </w:rPr>
        <w:t>in most cases</w:t>
      </w:r>
      <w:r>
        <w:t xml:space="preserve">, or </w:t>
      </w:r>
      <w:r>
        <w:rPr>
          <w:i/>
        </w:rPr>
        <w:t>in normal circumstances</w:t>
      </w:r>
      <w:r>
        <w:t>. But then, it might be coherent for a speaker to utter (5). To see whether this interpretation played a role, we introduced the qualification ‘under any circumstance’ throughout our test items.</w:t>
      </w:r>
      <w:r w:rsidRPr="00515B0A">
        <w:rPr>
          <w:rStyle w:val="Fotnotsreferens"/>
        </w:rPr>
        <w:footnoteReference w:id="13"/>
      </w:r>
      <w:r>
        <w:t xml:space="preserve"> </w:t>
      </w:r>
    </w:p>
    <w:p w14:paraId="4CB2E6F1" w14:textId="77777777" w:rsidR="003A3EA7" w:rsidRDefault="00000000">
      <w:pPr>
        <w:spacing w:before="120" w:after="120" w:line="480" w:lineRule="auto"/>
        <w:ind w:right="-40"/>
        <w:rPr>
          <w:b/>
        </w:rPr>
      </w:pPr>
      <w:r>
        <w:rPr>
          <w:b/>
        </w:rPr>
        <w:t>3.3.1 Methods</w:t>
      </w:r>
    </w:p>
    <w:p w14:paraId="0652873B" w14:textId="77777777" w:rsidR="003A3EA7" w:rsidRDefault="00000000">
      <w:pPr>
        <w:spacing w:before="120" w:after="120" w:line="480" w:lineRule="auto"/>
        <w:ind w:right="-40"/>
      </w:pPr>
      <w:r>
        <w:rPr>
          <w:b/>
        </w:rPr>
        <w:t xml:space="preserve">Participants. </w:t>
      </w:r>
      <w:r>
        <w:t>We recruited 100 self-reported English native speakers via Prolific, who were paid £0.45 for 3 minutes approximately. As in Study 1, we excluded participants who were insensitive to Moore’s paradox, which resulted in the analysis of 53 participants.</w:t>
      </w:r>
    </w:p>
    <w:p w14:paraId="271A8BCC" w14:textId="77777777" w:rsidR="003A3EA7" w:rsidRDefault="00000000">
      <w:pPr>
        <w:spacing w:before="120" w:after="120" w:line="480" w:lineRule="auto"/>
        <w:ind w:right="-40"/>
      </w:pPr>
      <w:r>
        <w:rPr>
          <w:b/>
        </w:rPr>
        <w:t xml:space="preserve">Materials and design. </w:t>
      </w:r>
      <w:r>
        <w:t xml:space="preserve">The materials were </w:t>
      </w:r>
      <w:proofErr w:type="gramStart"/>
      <w:r>
        <w:t>similar to</w:t>
      </w:r>
      <w:proofErr w:type="gramEnd"/>
      <w:r>
        <w:t xml:space="preserve"> that of Study 1, except for the fact that we introduced the aforementioned modification throughout our test items. Our design generates the 4 sentence-types shown in </w:t>
      </w:r>
      <w:r>
        <w:rPr>
          <w:b/>
        </w:rPr>
        <w:t>Table 3</w:t>
      </w:r>
      <w:r>
        <w:t xml:space="preserve">, illustrated with ‘murder’. </w:t>
      </w:r>
    </w:p>
    <w:tbl>
      <w:tblPr>
        <w:tblStyle w:val="a1"/>
        <w:tblW w:w="9060" w:type="dxa"/>
        <w:tblInd w:w="-25" w:type="dxa"/>
        <w:tblLayout w:type="fixed"/>
        <w:tblLook w:val="0400" w:firstRow="0" w:lastRow="0" w:firstColumn="0" w:lastColumn="0" w:noHBand="0" w:noVBand="1"/>
      </w:tblPr>
      <w:tblGrid>
        <w:gridCol w:w="885"/>
        <w:gridCol w:w="4080"/>
        <w:gridCol w:w="4095"/>
      </w:tblGrid>
      <w:tr w:rsidR="003A3EA7" w14:paraId="4A27DE1B" w14:textId="77777777">
        <w:trPr>
          <w:trHeight w:val="364"/>
        </w:trPr>
        <w:tc>
          <w:tcPr>
            <w:tcW w:w="8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1CEC7" w14:textId="77777777" w:rsidR="003A3EA7" w:rsidRDefault="003A3EA7">
            <w:pPr>
              <w:ind w:right="-40"/>
            </w:pPr>
          </w:p>
          <w:p w14:paraId="69166E93" w14:textId="77777777" w:rsidR="003A3EA7" w:rsidRDefault="00000000">
            <w:pPr>
              <w:ind w:right="-40"/>
              <w:jc w:val="center"/>
            </w:pPr>
            <w:r>
              <w:rPr>
                <w:b/>
              </w:rPr>
              <w:t>Person</w:t>
            </w:r>
          </w:p>
        </w:tc>
        <w:tc>
          <w:tcPr>
            <w:tcW w:w="81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CE5C8" w14:textId="77777777" w:rsidR="003A3EA7" w:rsidRDefault="00000000">
            <w:pPr>
              <w:ind w:right="-40"/>
              <w:jc w:val="center"/>
            </w:pPr>
            <w:r>
              <w:rPr>
                <w:b/>
              </w:rPr>
              <w:t xml:space="preserve">Attitude </w:t>
            </w:r>
          </w:p>
        </w:tc>
      </w:tr>
      <w:tr w:rsidR="003A3EA7" w14:paraId="704934FE" w14:textId="77777777">
        <w:trPr>
          <w:trHeight w:val="233"/>
        </w:trPr>
        <w:tc>
          <w:tcPr>
            <w:tcW w:w="88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09157" w14:textId="77777777" w:rsidR="003A3EA7" w:rsidRDefault="003A3EA7">
            <w:pPr>
              <w:widowControl w:val="0"/>
              <w:spacing w:line="480" w:lineRule="auto"/>
              <w:ind w:right="-40"/>
            </w:pP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4A726" w14:textId="77777777" w:rsidR="003A3EA7" w:rsidRDefault="00000000">
            <w:pPr>
              <w:ind w:right="-40"/>
              <w:jc w:val="center"/>
            </w:pPr>
            <w:r>
              <w:t>think</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D300C" w14:textId="77777777" w:rsidR="003A3EA7" w:rsidRDefault="00000000">
            <w:pPr>
              <w:ind w:right="-40"/>
              <w:jc w:val="center"/>
            </w:pPr>
            <w:r>
              <w:t>disapprove</w:t>
            </w:r>
          </w:p>
        </w:tc>
      </w:tr>
      <w:tr w:rsidR="003A3EA7" w14:paraId="74E6C249" w14:textId="77777777">
        <w:trPr>
          <w:trHeight w:val="63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2DF32" w14:textId="77777777" w:rsidR="003A3EA7" w:rsidRDefault="00000000">
            <w:pPr>
              <w:ind w:right="-40"/>
              <w:jc w:val="center"/>
              <w:rPr>
                <w:vertAlign w:val="superscript"/>
              </w:rPr>
            </w:pPr>
            <w:r>
              <w:t>1</w:t>
            </w:r>
            <w:r>
              <w:rPr>
                <w:vertAlign w:val="superscript"/>
              </w:rPr>
              <w:t>st</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962CD" w14:textId="77777777" w:rsidR="003A3EA7" w:rsidRDefault="00000000">
            <w:pPr>
              <w:ind w:right="-40"/>
            </w:pPr>
            <w:r>
              <w:t xml:space="preserve">Murder is wrong under any </w:t>
            </w:r>
            <w:proofErr w:type="gramStart"/>
            <w:r>
              <w:t>circumstance</w:t>
            </w:r>
            <w:proofErr w:type="gramEnd"/>
            <w:r>
              <w:t xml:space="preserve"> but I don't think that it is wrong under any circumstance.</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FF995" w14:textId="77777777" w:rsidR="003A3EA7" w:rsidRDefault="00000000">
            <w:pPr>
              <w:ind w:right="-40"/>
            </w:pPr>
            <w:r>
              <w:t xml:space="preserve">Murder is wrong under any </w:t>
            </w:r>
            <w:proofErr w:type="gramStart"/>
            <w:r>
              <w:t>circumstance</w:t>
            </w:r>
            <w:proofErr w:type="gramEnd"/>
            <w:r>
              <w:t xml:space="preserve"> but I don’t disapprove of it under any circumstance.  </w:t>
            </w:r>
          </w:p>
        </w:tc>
      </w:tr>
      <w:tr w:rsidR="003A3EA7" w14:paraId="3B638580" w14:textId="77777777">
        <w:trPr>
          <w:trHeight w:val="441"/>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85FC8" w14:textId="77777777" w:rsidR="003A3EA7" w:rsidRDefault="00000000">
            <w:pPr>
              <w:ind w:right="-40"/>
              <w:jc w:val="center"/>
              <w:rPr>
                <w:vertAlign w:val="superscript"/>
              </w:rPr>
            </w:pPr>
            <w:r>
              <w:t>3</w:t>
            </w:r>
            <w:r>
              <w:rPr>
                <w:vertAlign w:val="superscript"/>
              </w:rPr>
              <w:t>rd</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F5FD5" w14:textId="77777777" w:rsidR="003A3EA7" w:rsidRDefault="00000000">
            <w:pPr>
              <w:ind w:right="-40"/>
            </w:pPr>
            <w:r>
              <w:t xml:space="preserve">Murder is wrong under any </w:t>
            </w:r>
            <w:proofErr w:type="gramStart"/>
            <w:r>
              <w:t>circumstance</w:t>
            </w:r>
            <w:proofErr w:type="gramEnd"/>
            <w:r>
              <w:t xml:space="preserve"> but Ann doesn't think that it is wrong under any circumstance.</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C68F7" w14:textId="77777777" w:rsidR="003A3EA7" w:rsidRDefault="00000000">
            <w:pPr>
              <w:ind w:right="-40"/>
            </w:pPr>
            <w:r>
              <w:t xml:space="preserve">Murder is wrong under any </w:t>
            </w:r>
            <w:proofErr w:type="gramStart"/>
            <w:r>
              <w:t>circumstance</w:t>
            </w:r>
            <w:proofErr w:type="gramEnd"/>
            <w:r>
              <w:t xml:space="preserve"> but Bill doesn't disapprove of it under any circumstance.  </w:t>
            </w:r>
          </w:p>
        </w:tc>
      </w:tr>
    </w:tbl>
    <w:p w14:paraId="74055B0F" w14:textId="77777777" w:rsidR="003A3EA7" w:rsidRDefault="00000000">
      <w:pPr>
        <w:spacing w:before="120" w:after="120" w:line="480" w:lineRule="auto"/>
        <w:ind w:right="-40"/>
        <w:jc w:val="center"/>
      </w:pPr>
      <w:r>
        <w:rPr>
          <w:b/>
        </w:rPr>
        <w:t>Table 3.</w:t>
      </w:r>
      <w:r>
        <w:t xml:space="preserve"> 2×2 within subject design for Study 2.</w:t>
      </w:r>
    </w:p>
    <w:p w14:paraId="0C834D4E" w14:textId="77777777" w:rsidR="003A3EA7" w:rsidRDefault="00000000">
      <w:pPr>
        <w:spacing w:before="120" w:after="120" w:line="480" w:lineRule="auto"/>
        <w:ind w:right="-40"/>
      </w:pPr>
      <w:r>
        <w:t xml:space="preserve">Study 2 consisted of 16 sentences generated by combining the 4 possible </w:t>
      </w:r>
      <w:proofErr w:type="gramStart"/>
      <w:r>
        <w:t>sentences</w:t>
      </w:r>
      <w:proofErr w:type="gramEnd"/>
      <w:r>
        <w:t xml:space="preserve"> types in </w:t>
      </w:r>
      <w:r>
        <w:rPr>
          <w:b/>
        </w:rPr>
        <w:t>Table 3</w:t>
      </w:r>
      <w:r>
        <w:t xml:space="preserve"> with each of 4 act-types (murder, volunteering, eating meat, and ‘what she did’). </w:t>
      </w:r>
    </w:p>
    <w:p w14:paraId="243970BF" w14:textId="77777777" w:rsidR="003A3EA7" w:rsidRDefault="00000000">
      <w:pPr>
        <w:spacing w:before="120" w:after="120" w:line="480" w:lineRule="auto"/>
        <w:ind w:right="-40"/>
        <w:rPr>
          <w:b/>
        </w:rPr>
      </w:pPr>
      <w:r>
        <w:rPr>
          <w:b/>
        </w:rPr>
        <w:t xml:space="preserve">Procedure. </w:t>
      </w:r>
      <w:r>
        <w:t xml:space="preserve">The study was carried out in </w:t>
      </w:r>
      <w:proofErr w:type="spellStart"/>
      <w:r>
        <w:t>PCIbex</w:t>
      </w:r>
      <w:proofErr w:type="spellEnd"/>
      <w:r>
        <w:t xml:space="preserve"> Farm. The procedure was identical to the Preliminary Study (see §3.1.1).</w:t>
      </w:r>
      <w:r>
        <w:rPr>
          <w:b/>
        </w:rPr>
        <w:t xml:space="preserve"> </w:t>
      </w:r>
    </w:p>
    <w:p w14:paraId="4AA706D5" w14:textId="77777777" w:rsidR="003A3EA7" w:rsidRDefault="00000000">
      <w:pPr>
        <w:spacing w:before="120" w:after="120" w:line="480" w:lineRule="auto"/>
        <w:ind w:right="-40"/>
      </w:pPr>
      <w:r>
        <w:rPr>
          <w:b/>
        </w:rPr>
        <w:lastRenderedPageBreak/>
        <w:t xml:space="preserve">Predictions. </w:t>
      </w:r>
      <w:r>
        <w:t xml:space="preserve">Our hypotheses are the same as in Study 1, </w:t>
      </w:r>
      <w:r>
        <w:rPr>
          <w:b/>
        </w:rPr>
        <w:t>Hypotheses (I)</w:t>
      </w:r>
      <w:r>
        <w:t xml:space="preserve"> and </w:t>
      </w:r>
      <w:r>
        <w:rPr>
          <w:b/>
        </w:rPr>
        <w:t>(II*)</w:t>
      </w:r>
      <w:r>
        <w:t xml:space="preserve">, with the addition of </w:t>
      </w:r>
      <w:r>
        <w:rPr>
          <w:b/>
        </w:rPr>
        <w:t>Hypothesis (III)</w:t>
      </w:r>
      <w:r>
        <w:t xml:space="preserve"> regarding the comparison between Studies 1 and 2:</w:t>
      </w:r>
    </w:p>
    <w:p w14:paraId="04BE031B" w14:textId="77777777" w:rsidR="003A3EA7" w:rsidRDefault="00000000">
      <w:pPr>
        <w:spacing w:before="120" w:after="120" w:line="360" w:lineRule="auto"/>
        <w:ind w:left="720" w:right="-40"/>
      </w:pPr>
      <w:r>
        <w:rPr>
          <w:b/>
        </w:rPr>
        <w:t>Hypothesis (III)</w:t>
      </w:r>
      <w:r>
        <w:t>: the difference in acceptability between 1st- and 3rd-personal ‘disapproval’-sentences is smaller in Study 1 than in Study 2. That is, there is an interaction between Person and Study (levels: Study 1 &amp; 2) among the ‘disapproval’-sentences.</w:t>
      </w:r>
    </w:p>
    <w:p w14:paraId="0889E19A" w14:textId="77777777" w:rsidR="003A3EA7" w:rsidRDefault="00000000">
      <w:pPr>
        <w:spacing w:before="120" w:after="120" w:line="480" w:lineRule="auto"/>
        <w:ind w:right="-40"/>
        <w:rPr>
          <w:b/>
        </w:rPr>
      </w:pPr>
      <w:r>
        <w:rPr>
          <w:b/>
        </w:rPr>
        <w:t>3.3.2 Results</w:t>
      </w:r>
    </w:p>
    <w:p w14:paraId="2CA08CAA" w14:textId="77777777" w:rsidR="003A3EA7" w:rsidRDefault="00000000">
      <w:pPr>
        <w:spacing w:before="120" w:after="120" w:line="480" w:lineRule="auto"/>
        <w:ind w:right="-40"/>
        <w:rPr>
          <w:b/>
        </w:rPr>
      </w:pPr>
      <w:r>
        <w:rPr>
          <w:b/>
        </w:rPr>
        <w:t>Figure 3</w:t>
      </w:r>
      <w:r>
        <w:t xml:space="preserve"> shows the mean proportion of ‘make sense’ responses for </w:t>
      </w:r>
      <w:r>
        <w:rPr>
          <w:i/>
        </w:rPr>
        <w:t>Person</w:t>
      </w:r>
      <w:r>
        <w:t xml:space="preserve"> and </w:t>
      </w:r>
      <w:r>
        <w:rPr>
          <w:i/>
        </w:rPr>
        <w:t>Attitude</w:t>
      </w:r>
      <w:r>
        <w:t xml:space="preserve"> in Study 2.  Visually, ‘make sense’ responses are generally lower for 1st than for 3rd person, and the difference between 1st and 3rd person looks weaker for ‘disapprove’ than for ‘think’. </w:t>
      </w:r>
      <w:proofErr w:type="spellStart"/>
      <w:r>
        <w:t>Statiscally</w:t>
      </w:r>
      <w:proofErr w:type="spellEnd"/>
      <w:r>
        <w:t>, a logistic regression</w:t>
      </w:r>
      <w:r w:rsidRPr="00515B0A">
        <w:rPr>
          <w:rStyle w:val="Fotnotsreferens"/>
        </w:rPr>
        <w:footnoteReference w:id="14"/>
      </w:r>
      <w:r>
        <w:t xml:space="preserve"> (see §3.1.2) revealed a main effect of </w:t>
      </w:r>
      <w:r>
        <w:rPr>
          <w:i/>
        </w:rPr>
        <w:t>Person</w:t>
      </w:r>
      <w:r>
        <w:t xml:space="preserve"> (</w:t>
      </w:r>
      <w:r>
        <w:rPr>
          <w:i/>
        </w:rPr>
        <w:t>χ</w:t>
      </w:r>
      <w:r>
        <w:rPr>
          <w:vertAlign w:val="superscript"/>
        </w:rPr>
        <w:t>2</w:t>
      </w:r>
      <w:r>
        <w:t xml:space="preserve">=44.754; </w:t>
      </w:r>
      <w:r>
        <w:rPr>
          <w:i/>
        </w:rPr>
        <w:t>p</w:t>
      </w:r>
      <w:r>
        <w:t xml:space="preserve">&lt;0.001; </w:t>
      </w:r>
      <w:r>
        <w:rPr>
          <w:i/>
        </w:rPr>
        <w:t>ß</w:t>
      </w:r>
      <w:r>
        <w:t xml:space="preserve">=-1.447198) as well as a significant interaction between </w:t>
      </w:r>
      <w:r>
        <w:rPr>
          <w:i/>
        </w:rPr>
        <w:t>Person</w:t>
      </w:r>
      <w:r>
        <w:t xml:space="preserve"> and </w:t>
      </w:r>
      <w:r>
        <w:rPr>
          <w:i/>
        </w:rPr>
        <w:t>Attitude</w:t>
      </w:r>
      <w:r>
        <w:t xml:space="preserve"> (</w:t>
      </w:r>
      <w:r>
        <w:rPr>
          <w:i/>
        </w:rPr>
        <w:t>χ</w:t>
      </w:r>
      <w:r>
        <w:rPr>
          <w:vertAlign w:val="superscript"/>
        </w:rPr>
        <w:t>2</w:t>
      </w:r>
      <w:r>
        <w:t xml:space="preserve">=33.58; </w:t>
      </w:r>
      <w:r>
        <w:rPr>
          <w:i/>
        </w:rPr>
        <w:t>p</w:t>
      </w:r>
      <w:r>
        <w:t xml:space="preserve">&lt;0.001; </w:t>
      </w:r>
      <w:r>
        <w:rPr>
          <w:i/>
        </w:rPr>
        <w:t>ß</w:t>
      </w:r>
      <w:r>
        <w:t>=-0.526604).</w:t>
      </w:r>
      <w:r>
        <w:rPr>
          <w:b/>
        </w:rPr>
        <w:t xml:space="preserve"> </w:t>
      </w:r>
    </w:p>
    <w:p w14:paraId="264126AF" w14:textId="77777777" w:rsidR="003A3EA7" w:rsidRDefault="00000000">
      <w:pPr>
        <w:spacing w:before="120" w:after="120" w:line="480" w:lineRule="auto"/>
        <w:ind w:right="-40"/>
        <w:rPr>
          <w:b/>
        </w:rPr>
      </w:pPr>
      <w:r>
        <w:t>A second logistic regression only on data from ‘disapproval’ trials (baseline level: 1st-person, treatment coded) showed that the acceptability of 1st-personal ‘disapproval’-sentences was significantly below chance (</w:t>
      </w:r>
      <w:r>
        <w:rPr>
          <w:i/>
        </w:rPr>
        <w:t>ß</w:t>
      </w:r>
      <w:r>
        <w:t xml:space="preserve">=-1.5406; </w:t>
      </w:r>
      <w:r>
        <w:rPr>
          <w:i/>
        </w:rPr>
        <w:t>p</w:t>
      </w:r>
      <w:r>
        <w:t xml:space="preserve">=0.00173). </w:t>
      </w:r>
    </w:p>
    <w:p w14:paraId="2C75C1A5" w14:textId="77777777" w:rsidR="003A3EA7" w:rsidRDefault="00000000">
      <w:pPr>
        <w:spacing w:before="120" w:after="120" w:line="480" w:lineRule="auto"/>
        <w:ind w:right="-40"/>
      </w:pPr>
      <w:proofErr w:type="gramStart"/>
      <w:r>
        <w:t>In order to</w:t>
      </w:r>
      <w:proofErr w:type="gramEnd"/>
      <w:r>
        <w:t xml:space="preserve"> evaluate </w:t>
      </w:r>
      <w:r>
        <w:rPr>
          <w:b/>
        </w:rPr>
        <w:t>Hypothesis (III)</w:t>
      </w:r>
      <w:r>
        <w:t xml:space="preserve">, we considered the ‘disapprove’ trials from Studies 1 and 2. We fit a third logistic regression predicting participants’ response by </w:t>
      </w:r>
      <w:r>
        <w:rPr>
          <w:i/>
        </w:rPr>
        <w:t>Person</w:t>
      </w:r>
      <w:r>
        <w:t xml:space="preserve">, </w:t>
      </w:r>
      <w:r>
        <w:rPr>
          <w:i/>
        </w:rPr>
        <w:t>Study</w:t>
      </w:r>
      <w:r>
        <w:t xml:space="preserve"> (two between-subjects levels: </w:t>
      </w:r>
      <w:r>
        <w:rPr>
          <w:i/>
        </w:rPr>
        <w:t>Study 1</w:t>
      </w:r>
      <w:r>
        <w:t xml:space="preserve"> &amp; </w:t>
      </w:r>
      <w:r>
        <w:rPr>
          <w:i/>
        </w:rPr>
        <w:t>2</w:t>
      </w:r>
      <w:r>
        <w:t xml:space="preserve">), and their interaction. We included by-subject random intercepts and by-person random slopes. No significant interaction was found between </w:t>
      </w:r>
      <w:r>
        <w:rPr>
          <w:i/>
        </w:rPr>
        <w:t>Person</w:t>
      </w:r>
      <w:r>
        <w:t xml:space="preserve"> and </w:t>
      </w:r>
      <w:r>
        <w:rPr>
          <w:i/>
        </w:rPr>
        <w:t>Study</w:t>
      </w:r>
      <w:r>
        <w:t xml:space="preserve"> (</w:t>
      </w:r>
      <w:r>
        <w:rPr>
          <w:i/>
        </w:rPr>
        <w:t>𝜒</w:t>
      </w:r>
      <w:r>
        <w:rPr>
          <w:vertAlign w:val="superscript"/>
        </w:rPr>
        <w:t>2</w:t>
      </w:r>
      <w:r>
        <w:t xml:space="preserve">=0.0448; </w:t>
      </w:r>
      <w:r>
        <w:rPr>
          <w:i/>
        </w:rPr>
        <w:t>p</w:t>
      </w:r>
      <w:r>
        <w:t xml:space="preserve">=0.8324; </w:t>
      </w:r>
      <w:r>
        <w:rPr>
          <w:i/>
        </w:rPr>
        <w:t>ß</w:t>
      </w:r>
      <w:r>
        <w:t xml:space="preserve">=0.03348). </w:t>
      </w:r>
    </w:p>
    <w:p w14:paraId="3C92A804" w14:textId="77777777" w:rsidR="003A3EA7" w:rsidRDefault="00000000">
      <w:pPr>
        <w:spacing w:before="120" w:after="120" w:line="480" w:lineRule="auto"/>
        <w:ind w:right="-40"/>
        <w:rPr>
          <w:b/>
        </w:rPr>
      </w:pPr>
      <w:r>
        <w:rPr>
          <w:b/>
        </w:rPr>
        <w:t>3.3.3 Discussion</w:t>
      </w:r>
    </w:p>
    <w:p w14:paraId="61446975" w14:textId="77777777" w:rsidR="003A3EA7" w:rsidRDefault="00000000">
      <w:pPr>
        <w:spacing w:before="120" w:after="120" w:line="480" w:lineRule="auto"/>
        <w:ind w:right="-40"/>
        <w:rPr>
          <w:b/>
        </w:rPr>
      </w:pPr>
      <w:r>
        <w:lastRenderedPageBreak/>
        <w:t xml:space="preserve">In Study 2, we found that 1st-person sentences are perceived as significantly less acceptable than 3rd-person sentences. This confirms </w:t>
      </w:r>
      <w:r>
        <w:rPr>
          <w:b/>
        </w:rPr>
        <w:t>Hypothesis (I)</w:t>
      </w:r>
      <w:r>
        <w:t xml:space="preserve">. We also found that the contrast between 1st- and 3rd-person constructions was weaker for ‘disapproval’- than for ‘think’-sentences, confirming </w:t>
      </w:r>
      <w:r>
        <w:rPr>
          <w:b/>
        </w:rPr>
        <w:t>Hypothesis (II*)</w:t>
      </w:r>
      <w:r>
        <w:t xml:space="preserve"> too. We did not, however, find evidence for </w:t>
      </w:r>
      <w:r>
        <w:rPr>
          <w:b/>
        </w:rPr>
        <w:t>Hypothesis (III)</w:t>
      </w:r>
      <w:r>
        <w:t xml:space="preserve">, and thus we could not conclude that the addition of ‘under any circumstance’ played any role in the interpretation of the sentences in Study 1. </w:t>
      </w:r>
    </w:p>
    <w:p w14:paraId="188E9CB3" w14:textId="77777777" w:rsidR="003A3EA7" w:rsidRDefault="00000000">
      <w:pPr>
        <w:spacing w:before="120" w:after="120" w:line="480" w:lineRule="auto"/>
        <w:ind w:right="-40"/>
        <w:rPr>
          <w:b/>
        </w:rPr>
      </w:pPr>
      <w:r>
        <w:rPr>
          <w:b/>
        </w:rPr>
        <w:t>3.4 Study 3</w:t>
      </w:r>
    </w:p>
    <w:p w14:paraId="321E47C9" w14:textId="77777777" w:rsidR="003A3EA7" w:rsidRDefault="00000000">
      <w:pPr>
        <w:spacing w:before="120" w:after="120" w:line="480" w:lineRule="auto"/>
        <w:ind w:right="-40"/>
        <w:rPr>
          <w:b/>
        </w:rPr>
      </w:pPr>
      <w:r>
        <w:t xml:space="preserve">Finally, in Study 3 we aimed to control for the possibility that speakers might be interpreting 'wrong' </w:t>
      </w:r>
      <w:r>
        <w:rPr>
          <w:i/>
        </w:rPr>
        <w:t>exocentrically</w:t>
      </w:r>
      <w:r>
        <w:t xml:space="preserve">. This is in line with a response made to Woods (2014) by </w:t>
      </w:r>
      <w:proofErr w:type="spellStart"/>
      <w:r>
        <w:t>Toppinen</w:t>
      </w:r>
      <w:proofErr w:type="spellEnd"/>
      <w:r>
        <w:t xml:space="preserve"> </w:t>
      </w:r>
      <w:hyperlink r:id="rId37">
        <w:r>
          <w:t>(2015)</w:t>
        </w:r>
      </w:hyperlink>
      <w:r>
        <w:t xml:space="preserve">. Exocentric readings of evaluative predicates are such that they denote an opinion other than the </w:t>
      </w:r>
      <w:proofErr w:type="gramStart"/>
      <w:r>
        <w:t>speaker's</w:t>
      </w:r>
      <w:proofErr w:type="gramEnd"/>
      <w:r>
        <w:t>, for example, the general opinion of society. Exocentric interpretations of subjective predicates are well-attested and can be easily brought about by context.</w:t>
      </w:r>
      <w:r w:rsidRPr="00515B0A">
        <w:rPr>
          <w:rStyle w:val="Fotnotsreferens"/>
        </w:rPr>
        <w:footnoteReference w:id="15"/>
      </w:r>
      <w:r>
        <w:t xml:space="preserve"> To see whether exocentric interpretations play a role in the interpretation of (5), in Study 3 we inserted the appositive clause 'that's my opinion' after the moral sentence on each test item. We assumed that </w:t>
      </w:r>
      <w:proofErr w:type="gramStart"/>
      <w:r>
        <w:t>this rules</w:t>
      </w:r>
      <w:proofErr w:type="gramEnd"/>
      <w:r>
        <w:t xml:space="preserve"> out an exocentric reading of the moral sentence.</w:t>
      </w:r>
      <w:r w:rsidRPr="00515B0A">
        <w:rPr>
          <w:rStyle w:val="Fotnotsreferens"/>
        </w:rPr>
        <w:footnoteReference w:id="16"/>
      </w:r>
    </w:p>
    <w:p w14:paraId="4EB4ABCE" w14:textId="77777777" w:rsidR="003A3EA7" w:rsidRDefault="00000000">
      <w:pPr>
        <w:spacing w:before="120" w:after="120" w:line="480" w:lineRule="auto"/>
        <w:ind w:right="-40"/>
        <w:rPr>
          <w:b/>
        </w:rPr>
      </w:pPr>
      <w:r>
        <w:rPr>
          <w:b/>
        </w:rPr>
        <w:t>3.4.1 Methods</w:t>
      </w:r>
    </w:p>
    <w:p w14:paraId="042FEA1C" w14:textId="77777777" w:rsidR="003A3EA7" w:rsidRDefault="00000000">
      <w:pPr>
        <w:spacing w:before="120" w:after="120" w:line="480" w:lineRule="auto"/>
        <w:ind w:right="-40"/>
      </w:pPr>
      <w:r>
        <w:rPr>
          <w:b/>
        </w:rPr>
        <w:t xml:space="preserve">Participants. </w:t>
      </w:r>
      <w:r>
        <w:t>We recruited 60 self-reported English native speakers via Prolific, who were paid £0.45 for 3 minutes approximately. As in Study 1, we excluded participants who were insensitive to Moore’s paradox, which resulted in the analysis of 54 participants.</w:t>
      </w:r>
    </w:p>
    <w:p w14:paraId="3D34F9B5" w14:textId="77777777" w:rsidR="003A3EA7" w:rsidRDefault="00000000">
      <w:pPr>
        <w:spacing w:before="120" w:after="120" w:line="480" w:lineRule="auto"/>
        <w:ind w:right="-40"/>
      </w:pPr>
      <w:r>
        <w:rPr>
          <w:b/>
        </w:rPr>
        <w:lastRenderedPageBreak/>
        <w:t xml:space="preserve">Materials and design. </w:t>
      </w:r>
      <w:r>
        <w:t xml:space="preserve">Materials were again </w:t>
      </w:r>
      <w:proofErr w:type="gramStart"/>
      <w:r>
        <w:t>similar to</w:t>
      </w:r>
      <w:proofErr w:type="gramEnd"/>
      <w:r>
        <w:t xml:space="preserve"> that of Study 1, except for the fact that this time we introduced a different modification throughout our test items. This design generates the 4 sentence-types shown in </w:t>
      </w:r>
      <w:r>
        <w:rPr>
          <w:b/>
        </w:rPr>
        <w:t>Table 4</w:t>
      </w:r>
      <w:r>
        <w:t xml:space="preserve">. </w:t>
      </w:r>
    </w:p>
    <w:tbl>
      <w:tblPr>
        <w:tblStyle w:val="a2"/>
        <w:tblW w:w="9060" w:type="dxa"/>
        <w:tblInd w:w="-25" w:type="dxa"/>
        <w:tblLayout w:type="fixed"/>
        <w:tblLook w:val="0400" w:firstRow="0" w:lastRow="0" w:firstColumn="0" w:lastColumn="0" w:noHBand="0" w:noVBand="1"/>
      </w:tblPr>
      <w:tblGrid>
        <w:gridCol w:w="885"/>
        <w:gridCol w:w="4080"/>
        <w:gridCol w:w="4095"/>
      </w:tblGrid>
      <w:tr w:rsidR="003A3EA7" w14:paraId="76E3F725" w14:textId="77777777">
        <w:trPr>
          <w:trHeight w:val="364"/>
        </w:trPr>
        <w:tc>
          <w:tcPr>
            <w:tcW w:w="8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C5DCF" w14:textId="77777777" w:rsidR="003A3EA7" w:rsidRDefault="003A3EA7">
            <w:pPr>
              <w:ind w:right="-40"/>
            </w:pPr>
          </w:p>
          <w:p w14:paraId="5687ABDC" w14:textId="77777777" w:rsidR="003A3EA7" w:rsidRDefault="00000000">
            <w:pPr>
              <w:ind w:right="-40"/>
              <w:jc w:val="center"/>
            </w:pPr>
            <w:r>
              <w:rPr>
                <w:b/>
              </w:rPr>
              <w:t>Person</w:t>
            </w:r>
          </w:p>
        </w:tc>
        <w:tc>
          <w:tcPr>
            <w:tcW w:w="81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8F2B6" w14:textId="77777777" w:rsidR="003A3EA7" w:rsidRDefault="00000000">
            <w:pPr>
              <w:ind w:right="-40"/>
              <w:jc w:val="center"/>
            </w:pPr>
            <w:r>
              <w:rPr>
                <w:b/>
              </w:rPr>
              <w:t xml:space="preserve">Attitude </w:t>
            </w:r>
          </w:p>
        </w:tc>
      </w:tr>
      <w:tr w:rsidR="003A3EA7" w14:paraId="103542FE" w14:textId="77777777">
        <w:trPr>
          <w:trHeight w:val="233"/>
        </w:trPr>
        <w:tc>
          <w:tcPr>
            <w:tcW w:w="88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D4E23" w14:textId="77777777" w:rsidR="003A3EA7" w:rsidRDefault="003A3EA7">
            <w:pPr>
              <w:widowControl w:val="0"/>
              <w:spacing w:line="480" w:lineRule="auto"/>
              <w:ind w:right="-40"/>
            </w:pP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B6CC2" w14:textId="77777777" w:rsidR="003A3EA7" w:rsidRDefault="00000000">
            <w:pPr>
              <w:ind w:right="-40"/>
              <w:jc w:val="center"/>
            </w:pPr>
            <w:r>
              <w:t>think</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8125D" w14:textId="77777777" w:rsidR="003A3EA7" w:rsidRDefault="00000000">
            <w:pPr>
              <w:ind w:right="-40"/>
              <w:jc w:val="center"/>
            </w:pPr>
            <w:r>
              <w:t>disapprove</w:t>
            </w:r>
          </w:p>
        </w:tc>
      </w:tr>
      <w:tr w:rsidR="003A3EA7" w14:paraId="55083068" w14:textId="77777777">
        <w:trPr>
          <w:trHeight w:val="63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7CF81" w14:textId="77777777" w:rsidR="003A3EA7" w:rsidRDefault="00000000">
            <w:pPr>
              <w:ind w:right="-40"/>
              <w:jc w:val="center"/>
              <w:rPr>
                <w:vertAlign w:val="superscript"/>
              </w:rPr>
            </w:pPr>
            <w:r>
              <w:t>1</w:t>
            </w:r>
            <w:r>
              <w:rPr>
                <w:vertAlign w:val="superscript"/>
              </w:rPr>
              <w:t>st</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081C5" w14:textId="77777777" w:rsidR="003A3EA7" w:rsidRDefault="00000000">
            <w:pPr>
              <w:ind w:right="-40"/>
            </w:pPr>
            <w:r>
              <w:t>Murder is wrong, that's my opinion, but I don't think that it is wrong.</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F50B6" w14:textId="77777777" w:rsidR="003A3EA7" w:rsidRDefault="00000000">
            <w:pPr>
              <w:ind w:right="-40"/>
            </w:pPr>
            <w:r>
              <w:t>Murder is wrong, that's my opinion, but I don’t disapprove of it.  </w:t>
            </w:r>
          </w:p>
        </w:tc>
      </w:tr>
      <w:tr w:rsidR="003A3EA7" w14:paraId="703414EE" w14:textId="77777777">
        <w:trPr>
          <w:trHeight w:val="441"/>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5DAE7" w14:textId="77777777" w:rsidR="003A3EA7" w:rsidRDefault="00000000">
            <w:pPr>
              <w:ind w:right="-40"/>
              <w:jc w:val="center"/>
              <w:rPr>
                <w:vertAlign w:val="superscript"/>
              </w:rPr>
            </w:pPr>
            <w:r>
              <w:t>3</w:t>
            </w:r>
            <w:r>
              <w:rPr>
                <w:vertAlign w:val="superscript"/>
              </w:rPr>
              <w:t>rd</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B9095" w14:textId="77777777" w:rsidR="003A3EA7" w:rsidRDefault="00000000">
            <w:pPr>
              <w:ind w:right="-40"/>
            </w:pPr>
            <w:r>
              <w:t>Murder is wrong, that's my opinion, but Ann doesn't think that it is wrong.</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7499" w14:textId="77777777" w:rsidR="003A3EA7" w:rsidRDefault="00000000">
            <w:pPr>
              <w:ind w:right="-40"/>
            </w:pPr>
            <w:r>
              <w:t>Murder is wrong, that's my opinion, but Bill doesn't disapprove of it.  </w:t>
            </w:r>
          </w:p>
        </w:tc>
      </w:tr>
    </w:tbl>
    <w:p w14:paraId="1913D856" w14:textId="77777777" w:rsidR="003A3EA7" w:rsidRDefault="00000000">
      <w:pPr>
        <w:spacing w:before="120" w:after="120" w:line="480" w:lineRule="auto"/>
        <w:ind w:right="-40"/>
        <w:jc w:val="center"/>
      </w:pPr>
      <w:r>
        <w:rPr>
          <w:b/>
        </w:rPr>
        <w:t>Table 4.</w:t>
      </w:r>
      <w:r>
        <w:t xml:space="preserve"> 2×2 within subject design for Study 3.</w:t>
      </w:r>
    </w:p>
    <w:p w14:paraId="295F280C" w14:textId="77777777" w:rsidR="003A3EA7" w:rsidRDefault="00000000">
      <w:pPr>
        <w:spacing w:before="120" w:after="120" w:line="480" w:lineRule="auto"/>
        <w:ind w:right="-40"/>
        <w:rPr>
          <w:b/>
        </w:rPr>
      </w:pPr>
      <w:r>
        <w:t xml:space="preserve">Study 3 consisted of 16 sentences generated by combining the 4 possible </w:t>
      </w:r>
      <w:proofErr w:type="gramStart"/>
      <w:r>
        <w:t>sentences</w:t>
      </w:r>
      <w:proofErr w:type="gramEnd"/>
      <w:r>
        <w:t xml:space="preserve"> types in </w:t>
      </w:r>
      <w:r>
        <w:rPr>
          <w:b/>
        </w:rPr>
        <w:t>Table 4</w:t>
      </w:r>
      <w:r>
        <w:t xml:space="preserve"> with each of 4 act-types used in previous studies (murder, volunteering, eating meat, ‘what she did’).</w:t>
      </w:r>
    </w:p>
    <w:p w14:paraId="42900ECE" w14:textId="77777777" w:rsidR="003A3EA7" w:rsidRDefault="00000000">
      <w:pPr>
        <w:spacing w:before="120" w:after="120" w:line="480" w:lineRule="auto"/>
        <w:ind w:right="-40"/>
        <w:rPr>
          <w:b/>
        </w:rPr>
      </w:pPr>
      <w:r>
        <w:rPr>
          <w:b/>
        </w:rPr>
        <w:t xml:space="preserve">Procedure. </w:t>
      </w:r>
      <w:r>
        <w:t>The study was carried out in Ibex Farm. The procedure was identical to the Preliminary Study (§3.1.1).</w:t>
      </w:r>
    </w:p>
    <w:p w14:paraId="2B94C263" w14:textId="77777777" w:rsidR="003A3EA7" w:rsidRDefault="00000000">
      <w:pPr>
        <w:spacing w:before="120" w:after="120" w:line="480" w:lineRule="auto"/>
        <w:ind w:right="-40"/>
      </w:pPr>
      <w:r>
        <w:rPr>
          <w:b/>
        </w:rPr>
        <w:t xml:space="preserve">Predictions. </w:t>
      </w:r>
      <w:r>
        <w:t xml:space="preserve">Our hypotheses are the same as in Study 1, </w:t>
      </w:r>
      <w:r>
        <w:rPr>
          <w:b/>
        </w:rPr>
        <w:t>Hypothesis (I)</w:t>
      </w:r>
      <w:r>
        <w:t xml:space="preserve"> and </w:t>
      </w:r>
      <w:r>
        <w:rPr>
          <w:b/>
        </w:rPr>
        <w:t>(II*)</w:t>
      </w:r>
      <w:r>
        <w:t xml:space="preserve">, </w:t>
      </w:r>
      <w:r>
        <w:rPr>
          <w:i/>
        </w:rPr>
        <w:t>plus</w:t>
      </w:r>
      <w:r>
        <w:t xml:space="preserve"> a cross-study hypothesis comparing Study 1 and Study 3—we note this as </w:t>
      </w:r>
      <w:r>
        <w:rPr>
          <w:b/>
        </w:rPr>
        <w:t>Hypothesis (III*)</w:t>
      </w:r>
      <w:r>
        <w:t>:</w:t>
      </w:r>
    </w:p>
    <w:p w14:paraId="04F229BC" w14:textId="77777777" w:rsidR="003A3EA7" w:rsidRDefault="00000000">
      <w:pPr>
        <w:spacing w:before="120" w:after="120" w:line="360" w:lineRule="auto"/>
        <w:ind w:left="720" w:right="-40"/>
        <w:rPr>
          <w:b/>
        </w:rPr>
      </w:pPr>
      <w:r>
        <w:rPr>
          <w:b/>
        </w:rPr>
        <w:t>Hypothesis (III*)</w:t>
      </w:r>
      <w:r>
        <w:t>: the difference in acceptability between 1st- and 3rd-personal ‘disapproval’-sentences is smaller in Study 1 than in Study 3. That is, there is an interaction between Person and Study (levels: Study 1 &amp; 3).</w:t>
      </w:r>
    </w:p>
    <w:p w14:paraId="5937B5A3" w14:textId="77777777" w:rsidR="003A3EA7" w:rsidRDefault="00000000">
      <w:pPr>
        <w:spacing w:before="120" w:after="120" w:line="480" w:lineRule="auto"/>
        <w:ind w:right="-40"/>
        <w:rPr>
          <w:b/>
        </w:rPr>
      </w:pPr>
      <w:r>
        <w:rPr>
          <w:b/>
        </w:rPr>
        <w:t>3.4.2 Results</w:t>
      </w:r>
    </w:p>
    <w:p w14:paraId="49400BBA" w14:textId="77777777" w:rsidR="003A3EA7" w:rsidRDefault="00000000">
      <w:pPr>
        <w:spacing w:before="120" w:after="120" w:line="480" w:lineRule="auto"/>
        <w:ind w:right="-40"/>
      </w:pPr>
      <w:r>
        <w:rPr>
          <w:b/>
        </w:rPr>
        <w:t>Figure 3</w:t>
      </w:r>
      <w:r>
        <w:t xml:space="preserve"> shows the mean proportion of ‘make sense’ responses for </w:t>
      </w:r>
      <w:r>
        <w:rPr>
          <w:i/>
        </w:rPr>
        <w:t>Person</w:t>
      </w:r>
      <w:r>
        <w:t xml:space="preserve"> and </w:t>
      </w:r>
      <w:r>
        <w:rPr>
          <w:i/>
        </w:rPr>
        <w:t>Attitude</w:t>
      </w:r>
      <w:r>
        <w:t xml:space="preserve"> in Study 3. Visually, ‘make sense’ responses are lower for 1st- than for 3rd-person, and that difference looks weaker for ‘disapprove’-sentences. </w:t>
      </w:r>
    </w:p>
    <w:p w14:paraId="390EAC6C" w14:textId="77777777" w:rsidR="003A3EA7" w:rsidRDefault="00000000">
      <w:pPr>
        <w:spacing w:before="120" w:after="120" w:line="480" w:lineRule="auto"/>
        <w:ind w:right="-40"/>
        <w:rPr>
          <w:b/>
        </w:rPr>
      </w:pPr>
      <w:proofErr w:type="spellStart"/>
      <w:r>
        <w:lastRenderedPageBreak/>
        <w:t>Statiscally</w:t>
      </w:r>
      <w:proofErr w:type="spellEnd"/>
      <w:r>
        <w:t>, a logistic regression</w:t>
      </w:r>
      <w:r w:rsidRPr="00515B0A">
        <w:rPr>
          <w:rStyle w:val="Fotnotsreferens"/>
        </w:rPr>
        <w:footnoteReference w:id="17"/>
      </w:r>
      <w:r>
        <w:t xml:space="preserve"> (see §3.1.2) revealed a main effect of </w:t>
      </w:r>
      <w:r>
        <w:rPr>
          <w:i/>
        </w:rPr>
        <w:t>Person</w:t>
      </w:r>
      <w:r>
        <w:t xml:space="preserve"> (</w:t>
      </w:r>
      <w:r>
        <w:rPr>
          <w:i/>
        </w:rPr>
        <w:t>χ</w:t>
      </w:r>
      <w:r>
        <w:rPr>
          <w:vertAlign w:val="superscript"/>
        </w:rPr>
        <w:t>2</w:t>
      </w:r>
      <w:r>
        <w:t xml:space="preserve">=76.778; </w:t>
      </w:r>
      <w:r>
        <w:rPr>
          <w:i/>
        </w:rPr>
        <w:t>p</w:t>
      </w:r>
      <w:r>
        <w:t xml:space="preserve">&lt;0.001; </w:t>
      </w:r>
      <w:r>
        <w:rPr>
          <w:i/>
        </w:rPr>
        <w:t>ß</w:t>
      </w:r>
      <w:r>
        <w:t xml:space="preserve">=-2.77254) as well as a significant interaction between </w:t>
      </w:r>
      <w:r>
        <w:rPr>
          <w:i/>
        </w:rPr>
        <w:t>Person</w:t>
      </w:r>
      <w:r>
        <w:t xml:space="preserve"> and </w:t>
      </w:r>
      <w:r>
        <w:rPr>
          <w:i/>
        </w:rPr>
        <w:t>Attitude</w:t>
      </w:r>
      <w:r>
        <w:t xml:space="preserve"> (</w:t>
      </w:r>
      <w:r>
        <w:rPr>
          <w:i/>
        </w:rPr>
        <w:t>χ</w:t>
      </w:r>
      <w:r>
        <w:rPr>
          <w:vertAlign w:val="superscript"/>
        </w:rPr>
        <w:t>2</w:t>
      </w:r>
      <w:r>
        <w:t xml:space="preserve">=75.095; </w:t>
      </w:r>
      <w:r>
        <w:rPr>
          <w:i/>
        </w:rPr>
        <w:t>p</w:t>
      </w:r>
      <w:r>
        <w:t xml:space="preserve">&lt;0.001; </w:t>
      </w:r>
      <w:r>
        <w:rPr>
          <w:i/>
        </w:rPr>
        <w:t>ß</w:t>
      </w:r>
      <w:r>
        <w:t>=-1.01261).</w:t>
      </w:r>
      <w:r>
        <w:rPr>
          <w:b/>
        </w:rPr>
        <w:t xml:space="preserve"> </w:t>
      </w:r>
    </w:p>
    <w:p w14:paraId="02F97A83" w14:textId="77777777" w:rsidR="003A3EA7" w:rsidRDefault="00000000">
      <w:pPr>
        <w:spacing w:before="120" w:after="120" w:line="480" w:lineRule="auto"/>
        <w:ind w:right="-40"/>
      </w:pPr>
      <w:r>
        <w:t>A second logistic regression only on data from ‘disapproval’ trials (baseline level: 1st-person, treatment coded) showed that the acceptability of 1st-personal ‘disapproval’-sentences was significantly below chance (</w:t>
      </w:r>
      <w:r>
        <w:rPr>
          <w:i/>
        </w:rPr>
        <w:t>ß</w:t>
      </w:r>
      <w:r>
        <w:t xml:space="preserve">=-1.7284; </w:t>
      </w:r>
      <w:r>
        <w:rPr>
          <w:i/>
        </w:rPr>
        <w:t>p</w:t>
      </w:r>
      <w:r>
        <w:t xml:space="preserve">=0.000488). </w:t>
      </w:r>
    </w:p>
    <w:p w14:paraId="37DDADCF" w14:textId="77777777" w:rsidR="003A3EA7" w:rsidRDefault="00000000">
      <w:pPr>
        <w:spacing w:before="120" w:after="120" w:line="480" w:lineRule="auto"/>
        <w:ind w:right="-40"/>
        <w:rPr>
          <w:b/>
        </w:rPr>
      </w:pPr>
      <w:r>
        <w:t xml:space="preserve">A third logistic regression (see §3.3.2) revealed a significant interaction between </w:t>
      </w:r>
      <w:r>
        <w:rPr>
          <w:i/>
        </w:rPr>
        <w:t>Person</w:t>
      </w:r>
      <w:r>
        <w:t xml:space="preserve"> and the results of Study 1 &amp; 3 (</w:t>
      </w:r>
      <w:r>
        <w:rPr>
          <w:i/>
        </w:rPr>
        <w:t>𝜒</w:t>
      </w:r>
      <w:r>
        <w:rPr>
          <w:vertAlign w:val="superscript"/>
        </w:rPr>
        <w:t>2</w:t>
      </w:r>
      <w:r>
        <w:t xml:space="preserve">=9.8351; </w:t>
      </w:r>
      <w:r>
        <w:rPr>
          <w:i/>
        </w:rPr>
        <w:t>p</w:t>
      </w:r>
      <w:r>
        <w:t xml:space="preserve">=0.001712; </w:t>
      </w:r>
      <w:r>
        <w:rPr>
          <w:i/>
        </w:rPr>
        <w:t>ß</w:t>
      </w:r>
      <w:r>
        <w:t>=1.21328).</w:t>
      </w:r>
    </w:p>
    <w:p w14:paraId="4E61BD36" w14:textId="77777777" w:rsidR="003A3EA7" w:rsidRDefault="00000000">
      <w:pPr>
        <w:spacing w:before="120" w:after="120" w:line="480" w:lineRule="auto"/>
        <w:ind w:right="-40"/>
        <w:rPr>
          <w:b/>
        </w:rPr>
      </w:pPr>
      <w:r>
        <w:rPr>
          <w:b/>
        </w:rPr>
        <w:t>3.4.3 Discussion</w:t>
      </w:r>
    </w:p>
    <w:p w14:paraId="16A49763" w14:textId="77777777" w:rsidR="003A3EA7" w:rsidRDefault="00000000">
      <w:pPr>
        <w:spacing w:before="120" w:after="120" w:line="480" w:lineRule="auto"/>
        <w:ind w:right="-40"/>
        <w:rPr>
          <w:b/>
        </w:rPr>
      </w:pPr>
      <w:r>
        <w:t xml:space="preserve">In Study 3, we found again that 1st-person sentences are perceived as significantly less acceptable than 3rd-person sentences, which confirms </w:t>
      </w:r>
      <w:r>
        <w:rPr>
          <w:b/>
        </w:rPr>
        <w:t>Hypothesis (I)</w:t>
      </w:r>
      <w:r>
        <w:t xml:space="preserve">. We also found that the contrast between 1st- and 3rd-person constructions was weaker for ‘disapproval’- than for ‘think’-sentences, confirming </w:t>
      </w:r>
      <w:r>
        <w:rPr>
          <w:b/>
        </w:rPr>
        <w:t>Hypothesis (II*)</w:t>
      </w:r>
      <w:r>
        <w:t xml:space="preserve"> too. Finally, we found a </w:t>
      </w:r>
      <w:proofErr w:type="spellStart"/>
      <w:r>
        <w:t>a</w:t>
      </w:r>
      <w:proofErr w:type="spellEnd"/>
      <w:r>
        <w:t xml:space="preserve"> stronger contrast between 1st and 3rd-person ‘disapproval’-sentences in Study 3 than in Study 1, which is evidence for </w:t>
      </w:r>
      <w:r>
        <w:rPr>
          <w:b/>
        </w:rPr>
        <w:t>Hypothesis (III*)</w:t>
      </w:r>
      <w:r>
        <w:t>, thus suggesting that ruling out exocentric readings of ‘wrong’ played a role in our results.</w:t>
      </w:r>
    </w:p>
    <w:p w14:paraId="4350717A" w14:textId="77777777" w:rsidR="003A3EA7" w:rsidRDefault="00000000">
      <w:pPr>
        <w:spacing w:before="120" w:after="120" w:line="480" w:lineRule="auto"/>
        <w:rPr>
          <w:b/>
        </w:rPr>
      </w:pPr>
      <w:r>
        <w:rPr>
          <w:b/>
        </w:rPr>
        <w:t xml:space="preserve">4. General discussion </w:t>
      </w:r>
    </w:p>
    <w:p w14:paraId="001E3E39" w14:textId="77777777" w:rsidR="003A3EA7" w:rsidRDefault="00000000">
      <w:pPr>
        <w:spacing w:before="120" w:after="120" w:line="480" w:lineRule="auto"/>
        <w:rPr>
          <w:b/>
        </w:rPr>
      </w:pPr>
      <w:r>
        <w:rPr>
          <w:b/>
        </w:rPr>
        <w:t>4.1 Our results and the Parity Thesis</w:t>
      </w:r>
    </w:p>
    <w:p w14:paraId="2345CF93" w14:textId="77777777" w:rsidR="003A3EA7" w:rsidRDefault="00000000">
      <w:pPr>
        <w:spacing w:before="120" w:after="120" w:line="480" w:lineRule="auto"/>
      </w:pPr>
      <w:r>
        <w:t xml:space="preserve">Our results offer the first formal experimental evidence in favor of a connection between moral language and the ascription to the speaker of a non-cognitive attitude. First, and setting aside the Preliminary Study, in all three studies it was found that 1st-person sentences are significantly degraded in comparison to their 3rd-person counterparts. This is so for ‘think’- as </w:t>
      </w:r>
      <w:r>
        <w:lastRenderedPageBreak/>
        <w:t xml:space="preserve">well as for ‘disapprove’-sentences. Thus, our results in all three experiments lend strong support to </w:t>
      </w:r>
      <w:r>
        <w:rPr>
          <w:b/>
        </w:rPr>
        <w:t>Hypothesis (I)</w:t>
      </w:r>
      <w:r>
        <w:t xml:space="preserve">. </w:t>
      </w:r>
    </w:p>
    <w:p w14:paraId="4838FD17" w14:textId="77777777" w:rsidR="003A3EA7" w:rsidRDefault="00000000">
      <w:pPr>
        <w:spacing w:before="120" w:after="120" w:line="480" w:lineRule="auto"/>
      </w:pPr>
      <w:r>
        <w:t xml:space="preserve">Secondly, we also found an interaction in all three studies between the Person and Attitude factors, suggesting that the contrast in acceptability between 1st- and 3rd-person constructions is significantly weaker for ‘disapprove’- than for ‘think’-sentences. In other words, we found evidence for </w:t>
      </w:r>
      <w:r>
        <w:rPr>
          <w:b/>
        </w:rPr>
        <w:t>Hypothesis (II*)</w:t>
      </w:r>
      <w:r>
        <w:t xml:space="preserve"> as well.</w:t>
      </w:r>
    </w:p>
    <w:p w14:paraId="4D52368B" w14:textId="77777777" w:rsidR="003A3EA7" w:rsidRDefault="00000000">
      <w:pPr>
        <w:spacing w:before="120" w:after="120" w:line="480" w:lineRule="auto"/>
      </w:pPr>
      <w:r>
        <w:t xml:space="preserve">Finally, cross-experimental comparisons yielded two results: First, we did not find evidence for </w:t>
      </w:r>
      <w:r>
        <w:rPr>
          <w:b/>
        </w:rPr>
        <w:t>Hypothesis (III)</w:t>
      </w:r>
      <w:r>
        <w:t xml:space="preserve">. That is, we did not find a significant interaction between the main Person effect for ‘disapproval’-sentences and the results of Studies 1 and 2. Thus, we could not conclude that generic or </w:t>
      </w:r>
      <w:r>
        <w:rPr>
          <w:i/>
        </w:rPr>
        <w:t>pro-tanto</w:t>
      </w:r>
      <w:r>
        <w:t xml:space="preserve"> interpretations play a role in the interpretation of the constructions that we tested. Secondly, we did find evidence for </w:t>
      </w:r>
      <w:r>
        <w:rPr>
          <w:b/>
        </w:rPr>
        <w:t>Hypothesis (III*)</w:t>
      </w:r>
      <w:r>
        <w:t xml:space="preserve">, that is, we found a significant interaction between the main effect of Person in ‘disapproval’-sentences and Studies 1 and 3, due to a stronger main effect in Study 3. This suggests that exocentric readings play a role in the interpretation of moral sentences. </w:t>
      </w:r>
    </w:p>
    <w:p w14:paraId="66034E82" w14:textId="77777777" w:rsidR="003A3EA7" w:rsidRDefault="00000000">
      <w:pPr>
        <w:spacing w:before="120" w:after="120" w:line="480" w:lineRule="auto"/>
      </w:pPr>
      <w:r>
        <w:t xml:space="preserve">It is illuminating to frame these results </w:t>
      </w:r>
      <w:proofErr w:type="gramStart"/>
      <w:r>
        <w:t>in light of</w:t>
      </w:r>
      <w:proofErr w:type="gramEnd"/>
      <w:r>
        <w:t xml:space="preserve"> Woods’ discussion in his (2014). Recall that Woods claims that sentences like (5) (‘disapproval’-sentences, repeated below) are not as bad as their corresponding </w:t>
      </w:r>
      <w:proofErr w:type="spellStart"/>
      <w:r>
        <w:t>Moorean</w:t>
      </w:r>
      <w:proofErr w:type="spellEnd"/>
      <w:r>
        <w:t xml:space="preserve"> counterparts (‘think’-sentences):</w:t>
      </w:r>
    </w:p>
    <w:p w14:paraId="27E7AD2A" w14:textId="77777777" w:rsidR="003A3EA7" w:rsidRDefault="00000000">
      <w:pPr>
        <w:spacing w:before="120" w:after="120" w:line="480" w:lineRule="auto"/>
        <w:ind w:left="720"/>
      </w:pPr>
      <w:r>
        <w:t>5.</w:t>
      </w:r>
      <w:r>
        <w:tab/>
        <w:t xml:space="preserve">Murder is </w:t>
      </w:r>
      <w:proofErr w:type="gramStart"/>
      <w:r>
        <w:t>wrong</w:t>
      </w:r>
      <w:proofErr w:type="gramEnd"/>
      <w:r>
        <w:t xml:space="preserve"> but I don’t disapprove of it.</w:t>
      </w:r>
    </w:p>
    <w:p w14:paraId="7DEAF939" w14:textId="77777777" w:rsidR="003A3EA7" w:rsidRDefault="00000000">
      <w:pPr>
        <w:spacing w:after="120" w:line="480" w:lineRule="auto"/>
      </w:pPr>
      <w:r>
        <w:t xml:space="preserve">We think that a charitable interpretation of Woods' claim is along the lines of </w:t>
      </w:r>
      <w:r>
        <w:rPr>
          <w:b/>
        </w:rPr>
        <w:t>Hypothesis (II*)</w:t>
      </w:r>
      <w:r>
        <w:t xml:space="preserve"> above. Under this interpretation, Woods’ claim would predict a difference in acceptability between 1st- and 3rd-personal ‘disapproval’-sentences, on the one hand, and 1st- and 3rd-personal ‘think’-sentences, on the other (in virtue of a wider gap between 'think'- than 'disapproval'-sentences). The fact that we found a significant interaction between the Person and Attitude factors in all three studies bears this out: ‘disapproval’-sentences are bad, but not </w:t>
      </w:r>
      <w:r>
        <w:lastRenderedPageBreak/>
        <w:t xml:space="preserve">as bad as Moore paradoxes. According to Woods, this spells trouble for the Parity Thesis and for the attempt to explain the DI by appealing to it. Judging from our results, DI is not </w:t>
      </w:r>
      <w:r>
        <w:rPr>
          <w:i/>
        </w:rPr>
        <w:t>as strong</w:t>
      </w:r>
      <w:r>
        <w:t xml:space="preserve"> </w:t>
      </w:r>
      <w:r>
        <w:rPr>
          <w:i/>
        </w:rPr>
        <w:t>as</w:t>
      </w:r>
      <w:r>
        <w:t xml:space="preserve"> BI, the relationship between assertions and beliefs. </w:t>
      </w:r>
    </w:p>
    <w:p w14:paraId="3A67FF29" w14:textId="77777777" w:rsidR="003A3EA7" w:rsidRDefault="00000000">
      <w:pPr>
        <w:spacing w:after="120" w:line="480" w:lineRule="auto"/>
      </w:pPr>
      <w:proofErr w:type="gramStart"/>
      <w:r>
        <w:t>That being said, we</w:t>
      </w:r>
      <w:proofErr w:type="gramEnd"/>
      <w:r>
        <w:t xml:space="preserve"> also found that sentences like (5) are significantly degraded in comparison to their 3rd-personal counterparts, just like Moore paradoxes. That is, our results bear out </w:t>
      </w:r>
      <w:r>
        <w:rPr>
          <w:b/>
        </w:rPr>
        <w:t>Hypothesis (I)</w:t>
      </w:r>
      <w:r>
        <w:t xml:space="preserve">. To the extent that one may see </w:t>
      </w:r>
      <w:r>
        <w:rPr>
          <w:b/>
        </w:rPr>
        <w:t>Hypothesis (I)</w:t>
      </w:r>
      <w:r>
        <w:t xml:space="preserve"> as a corollary of the Parity Thesis, we take this to lend support to Parity. At least, our results bear out the intuitions of those who claim that conjoining a moral judgment with a denial that one is in the relevant non-cognitive mental state is relatively infelicitous.</w:t>
      </w:r>
    </w:p>
    <w:p w14:paraId="42B4A0AF" w14:textId="77777777" w:rsidR="003A3EA7" w:rsidRDefault="00000000">
      <w:pPr>
        <w:spacing w:before="120" w:after="120" w:line="480" w:lineRule="auto"/>
      </w:pPr>
      <w:r>
        <w:t xml:space="preserve">Finally, our results differ from experiment to experiment. This offers a possible diagnosis of what’s driving the interaction between the Person and Attitude factors, that is, of why the effect is stronger for ‘think’- than for ‘disapproval’-sentences. As noted above, we did not find an interaction between Experiment 1 &amp; 2 and the main Person effect, so we cannot conclude that a ‘pro-tanto’ interpretation of (5) had an impact on the acceptability of these sentences. But we did find an interaction between Experiment 1 &amp; 3 and the main Person effect for ‘disapproval’-sentences. That is, when exocentric readings are ruled out, participants found the relevant ‘disapproval’-sentences significantly less acceptable than when such interpretations were available. The rest of the discussion will focus on this finding. </w:t>
      </w:r>
    </w:p>
    <w:p w14:paraId="26853CC8" w14:textId="77777777" w:rsidR="003A3EA7" w:rsidRDefault="00000000">
      <w:pPr>
        <w:spacing w:before="120" w:after="120" w:line="480" w:lineRule="auto"/>
        <w:rPr>
          <w:b/>
        </w:rPr>
      </w:pPr>
      <w:r>
        <w:rPr>
          <w:b/>
        </w:rPr>
        <w:t>4.2 The role of exocentric interpretations</w:t>
      </w:r>
    </w:p>
    <w:p w14:paraId="60798B03" w14:textId="77777777" w:rsidR="003A3EA7" w:rsidRDefault="00000000">
      <w:pPr>
        <w:spacing w:before="120" w:after="120" w:line="480" w:lineRule="auto"/>
      </w:pPr>
      <w:r>
        <w:t xml:space="preserve">Recall that the idea behind Study 3 was to check whether the acceptability of sentences like (5) might be explained by the fact that speakers reach for an exocentric reading of the moral predicate. We tried to control for this by testing a variation of (5), which should not allow for such readings: </w:t>
      </w:r>
    </w:p>
    <w:p w14:paraId="31D6E16F" w14:textId="77777777" w:rsidR="003A3EA7" w:rsidRDefault="00000000">
      <w:pPr>
        <w:spacing w:before="120" w:after="120" w:line="480" w:lineRule="auto"/>
        <w:ind w:left="720"/>
      </w:pPr>
      <w:r>
        <w:t>17.</w:t>
      </w:r>
      <w:r>
        <w:tab/>
        <w:t xml:space="preserve">Murder is wrong, that's my opinion, but I do not disapprove of it. </w:t>
      </w:r>
    </w:p>
    <w:p w14:paraId="1B933605" w14:textId="77777777" w:rsidR="003A3EA7" w:rsidRDefault="00000000">
      <w:pPr>
        <w:spacing w:before="120" w:after="120" w:line="480" w:lineRule="auto"/>
      </w:pPr>
      <w:r>
        <w:lastRenderedPageBreak/>
        <w:t>Our results show that indeed, a stronger effect was found when we ruled out exocentric interpretations in this way.</w:t>
      </w:r>
    </w:p>
    <w:p w14:paraId="798C175C" w14:textId="77777777" w:rsidR="003A3EA7" w:rsidRDefault="00000000">
      <w:pPr>
        <w:spacing w:before="120" w:after="120" w:line="480" w:lineRule="auto"/>
        <w:rPr>
          <w:b/>
        </w:rPr>
      </w:pPr>
      <w:r>
        <w:t xml:space="preserve">The relevance of this line of reasoning for the current discussion should be </w:t>
      </w:r>
      <w:proofErr w:type="gramStart"/>
      <w:r>
        <w:t>clear, but</w:t>
      </w:r>
      <w:proofErr w:type="gramEnd"/>
      <w:r>
        <w:t xml:space="preserve"> let us nevertheless spell it out. Exocentric readings have been characterized as expressing the opinion of someone other than the speaker (</w:t>
      </w:r>
      <w:proofErr w:type="spellStart"/>
      <w:r>
        <w:t>see n</w:t>
      </w:r>
      <w:proofErr w:type="spellEnd"/>
      <w:r>
        <w:t xml:space="preserve">.14). Equipped with the idea that ethical terms have such secondary reading, one could claim that some speakers find (5) acceptable because they reach for that interpretation. With (17), we tried to force the </w:t>
      </w:r>
      <w:proofErr w:type="spellStart"/>
      <w:r>
        <w:t>autocentric</w:t>
      </w:r>
      <w:proofErr w:type="spellEnd"/>
      <w:r>
        <w:t xml:space="preserve"> reading, the hypothesis being that speakers would then find the sentence infelicitous when the potential for accessing the exocentric reading was eliminated. And (17) is indeed found less felicitous than (5). This suggests that at least part of the reason why some speakers find (5) acceptable is that they are accessing an exocentric interpretation. </w:t>
      </w:r>
    </w:p>
    <w:p w14:paraId="0E691172" w14:textId="77777777" w:rsidR="003A3EA7" w:rsidRDefault="00000000">
      <w:pPr>
        <w:spacing w:before="120" w:after="120" w:line="480" w:lineRule="auto"/>
      </w:pPr>
      <w:r>
        <w:t xml:space="preserve">However, there are some potential problems with this line of argument. Woods, who argued for the acceptability of statements like (5), has also argued that this acceptability </w:t>
      </w:r>
      <w:r>
        <w:rPr>
          <w:i/>
        </w:rPr>
        <w:t xml:space="preserve">cannot </w:t>
      </w:r>
      <w:r>
        <w:t xml:space="preserve">be explained by the availability of an exocentric reading of the moral predicate (Woods, 2014, p.7-8). Woods makes two relevant points about this. First, Woods points out that </w:t>
      </w:r>
    </w:p>
    <w:p w14:paraId="6FCF00FA" w14:textId="77777777" w:rsidR="003A3EA7" w:rsidRDefault="00000000">
      <w:pPr>
        <w:spacing w:before="120" w:after="120" w:line="480" w:lineRule="auto"/>
        <w:ind w:left="720"/>
      </w:pPr>
      <w:r>
        <w:t>18.</w:t>
      </w:r>
      <w:r>
        <w:tab/>
        <w:t xml:space="preserve">Murder is </w:t>
      </w:r>
      <w:proofErr w:type="gramStart"/>
      <w:r>
        <w:t>wrong</w:t>
      </w:r>
      <w:proofErr w:type="gramEnd"/>
      <w:r>
        <w:t xml:space="preserve"> but I don’t think that it is wrong. </w:t>
      </w:r>
    </w:p>
    <w:p w14:paraId="73656A5B" w14:textId="77777777" w:rsidR="003A3EA7" w:rsidRDefault="00000000">
      <w:pPr>
        <w:spacing w:before="120" w:after="120" w:line="480" w:lineRule="auto"/>
      </w:pPr>
      <w:r>
        <w:t>is infelicitous</w:t>
      </w:r>
      <w:r>
        <w:rPr>
          <w:i/>
        </w:rPr>
        <w:t xml:space="preserve"> </w:t>
      </w:r>
      <w:r>
        <w:t>(something which is also corroborated by our experiment, see §3.2 above). But on the hypothesis that exocentric readings are easily available, one would expect such a reading to be possible in the first conjunct of (18) as well. Since this is not what happens, there is something wrong with our appeal to exocentric interpretations to account for the contrast between (5) and (17).</w:t>
      </w:r>
    </w:p>
    <w:p w14:paraId="14AE28DC" w14:textId="77777777" w:rsidR="003A3EA7" w:rsidRDefault="00000000">
      <w:pPr>
        <w:spacing w:before="120" w:after="120" w:line="480" w:lineRule="auto"/>
      </w:pPr>
      <w:r>
        <w:t xml:space="preserve">Here, a potential response would be that (18) is relevantly dissimilar to (5) in that the former has two occurrences of ‘wrong’. To find a felicitous reading of (18), speakers would have to interpret the first occurrence of ‘wrong’ exocentrically, and the second </w:t>
      </w:r>
      <w:proofErr w:type="spellStart"/>
      <w:r>
        <w:t>autocentrically</w:t>
      </w:r>
      <w:proofErr w:type="spellEnd"/>
      <w:r>
        <w:t xml:space="preserve">. It is not </w:t>
      </w:r>
      <w:r>
        <w:lastRenderedPageBreak/>
        <w:t>surprising, one can argue, that finding such divergent interpretations of two occurrences of the same predicate in one and the same sentence is difficult. We can see this by turning to non-controversial cases of context-dependent expressions:</w:t>
      </w:r>
    </w:p>
    <w:p w14:paraId="786246E0" w14:textId="77777777" w:rsidR="003A3EA7" w:rsidRDefault="00000000">
      <w:pPr>
        <w:spacing w:before="120" w:after="120" w:line="480" w:lineRule="auto"/>
        <w:ind w:left="720"/>
      </w:pPr>
      <w:r>
        <w:t>19.</w:t>
      </w:r>
      <w:r>
        <w:tab/>
        <w:t xml:space="preserve">Mary is </w:t>
      </w:r>
      <w:proofErr w:type="gramStart"/>
      <w:r>
        <w:t>tall</w:t>
      </w:r>
      <w:proofErr w:type="gramEnd"/>
      <w:r>
        <w:t xml:space="preserve"> but I don’t think she is tall.</w:t>
      </w:r>
    </w:p>
    <w:p w14:paraId="6D460019" w14:textId="77777777" w:rsidR="003A3EA7" w:rsidRDefault="00000000">
      <w:pPr>
        <w:spacing w:before="120" w:after="120" w:line="480" w:lineRule="auto"/>
      </w:pPr>
      <w:r>
        <w:t xml:space="preserve">It is difficult to assign a different interpretation to each occurrence of ‘tall’ in (19). We think a similar diagnosis can be given for ‘wrong’, disallowing the possibility of interpreting one occurrence exocentrically and the next </w:t>
      </w:r>
      <w:proofErr w:type="spellStart"/>
      <w:r>
        <w:t>autocentrically</w:t>
      </w:r>
      <w:proofErr w:type="spellEnd"/>
      <w:r>
        <w:t xml:space="preserve">. For this reason, it is to be expected that speakers find (18) less felicitous than (5). </w:t>
      </w:r>
    </w:p>
    <w:p w14:paraId="317EC1AF" w14:textId="77777777" w:rsidR="003A3EA7" w:rsidRDefault="00000000">
      <w:pPr>
        <w:spacing w:before="120" w:after="120" w:line="480" w:lineRule="auto"/>
      </w:pPr>
      <w:r>
        <w:t xml:space="preserve">Woods’ second argument against the </w:t>
      </w:r>
      <w:proofErr w:type="spellStart"/>
      <w:r>
        <w:t>exocentricity</w:t>
      </w:r>
      <w:proofErr w:type="spellEnd"/>
      <w:r>
        <w:t xml:space="preserve"> hypothesis is that other predicates that allow for exocentric readings are nevertheless infelicitous in comparable constructions. Woods exemplifies this with ‘</w:t>
      </w:r>
      <w:proofErr w:type="gramStart"/>
      <w:r>
        <w:t>delicious’</w:t>
      </w:r>
      <w:proofErr w:type="gramEnd"/>
      <w:r>
        <w:t xml:space="preserve">. As other </w:t>
      </w:r>
      <w:proofErr w:type="spellStart"/>
      <w:r>
        <w:t>PPTs</w:t>
      </w:r>
      <w:proofErr w:type="spellEnd"/>
      <w:r>
        <w:t xml:space="preserve">, ‘delicious’ allows for exocentric readings (see fn. 14). Nevertheless, the following construction is infelicitous: </w:t>
      </w:r>
    </w:p>
    <w:p w14:paraId="66D92120" w14:textId="77777777" w:rsidR="003A3EA7" w:rsidRDefault="00000000">
      <w:pPr>
        <w:spacing w:before="120" w:after="120" w:line="480" w:lineRule="auto"/>
        <w:ind w:left="720"/>
      </w:pPr>
      <w:r>
        <w:t>20.</w:t>
      </w:r>
      <w:r>
        <w:tab/>
        <w:t xml:space="preserve">Broccoli is </w:t>
      </w:r>
      <w:proofErr w:type="gramStart"/>
      <w:r>
        <w:t>delicious</w:t>
      </w:r>
      <w:proofErr w:type="gramEnd"/>
      <w:r>
        <w:t xml:space="preserve"> but I don’t like it. </w:t>
      </w:r>
    </w:p>
    <w:p w14:paraId="32D8BE90" w14:textId="77777777" w:rsidR="003A3EA7" w:rsidRDefault="00000000">
      <w:pPr>
        <w:spacing w:before="120" w:after="120" w:line="480" w:lineRule="auto"/>
      </w:pPr>
      <w:r>
        <w:t>The point is that, if the availability of exocentric readings is what makes (5) felicitous for some speakers, then we should expect that a similar mechanism is activated for (20). But it is not. Moreover, note that the hypothesis given above for why (18) is infelicitous is not available for (20), since (20) contains only one occurrence of ‘</w:t>
      </w:r>
      <w:proofErr w:type="gramStart"/>
      <w:r>
        <w:t>delicious’</w:t>
      </w:r>
      <w:proofErr w:type="gramEnd"/>
      <w:r>
        <w:t xml:space="preserve">. </w:t>
      </w:r>
    </w:p>
    <w:p w14:paraId="40137068" w14:textId="77777777" w:rsidR="003A3EA7" w:rsidRDefault="00000000">
      <w:pPr>
        <w:spacing w:before="120" w:after="120" w:line="480" w:lineRule="auto"/>
        <w:rPr>
          <w:highlight w:val="white"/>
        </w:rPr>
      </w:pPr>
      <w:r>
        <w:t xml:space="preserve">This point deserves more attention than we have space for </w:t>
      </w:r>
      <w:proofErr w:type="gramStart"/>
      <w:r>
        <w:t>here, but</w:t>
      </w:r>
      <w:proofErr w:type="gramEnd"/>
      <w:r>
        <w:t xml:space="preserve"> let us make two brief comments:</w:t>
      </w:r>
      <w:r>
        <w:rPr>
          <w:highlight w:val="white"/>
        </w:rPr>
        <w:t xml:space="preserve"> it should first be acknowledged that our data only concerns ‘wrong’. Regarding this predicate, we observe that exocentric readings are possible, and we use this possibility as a diagnosis for why a sentence like (5) might be acceptable. But our claim about the availability of exocentric readings of ‘wrong’ doesn’t imply anything about the availability of exocentric readings of ‘delicious’, or any other predicate for that matter. Secondly, we are inclined to think </w:t>
      </w:r>
      <w:r>
        <w:rPr>
          <w:highlight w:val="white"/>
        </w:rPr>
        <w:lastRenderedPageBreak/>
        <w:t>that an exocentric reading of ‘delicious’ is more difficult to access than an exocentric reading of ‘wrong’. In (tentative) support of this, note the following contrast:</w:t>
      </w:r>
    </w:p>
    <w:p w14:paraId="44CC144E" w14:textId="77777777" w:rsidR="003A3EA7" w:rsidRDefault="00000000">
      <w:pPr>
        <w:spacing w:before="120" w:after="120" w:line="360" w:lineRule="auto"/>
        <w:ind w:firstLine="720"/>
        <w:rPr>
          <w:highlight w:val="white"/>
        </w:rPr>
      </w:pPr>
      <w:r>
        <w:rPr>
          <w:highlight w:val="white"/>
        </w:rPr>
        <w:t>21.</w:t>
      </w:r>
      <w:r>
        <w:rPr>
          <w:highlight w:val="white"/>
        </w:rPr>
        <w:tab/>
        <w:t>Around here, pork is delicious.</w:t>
      </w:r>
    </w:p>
    <w:p w14:paraId="6433DBF6" w14:textId="77777777" w:rsidR="003A3EA7" w:rsidRDefault="00000000">
      <w:pPr>
        <w:spacing w:before="120" w:after="120" w:line="480" w:lineRule="auto"/>
        <w:ind w:firstLine="720"/>
        <w:rPr>
          <w:highlight w:val="white"/>
        </w:rPr>
      </w:pPr>
      <w:r>
        <w:rPr>
          <w:highlight w:val="white"/>
        </w:rPr>
        <w:t>22.</w:t>
      </w:r>
      <w:r>
        <w:rPr>
          <w:highlight w:val="white"/>
        </w:rPr>
        <w:tab/>
        <w:t>Around here, eating pork is wrong.</w:t>
      </w:r>
    </w:p>
    <w:p w14:paraId="348A4E39" w14:textId="77777777" w:rsidR="003A3EA7" w:rsidRDefault="00000000">
      <w:pPr>
        <w:spacing w:before="120" w:after="120" w:line="480" w:lineRule="auto"/>
      </w:pPr>
      <w:r>
        <w:rPr>
          <w:highlight w:val="white"/>
        </w:rPr>
        <w:t xml:space="preserve">It is easier to access an exocentric reading of the embedded sentence in (22) than in (21). Plausibly, this has to do with exocentric readings of taste predicates requiring a salient individual on which to locate the gustatory preference, whereas moral views are more naturally assigned to amorphous groups, </w:t>
      </w:r>
      <w:proofErr w:type="gramStart"/>
      <w:r>
        <w:rPr>
          <w:highlight w:val="white"/>
        </w:rPr>
        <w:t>i.e.</w:t>
      </w:r>
      <w:proofErr w:type="gramEnd"/>
      <w:r>
        <w:rPr>
          <w:highlight w:val="white"/>
        </w:rPr>
        <w:t xml:space="preserve"> “people around here” or “society in general”. Of course, this is just a hypothesis, and further empirical studies would be needed to show that this is really what explains the putative contrast between ‘wrong’ and </w:t>
      </w:r>
      <w:proofErr w:type="spellStart"/>
      <w:r>
        <w:rPr>
          <w:highlight w:val="white"/>
        </w:rPr>
        <w:t>PPTs</w:t>
      </w:r>
      <w:proofErr w:type="spellEnd"/>
      <w:r>
        <w:rPr>
          <w:highlight w:val="white"/>
        </w:rPr>
        <w:t xml:space="preserve"> like ‘</w:t>
      </w:r>
      <w:proofErr w:type="gramStart"/>
      <w:r>
        <w:rPr>
          <w:highlight w:val="white"/>
        </w:rPr>
        <w:t>delicious’</w:t>
      </w:r>
      <w:proofErr w:type="gramEnd"/>
      <w:r>
        <w:rPr>
          <w:highlight w:val="white"/>
        </w:rPr>
        <w:t>. In the present context, these considerations at least show that it is not evident that exocentric readings are equally accessible for ‘delicious’ as for ‘wrong’.</w:t>
      </w:r>
    </w:p>
    <w:p w14:paraId="38E7C317" w14:textId="77777777" w:rsidR="003A3EA7" w:rsidRDefault="00000000">
      <w:pPr>
        <w:spacing w:before="120" w:after="120" w:line="480" w:lineRule="auto"/>
        <w:rPr>
          <w:b/>
        </w:rPr>
      </w:pPr>
      <w:r>
        <w:rPr>
          <w:b/>
        </w:rPr>
        <w:t xml:space="preserve">5. Conclusion </w:t>
      </w:r>
    </w:p>
    <w:p w14:paraId="2E340FCA" w14:textId="77777777" w:rsidR="003A3EA7" w:rsidRDefault="00000000">
      <w:pPr>
        <w:spacing w:before="120" w:after="120" w:line="480" w:lineRule="auto"/>
      </w:pPr>
      <w:r>
        <w:t xml:space="preserve">To summarize, our study provides the first piece of formal empirical linguistic evidence in favor of a connection between moral language and the possession of non-cognitive attitudes on the part of the speaker. Our results show that pairing a moral sentence like ‘murder is wrong’ with the denial that the speaker disapproves of the action is significantly less acceptable than pairing that moral sentence with a similarly negative attitude ascription to someone else. These results mimic, although to a lesser extent, the result we get for </w:t>
      </w:r>
      <w:proofErr w:type="spellStart"/>
      <w:r>
        <w:t>Moorean</w:t>
      </w:r>
      <w:proofErr w:type="spellEnd"/>
      <w:r>
        <w:t xml:space="preserve"> constructions formed with the same moral sentences. </w:t>
      </w:r>
    </w:p>
    <w:p w14:paraId="1E4E8855" w14:textId="77777777" w:rsidR="003A3EA7" w:rsidRDefault="00000000">
      <w:pPr>
        <w:spacing w:before="120" w:after="120" w:line="480" w:lineRule="auto"/>
      </w:pPr>
      <w:r>
        <w:t xml:space="preserve">Moreover, we found that the infelicity of 1st-person ‘disapproval’-constructions is stronger when exocentric interpretations are explicitly ruled out. In other words, we offer evidence that a qualified variation of (5) exhibits stronger paradoxical features. This is not surprising, if one thinks that part of the reason why speakers find constructions like (5) acceptable is that they </w:t>
      </w:r>
      <w:r>
        <w:lastRenderedPageBreak/>
        <w:t xml:space="preserve">are accessing an exocentric reading of its first conjunct, according to which it doesn’t express the speaker’s moral judgment, but someone else’s. </w:t>
      </w:r>
    </w:p>
    <w:p w14:paraId="45D0F773" w14:textId="77777777" w:rsidR="003A3EA7" w:rsidRDefault="00000000">
      <w:pPr>
        <w:spacing w:before="120" w:after="120" w:line="480" w:lineRule="auto"/>
      </w:pPr>
      <w:r>
        <w:t xml:space="preserve">Our results do not suffice, however, to conclusively decide whether the Parity Thesis is true nor to decide between a semantic or a pragmatic account of DI. Regarding the Parity Thesis, it really depends on how one understands it: if one takes it to entail </w:t>
      </w:r>
      <w:r>
        <w:rPr>
          <w:b/>
        </w:rPr>
        <w:t>Hypothesis (I)</w:t>
      </w:r>
      <w:r>
        <w:t xml:space="preserve">, according to which 1st-person ‘disapproval’-sentences are significantly worse than their 3rd-personal counterparts (just like Moore paradoxes), then we have found evidence for it. But if Parity is taken to demand that </w:t>
      </w:r>
      <w:r>
        <w:rPr>
          <w:i/>
        </w:rPr>
        <w:t>no difference</w:t>
      </w:r>
      <w:r>
        <w:t xml:space="preserve"> in acceptability be found between “Moral” and </w:t>
      </w:r>
      <w:proofErr w:type="spellStart"/>
      <w:r>
        <w:t>Moorean</w:t>
      </w:r>
      <w:proofErr w:type="spellEnd"/>
      <w:r>
        <w:t xml:space="preserve"> constructions, that they pattern </w:t>
      </w:r>
      <w:proofErr w:type="gramStart"/>
      <w:r>
        <w:t>exactly the same</w:t>
      </w:r>
      <w:proofErr w:type="gramEnd"/>
      <w:r>
        <w:t xml:space="preserve">, this prediction is not borne out. </w:t>
      </w:r>
    </w:p>
    <w:p w14:paraId="7CB1D70F" w14:textId="77777777" w:rsidR="003A3EA7" w:rsidRDefault="00000000">
      <w:pPr>
        <w:spacing w:before="120" w:after="120" w:line="480" w:lineRule="auto"/>
      </w:pPr>
      <w:r>
        <w:t xml:space="preserve">Regarding the DI, our study delivers an equally mixed result, and leaves the issue in somewhat of a conundrum. On the one </w:t>
      </w:r>
      <w:proofErr w:type="gramStart"/>
      <w:r>
        <w:t>hand,  as</w:t>
      </w:r>
      <w:proofErr w:type="gramEnd"/>
      <w:r>
        <w:t xml:space="preserve"> shown in section 1, the inference does not seem to yield to standard linguistic diagnoses. On the other hand, the phenomenon is only partially </w:t>
      </w:r>
      <w:proofErr w:type="gramStart"/>
      <w:r>
        <w:t>similar to</w:t>
      </w:r>
      <w:proofErr w:type="gramEnd"/>
      <w:r>
        <w:t xml:space="preserve"> the expression-relationship, as shown in our experimental comparison with Moore’s paradox. In addition, the observation that sentences like (5) are broadly infelicitous, might suggest that a pragmatic account is not supported. But properly assessing that possibility would require further studies. One—in our view—attractive path to decide this question would be to adapt Willemsen &amp; Reuter (2021)’s paradigm, where they contrast certain constructions involving thick terms with paradigmatic cases of entailment and implicature cancellation, taken as control. We leave this work for the future.</w:t>
      </w:r>
      <w:r w:rsidRPr="00515B0A">
        <w:rPr>
          <w:rStyle w:val="Fotnotsreferens"/>
        </w:rPr>
        <w:footnoteReference w:id="18"/>
      </w:r>
      <w:r>
        <w:t xml:space="preserve">     </w:t>
      </w:r>
    </w:p>
    <w:p w14:paraId="4D9443F3" w14:textId="77777777" w:rsidR="003A3EA7" w:rsidRDefault="003A3EA7">
      <w:pPr>
        <w:spacing w:before="120" w:after="120" w:line="480" w:lineRule="auto"/>
      </w:pPr>
    </w:p>
    <w:p w14:paraId="4BFF9186" w14:textId="77777777" w:rsidR="003A3EA7" w:rsidRDefault="00000000">
      <w:pPr>
        <w:spacing w:before="120" w:after="120" w:line="480" w:lineRule="auto"/>
      </w:pPr>
      <w:r>
        <w:rPr>
          <w:b/>
        </w:rPr>
        <w:lastRenderedPageBreak/>
        <w:t>References</w:t>
      </w:r>
    </w:p>
    <w:p w14:paraId="267EB020" w14:textId="77777777" w:rsidR="003A3EA7" w:rsidRDefault="00000000">
      <w:pPr>
        <w:widowControl w:val="0"/>
        <w:pBdr>
          <w:top w:val="nil"/>
          <w:left w:val="nil"/>
          <w:bottom w:val="nil"/>
          <w:right w:val="nil"/>
          <w:between w:val="nil"/>
        </w:pBdr>
        <w:ind w:left="720" w:hanging="720"/>
        <w:jc w:val="left"/>
      </w:pPr>
      <w:hyperlink r:id="rId38">
        <w:r>
          <w:t xml:space="preserve">Ayer, A.J., 1936. Language, </w:t>
        </w:r>
        <w:proofErr w:type="gramStart"/>
        <w:r>
          <w:t>Truth</w:t>
        </w:r>
        <w:proofErr w:type="gramEnd"/>
        <w:r>
          <w:t xml:space="preserve"> and Logic. London: V. Gollancz.</w:t>
        </w:r>
      </w:hyperlink>
    </w:p>
    <w:p w14:paraId="65378B6C" w14:textId="77777777" w:rsidR="003A3EA7" w:rsidRDefault="00000000">
      <w:pPr>
        <w:widowControl w:val="0"/>
        <w:pBdr>
          <w:top w:val="nil"/>
          <w:left w:val="nil"/>
          <w:bottom w:val="nil"/>
          <w:right w:val="nil"/>
          <w:between w:val="nil"/>
        </w:pBdr>
        <w:ind w:left="720" w:hanging="720"/>
        <w:jc w:val="left"/>
      </w:pPr>
      <w:hyperlink r:id="rId39">
        <w:r>
          <w:t>Bates, D., Mächler, M., Bolker, B., Walker, S., 2015. Fitting Linear Mixed-Effects Models Using lme4. J. Stat. Softw. 67, 1–48. https://doi.org/10.18637/jss.v067.i01</w:t>
        </w:r>
      </w:hyperlink>
    </w:p>
    <w:p w14:paraId="1EEC993C" w14:textId="77777777" w:rsidR="003A3EA7" w:rsidRPr="00515B0A" w:rsidRDefault="00000000">
      <w:pPr>
        <w:widowControl w:val="0"/>
        <w:pBdr>
          <w:top w:val="nil"/>
          <w:left w:val="nil"/>
          <w:bottom w:val="nil"/>
          <w:right w:val="nil"/>
          <w:between w:val="nil"/>
        </w:pBdr>
        <w:ind w:left="720" w:hanging="720"/>
        <w:jc w:val="left"/>
        <w:rPr>
          <w:lang w:val="sv-SE"/>
        </w:rPr>
      </w:pPr>
      <w:hyperlink r:id="rId40">
        <w:r>
          <w:t xml:space="preserve">Baumgartner, L., Willemsen, P., Reuter, K., 2022. The polarity effect of evaluative language. Philos. Psychol. </w:t>
        </w:r>
        <w:r w:rsidRPr="00515B0A">
          <w:rPr>
            <w:lang w:val="sv-SE"/>
          </w:rPr>
          <w:t>0, 1–18. https://doi.org/10.1080/09515089.2022.2123311</w:t>
        </w:r>
      </w:hyperlink>
    </w:p>
    <w:p w14:paraId="75BF54F5" w14:textId="77777777" w:rsidR="003A3EA7" w:rsidRDefault="00000000">
      <w:pPr>
        <w:widowControl w:val="0"/>
        <w:pBdr>
          <w:top w:val="nil"/>
          <w:left w:val="nil"/>
          <w:bottom w:val="nil"/>
          <w:right w:val="nil"/>
          <w:between w:val="nil"/>
        </w:pBdr>
        <w:ind w:left="720" w:hanging="720"/>
        <w:jc w:val="left"/>
      </w:pPr>
      <w:r>
        <w:fldChar w:fldCharType="begin"/>
      </w:r>
      <w:r w:rsidRPr="00515B0A">
        <w:rPr>
          <w:lang w:val="sv-SE"/>
        </w:rPr>
        <w:instrText>HYPERLINK "https://www.zotero.org/google-docs/?u6LqsO" \h</w:instrText>
      </w:r>
      <w:r>
        <w:fldChar w:fldCharType="separate"/>
      </w:r>
      <w:r w:rsidRPr="00515B0A">
        <w:rPr>
          <w:lang w:val="sv-SE"/>
        </w:rPr>
        <w:t xml:space="preserve">Björnsson, G., Strandberg, C., Olinder, R.F., Eriksson, J., Björklund, F. (Eds.), 2015. </w:t>
      </w:r>
      <w:r>
        <w:t xml:space="preserve">Motivational </w:t>
      </w:r>
      <w:proofErr w:type="spellStart"/>
      <w:r>
        <w:t>internalism</w:t>
      </w:r>
      <w:proofErr w:type="spellEnd"/>
      <w:r>
        <w:t>.</w:t>
      </w:r>
      <w:r>
        <w:fldChar w:fldCharType="end"/>
      </w:r>
    </w:p>
    <w:p w14:paraId="482B23C1" w14:textId="77777777" w:rsidR="003A3EA7" w:rsidRDefault="00000000">
      <w:pPr>
        <w:widowControl w:val="0"/>
        <w:pBdr>
          <w:top w:val="nil"/>
          <w:left w:val="nil"/>
          <w:bottom w:val="nil"/>
          <w:right w:val="nil"/>
          <w:between w:val="nil"/>
        </w:pBdr>
        <w:ind w:left="720" w:hanging="720"/>
        <w:jc w:val="left"/>
      </w:pPr>
      <w:hyperlink r:id="rId41">
        <w:r>
          <w:t>Blackburn, S., 1993. Essays in quasi-realism. Oxford University Press, New York.</w:t>
        </w:r>
      </w:hyperlink>
    </w:p>
    <w:p w14:paraId="3A077A8E" w14:textId="77777777" w:rsidR="003A3EA7" w:rsidRDefault="00000000">
      <w:pPr>
        <w:widowControl w:val="0"/>
        <w:pBdr>
          <w:top w:val="nil"/>
          <w:left w:val="nil"/>
          <w:bottom w:val="nil"/>
          <w:right w:val="nil"/>
          <w:between w:val="nil"/>
        </w:pBdr>
        <w:ind w:left="720" w:hanging="720"/>
        <w:jc w:val="left"/>
      </w:pPr>
      <w:hyperlink r:id="rId42">
        <w:proofErr w:type="spellStart"/>
        <w:r>
          <w:t>Coninx</w:t>
        </w:r>
        <w:proofErr w:type="spellEnd"/>
        <w:r>
          <w:t xml:space="preserve">, S., Willemsen, P., Reuter, K., 2022. An Experimental-Linguistic Study of the Folk Concept of Pain: Implication, Projection, &amp;amp; Deniability. Proc. </w:t>
        </w:r>
        <w:proofErr w:type="spellStart"/>
        <w:r>
          <w:t>Annu</w:t>
        </w:r>
        <w:proofErr w:type="spellEnd"/>
        <w:r>
          <w:t xml:space="preserve">. Meet. </w:t>
        </w:r>
        <w:proofErr w:type="spellStart"/>
        <w:r>
          <w:t>Cogn</w:t>
        </w:r>
        <w:proofErr w:type="spellEnd"/>
        <w:r>
          <w:t>. Sci. Soc. 44.</w:t>
        </w:r>
      </w:hyperlink>
    </w:p>
    <w:p w14:paraId="4BF57273" w14:textId="77777777" w:rsidR="003A3EA7" w:rsidRDefault="00000000">
      <w:pPr>
        <w:widowControl w:val="0"/>
        <w:pBdr>
          <w:top w:val="nil"/>
          <w:left w:val="nil"/>
          <w:bottom w:val="nil"/>
          <w:right w:val="nil"/>
          <w:between w:val="nil"/>
        </w:pBdr>
        <w:ind w:left="720" w:hanging="720"/>
        <w:jc w:val="left"/>
      </w:pPr>
      <w:hyperlink r:id="rId43">
        <w:proofErr w:type="spellStart"/>
        <w:r>
          <w:t>Copp</w:t>
        </w:r>
        <w:proofErr w:type="spellEnd"/>
        <w:r>
          <w:t>, D., 2009. Realist-</w:t>
        </w:r>
        <w:proofErr w:type="spellStart"/>
        <w:r>
          <w:t>Expressivism</w:t>
        </w:r>
        <w:proofErr w:type="spellEnd"/>
        <w:r>
          <w:t xml:space="preserve"> and Conventional Implicature. </w:t>
        </w:r>
        <w:proofErr w:type="spellStart"/>
        <w:r>
          <w:t>Oxf</w:t>
        </w:r>
        <w:proofErr w:type="spellEnd"/>
        <w:r>
          <w:t>. Stud. Metaethics 4, 167–202.</w:t>
        </w:r>
      </w:hyperlink>
    </w:p>
    <w:p w14:paraId="22348FF4" w14:textId="77777777" w:rsidR="003A3EA7" w:rsidRDefault="00000000">
      <w:pPr>
        <w:widowControl w:val="0"/>
        <w:pBdr>
          <w:top w:val="nil"/>
          <w:left w:val="nil"/>
          <w:bottom w:val="nil"/>
          <w:right w:val="nil"/>
          <w:between w:val="nil"/>
        </w:pBdr>
        <w:ind w:left="720" w:hanging="720"/>
        <w:jc w:val="left"/>
      </w:pPr>
      <w:hyperlink r:id="rId44">
        <w:proofErr w:type="spellStart"/>
        <w:r>
          <w:t>Gibbard</w:t>
        </w:r>
        <w:proofErr w:type="spellEnd"/>
        <w:r>
          <w:t>, A., 2003. Thinking how to live, 1. paperback ed. ed. Harvard Univ. Press, Cambridge, Mass.</w:t>
        </w:r>
      </w:hyperlink>
    </w:p>
    <w:p w14:paraId="558345E0" w14:textId="77777777" w:rsidR="003A3EA7" w:rsidRDefault="00000000">
      <w:pPr>
        <w:widowControl w:val="0"/>
        <w:pBdr>
          <w:top w:val="nil"/>
          <w:left w:val="nil"/>
          <w:bottom w:val="nil"/>
          <w:right w:val="nil"/>
          <w:between w:val="nil"/>
        </w:pBdr>
        <w:ind w:left="720" w:hanging="720"/>
        <w:jc w:val="left"/>
      </w:pPr>
      <w:hyperlink r:id="rId45">
        <w:r>
          <w:t>Grice, P., 1993. Studies in the way of words, 3. print. ed. Harvard Univ. Press, Cambridge, Mass.</w:t>
        </w:r>
      </w:hyperlink>
    </w:p>
    <w:p w14:paraId="281C9218" w14:textId="77777777" w:rsidR="003A3EA7" w:rsidRDefault="00000000">
      <w:pPr>
        <w:widowControl w:val="0"/>
        <w:pBdr>
          <w:top w:val="nil"/>
          <w:left w:val="nil"/>
          <w:bottom w:val="nil"/>
          <w:right w:val="nil"/>
          <w:between w:val="nil"/>
        </w:pBdr>
        <w:ind w:left="720" w:hanging="720"/>
        <w:jc w:val="left"/>
      </w:pPr>
      <w:hyperlink r:id="rId46">
        <w:r>
          <w:t xml:space="preserve">Hansen, N., </w:t>
        </w:r>
        <w:proofErr w:type="spellStart"/>
        <w:r>
          <w:t>Chemla</w:t>
        </w:r>
        <w:proofErr w:type="spellEnd"/>
        <w:r>
          <w:t xml:space="preserve">, E., 2017. Color Adjectives, Standards, and Thresholds: An Experimental Investigation. Linguist. Philos. 40, 1–40. </w:t>
        </w:r>
      </w:hyperlink>
    </w:p>
    <w:p w14:paraId="6B1D75E3" w14:textId="77777777" w:rsidR="003A3EA7" w:rsidRDefault="00000000">
      <w:pPr>
        <w:widowControl w:val="0"/>
        <w:pBdr>
          <w:top w:val="nil"/>
          <w:left w:val="nil"/>
          <w:bottom w:val="nil"/>
          <w:right w:val="nil"/>
          <w:between w:val="nil"/>
        </w:pBdr>
        <w:ind w:left="720" w:hanging="720"/>
        <w:jc w:val="left"/>
      </w:pPr>
      <w:hyperlink r:id="rId47">
        <w:r>
          <w:t xml:space="preserve">Hare, </w:t>
        </w:r>
        <w:proofErr w:type="spellStart"/>
        <w:r>
          <w:t>R.M</w:t>
        </w:r>
        <w:proofErr w:type="spellEnd"/>
        <w:r>
          <w:t>., 1952. The language of morals, Clarendon paperbacks. Clarendon Press, Oxford.</w:t>
        </w:r>
      </w:hyperlink>
    </w:p>
    <w:p w14:paraId="64407721" w14:textId="77777777" w:rsidR="003A3EA7" w:rsidRDefault="00000000">
      <w:pPr>
        <w:widowControl w:val="0"/>
        <w:pBdr>
          <w:top w:val="nil"/>
          <w:left w:val="nil"/>
          <w:bottom w:val="nil"/>
          <w:right w:val="nil"/>
          <w:between w:val="nil"/>
        </w:pBdr>
        <w:ind w:left="720" w:hanging="720"/>
        <w:jc w:val="left"/>
      </w:pPr>
      <w:hyperlink r:id="rId48">
        <w:r>
          <w:t>Joyce, R., 2016. Essays in Moral Skepticism. Oxford University Press UK.</w:t>
        </w:r>
      </w:hyperlink>
    </w:p>
    <w:p w14:paraId="18271BF6" w14:textId="77777777" w:rsidR="003A3EA7" w:rsidRDefault="00000000">
      <w:pPr>
        <w:widowControl w:val="0"/>
        <w:pBdr>
          <w:top w:val="nil"/>
          <w:left w:val="nil"/>
          <w:bottom w:val="nil"/>
          <w:right w:val="nil"/>
          <w:between w:val="nil"/>
        </w:pBdr>
        <w:ind w:left="720" w:hanging="720"/>
        <w:jc w:val="left"/>
      </w:pPr>
      <w:hyperlink r:id="rId49">
        <w:proofErr w:type="spellStart"/>
        <w:r>
          <w:t>Lasersohn</w:t>
        </w:r>
        <w:proofErr w:type="spellEnd"/>
        <w:r>
          <w:t>, P., 2005. Context Dependence, Disagreement, and Predicates of Personal Taste 28.</w:t>
        </w:r>
      </w:hyperlink>
    </w:p>
    <w:p w14:paraId="2F686038" w14:textId="77777777" w:rsidR="003A3EA7" w:rsidRDefault="00000000">
      <w:pPr>
        <w:widowControl w:val="0"/>
        <w:pBdr>
          <w:top w:val="nil"/>
          <w:left w:val="nil"/>
          <w:bottom w:val="nil"/>
          <w:right w:val="nil"/>
          <w:between w:val="nil"/>
        </w:pBdr>
        <w:ind w:left="720" w:hanging="720"/>
        <w:jc w:val="left"/>
      </w:pPr>
      <w:proofErr w:type="spellStart"/>
      <w:r>
        <w:t>Mandelkern</w:t>
      </w:r>
      <w:proofErr w:type="spellEnd"/>
      <w:r>
        <w:t xml:space="preserve">, M. (2021). Practical Moore Sentences*. </w:t>
      </w:r>
      <w:proofErr w:type="spellStart"/>
      <w:r>
        <w:t>Noûs</w:t>
      </w:r>
      <w:proofErr w:type="spellEnd"/>
      <w:r>
        <w:t>, 55(1), 39–61. https://doi.org/10.1111/nous.12287</w:t>
      </w:r>
    </w:p>
    <w:p w14:paraId="5240127E" w14:textId="77777777" w:rsidR="003A3EA7" w:rsidRDefault="00000000">
      <w:pPr>
        <w:widowControl w:val="0"/>
        <w:pBdr>
          <w:top w:val="nil"/>
          <w:left w:val="nil"/>
          <w:bottom w:val="nil"/>
          <w:right w:val="nil"/>
          <w:between w:val="nil"/>
        </w:pBdr>
        <w:ind w:left="720" w:hanging="720"/>
        <w:jc w:val="left"/>
      </w:pPr>
      <w:proofErr w:type="spellStart"/>
      <w:r>
        <w:t>Väyrynen</w:t>
      </w:r>
      <w:proofErr w:type="spellEnd"/>
      <w:r>
        <w:t>, P. (2022). Practical Commitment in Normative Discourse. Journal of Ethics and Social Philosophy, 21(2), Art. 2. https://doi.org/10.26556/jesp.v21i2.1484</w:t>
      </w:r>
    </w:p>
    <w:p w14:paraId="7F1256EB" w14:textId="77777777" w:rsidR="003A3EA7" w:rsidRDefault="00000000">
      <w:pPr>
        <w:widowControl w:val="0"/>
        <w:pBdr>
          <w:top w:val="nil"/>
          <w:left w:val="nil"/>
          <w:bottom w:val="nil"/>
          <w:right w:val="nil"/>
          <w:between w:val="nil"/>
        </w:pBdr>
        <w:ind w:left="720" w:hanging="720"/>
        <w:jc w:val="left"/>
      </w:pPr>
      <w:hyperlink r:id="rId50">
        <w:r>
          <w:t>Potts, C., 2004. The Logic of Conventional Implicatures. Oxford University Press. https://doi.org/10.1093/acprof:oso/9780199273829.001.0001</w:t>
        </w:r>
      </w:hyperlink>
    </w:p>
    <w:p w14:paraId="7D9D6BD4" w14:textId="77777777" w:rsidR="003A3EA7" w:rsidRDefault="00000000">
      <w:pPr>
        <w:widowControl w:val="0"/>
        <w:pBdr>
          <w:top w:val="nil"/>
          <w:left w:val="nil"/>
          <w:bottom w:val="nil"/>
          <w:right w:val="nil"/>
          <w:between w:val="nil"/>
        </w:pBdr>
        <w:ind w:left="720" w:hanging="720"/>
        <w:jc w:val="left"/>
      </w:pPr>
      <w:hyperlink r:id="rId51">
        <w:r>
          <w:t>R Core Team, 2014. R: A Language and Environment for Statistical Computing.</w:t>
        </w:r>
      </w:hyperlink>
    </w:p>
    <w:p w14:paraId="1B3EAAF7" w14:textId="77777777" w:rsidR="003A3EA7" w:rsidRDefault="00000000">
      <w:pPr>
        <w:widowControl w:val="0"/>
        <w:pBdr>
          <w:top w:val="nil"/>
          <w:left w:val="nil"/>
          <w:bottom w:val="nil"/>
          <w:right w:val="nil"/>
          <w:between w:val="nil"/>
        </w:pBdr>
        <w:ind w:left="720" w:hanging="720"/>
        <w:jc w:val="left"/>
      </w:pPr>
      <w:hyperlink r:id="rId52">
        <w:r>
          <w:t xml:space="preserve">Rosati, </w:t>
        </w:r>
        <w:proofErr w:type="spellStart"/>
        <w:r>
          <w:t>C.S</w:t>
        </w:r>
        <w:proofErr w:type="spellEnd"/>
        <w:r>
          <w:t xml:space="preserve">., 2016. Moral Motivation, in: </w:t>
        </w:r>
        <w:proofErr w:type="spellStart"/>
        <w:r>
          <w:t>Zalta</w:t>
        </w:r>
        <w:proofErr w:type="spellEnd"/>
        <w:r>
          <w:t xml:space="preserve">, </w:t>
        </w:r>
        <w:proofErr w:type="spellStart"/>
        <w:r>
          <w:t>E.N</w:t>
        </w:r>
        <w:proofErr w:type="spellEnd"/>
        <w:r>
          <w:t>. (Ed.), The Stanford Encyclopedia of Philosophy. Metaphysics Research Lab, Stanford University.</w:t>
        </w:r>
      </w:hyperlink>
    </w:p>
    <w:p w14:paraId="4E317E73" w14:textId="77777777" w:rsidR="003A3EA7" w:rsidRDefault="00000000">
      <w:pPr>
        <w:widowControl w:val="0"/>
        <w:pBdr>
          <w:top w:val="nil"/>
          <w:left w:val="nil"/>
          <w:bottom w:val="nil"/>
          <w:right w:val="nil"/>
          <w:between w:val="nil"/>
        </w:pBdr>
        <w:ind w:left="720" w:hanging="720"/>
        <w:jc w:val="left"/>
      </w:pPr>
      <w:hyperlink r:id="rId53">
        <w:r>
          <w:t>Schlenker, P., 2016. The semantics–pragmatics interface, in: Aloni, M., Dekker, P. (Eds.), The Cambridge Handbook of Formal Semantics, Cambridge Handbooks in Language and Linguistics. Cambridge University Press, Cambridge, pp. 664–727. https://doi.org/10.1017/CBO9781139236157.023</w:t>
        </w:r>
      </w:hyperlink>
    </w:p>
    <w:p w14:paraId="5BCCEEDF" w14:textId="77777777" w:rsidR="003A3EA7" w:rsidRDefault="00000000">
      <w:pPr>
        <w:widowControl w:val="0"/>
        <w:pBdr>
          <w:top w:val="nil"/>
          <w:left w:val="nil"/>
          <w:bottom w:val="nil"/>
          <w:right w:val="nil"/>
          <w:between w:val="nil"/>
        </w:pBdr>
        <w:ind w:left="720" w:hanging="720"/>
        <w:jc w:val="left"/>
      </w:pPr>
      <w:hyperlink r:id="rId54">
        <w:r>
          <w:t>Schlenker, P., 2007. Expressive presuppositions 33, 237–245. https://doi.org/10.1515/TL.2007.017</w:t>
        </w:r>
      </w:hyperlink>
    </w:p>
    <w:p w14:paraId="5FF4CCD5" w14:textId="77777777" w:rsidR="003A3EA7" w:rsidRDefault="00000000">
      <w:pPr>
        <w:widowControl w:val="0"/>
        <w:pBdr>
          <w:top w:val="nil"/>
          <w:left w:val="nil"/>
          <w:bottom w:val="nil"/>
          <w:right w:val="nil"/>
          <w:between w:val="nil"/>
        </w:pBdr>
        <w:ind w:left="720" w:hanging="720"/>
        <w:jc w:val="left"/>
      </w:pPr>
      <w:hyperlink r:id="rId55">
        <w:r>
          <w:t>Schroeder, M., 2008. Being For. Oxford University Press. https://doi.org/10.1093/acprof:oso/9780199534654.001.0001</w:t>
        </w:r>
      </w:hyperlink>
    </w:p>
    <w:p w14:paraId="4D62EFD4" w14:textId="77777777" w:rsidR="003A3EA7" w:rsidRDefault="00000000">
      <w:pPr>
        <w:widowControl w:val="0"/>
        <w:pBdr>
          <w:top w:val="nil"/>
          <w:left w:val="nil"/>
          <w:bottom w:val="nil"/>
          <w:right w:val="nil"/>
          <w:between w:val="nil"/>
        </w:pBdr>
        <w:ind w:left="720" w:hanging="720"/>
        <w:jc w:val="left"/>
      </w:pPr>
      <w:hyperlink r:id="rId56">
        <w:r>
          <w:t xml:space="preserve">Searle, J.R., 1979. Expression and </w:t>
        </w:r>
        <w:proofErr w:type="gramStart"/>
        <w:r>
          <w:t>meaning:</w:t>
        </w:r>
        <w:proofErr w:type="gramEnd"/>
        <w:r>
          <w:t xml:space="preserve"> studies in the theory of speech acts. Cambridge University Press, Cambridge, </w:t>
        </w:r>
        <w:proofErr w:type="gramStart"/>
        <w:r>
          <w:t>Eng. ;</w:t>
        </w:r>
        <w:proofErr w:type="gramEnd"/>
        <w:r>
          <w:t xml:space="preserve"> New York.</w:t>
        </w:r>
      </w:hyperlink>
    </w:p>
    <w:p w14:paraId="679779CC" w14:textId="77777777" w:rsidR="003A3EA7" w:rsidRDefault="00000000">
      <w:pPr>
        <w:widowControl w:val="0"/>
        <w:pBdr>
          <w:top w:val="nil"/>
          <w:left w:val="nil"/>
          <w:bottom w:val="nil"/>
          <w:right w:val="nil"/>
          <w:between w:val="nil"/>
        </w:pBdr>
        <w:ind w:left="720" w:hanging="720"/>
        <w:jc w:val="left"/>
      </w:pPr>
      <w:hyperlink r:id="rId57">
        <w:r>
          <w:t>Soria-Ruiz, A., Maldonado, M., Stojanovic, I., 2022. Good and Ought in Argumentation: COVID-19 as a Case Study, in: Oswald, S., Lewiński, M., Greco, S., Villata, S. (Eds.), The Pandemic of Argumentation, Argumentation Library. Springer International Publishing, Cham, pp. 43–64. https://doi.org/10.1007/978-3-030-91017-4_3</w:t>
        </w:r>
      </w:hyperlink>
    </w:p>
    <w:p w14:paraId="39286286" w14:textId="77777777" w:rsidR="003A3EA7" w:rsidRDefault="00000000">
      <w:pPr>
        <w:widowControl w:val="0"/>
        <w:pBdr>
          <w:top w:val="nil"/>
          <w:left w:val="nil"/>
          <w:bottom w:val="nil"/>
          <w:right w:val="nil"/>
          <w:between w:val="nil"/>
        </w:pBdr>
        <w:ind w:left="720" w:hanging="720"/>
        <w:jc w:val="left"/>
      </w:pPr>
      <w:hyperlink r:id="rId58">
        <w:r>
          <w:t xml:space="preserve">Stephenson, T.C., 2007. Towards a theory of subjective meaning (Thesis). Massachusetts </w:t>
        </w:r>
        <w:r>
          <w:lastRenderedPageBreak/>
          <w:t>Institute of Technology.</w:t>
        </w:r>
      </w:hyperlink>
    </w:p>
    <w:p w14:paraId="5D58793B" w14:textId="77777777" w:rsidR="003A3EA7" w:rsidRDefault="00000000">
      <w:pPr>
        <w:widowControl w:val="0"/>
        <w:pBdr>
          <w:top w:val="nil"/>
          <w:left w:val="nil"/>
          <w:bottom w:val="nil"/>
          <w:right w:val="nil"/>
          <w:between w:val="nil"/>
        </w:pBdr>
        <w:ind w:left="720" w:hanging="720"/>
        <w:jc w:val="left"/>
      </w:pPr>
      <w:hyperlink r:id="rId59">
        <w:proofErr w:type="spellStart"/>
        <w:r>
          <w:t>Svavarsdottir</w:t>
        </w:r>
        <w:proofErr w:type="spellEnd"/>
        <w:r>
          <w:t xml:space="preserve">, S., 2006. How Do Moral Judgments </w:t>
        </w:r>
        <w:proofErr w:type="gramStart"/>
        <w:r>
          <w:t>Motivate?,</w:t>
        </w:r>
        <w:proofErr w:type="gramEnd"/>
        <w:r>
          <w:t xml:space="preserve"> in: Dreier, J. (Ed.), Contemporary Debates in Moral Theory. Wiley-Blackwell, pp. 6–163.</w:t>
        </w:r>
      </w:hyperlink>
    </w:p>
    <w:p w14:paraId="262FC25F" w14:textId="77777777" w:rsidR="003A3EA7" w:rsidRDefault="00000000">
      <w:pPr>
        <w:widowControl w:val="0"/>
        <w:pBdr>
          <w:top w:val="nil"/>
          <w:left w:val="nil"/>
          <w:bottom w:val="nil"/>
          <w:right w:val="nil"/>
          <w:between w:val="nil"/>
        </w:pBdr>
        <w:ind w:left="720" w:hanging="720"/>
        <w:jc w:val="left"/>
      </w:pPr>
      <w:hyperlink r:id="rId60">
        <w:r>
          <w:t>Toppinen, T., 2015. Relational Expressivism and Moore’s Paradox. J. Ethics Soc. Philos. 9, 1–8. https://doi.org/10.26556/jesp.v9i2.173</w:t>
        </w:r>
      </w:hyperlink>
    </w:p>
    <w:p w14:paraId="11408C9C" w14:textId="77777777" w:rsidR="003A3EA7" w:rsidRDefault="00000000">
      <w:pPr>
        <w:widowControl w:val="0"/>
        <w:pBdr>
          <w:top w:val="nil"/>
          <w:left w:val="nil"/>
          <w:bottom w:val="nil"/>
          <w:right w:val="nil"/>
          <w:between w:val="nil"/>
        </w:pBdr>
        <w:ind w:left="720" w:hanging="720"/>
        <w:jc w:val="left"/>
      </w:pPr>
      <w:hyperlink r:id="rId61">
        <w:proofErr w:type="spellStart"/>
        <w:r>
          <w:t>Väyrynen</w:t>
        </w:r>
        <w:proofErr w:type="spellEnd"/>
        <w:r>
          <w:t>, P., 2013. The lewd, the rude, and the nasty: a study of thick concepts in ethics, Oxford moral theory. Oxford University Press, New York, NY.</w:t>
        </w:r>
      </w:hyperlink>
    </w:p>
    <w:p w14:paraId="745EE4D5" w14:textId="77777777" w:rsidR="003A3EA7" w:rsidRDefault="00000000">
      <w:pPr>
        <w:widowControl w:val="0"/>
        <w:pBdr>
          <w:top w:val="nil"/>
          <w:left w:val="nil"/>
          <w:bottom w:val="nil"/>
          <w:right w:val="nil"/>
          <w:between w:val="nil"/>
        </w:pBdr>
        <w:ind w:left="720" w:hanging="720"/>
        <w:jc w:val="left"/>
      </w:pPr>
      <w:hyperlink r:id="rId62">
        <w:r>
          <w:t>Willemsen, P., Reuter, K., 2021. Separating the evaluative from the descriptive: An empirical study of thick concepts. Thought J. Philos. 10, 135–146. https://doi.org/10.1002/tht3.488</w:t>
        </w:r>
      </w:hyperlink>
    </w:p>
    <w:p w14:paraId="777DA700" w14:textId="77777777" w:rsidR="003A3EA7" w:rsidRDefault="00000000">
      <w:pPr>
        <w:widowControl w:val="0"/>
        <w:pBdr>
          <w:top w:val="nil"/>
          <w:left w:val="nil"/>
          <w:bottom w:val="nil"/>
          <w:right w:val="nil"/>
          <w:between w:val="nil"/>
        </w:pBdr>
        <w:ind w:left="720" w:hanging="720"/>
        <w:jc w:val="left"/>
      </w:pPr>
      <w:hyperlink r:id="rId63">
        <w:r>
          <w:t xml:space="preserve">Woods, J., 2014. </w:t>
        </w:r>
        <w:proofErr w:type="spellStart"/>
        <w:r>
          <w:t>Expressivism</w:t>
        </w:r>
        <w:proofErr w:type="spellEnd"/>
        <w:r>
          <w:t xml:space="preserve"> and Moore’s Paradox. Philos. </w:t>
        </w:r>
        <w:proofErr w:type="spellStart"/>
        <w:r>
          <w:t>Impr</w:t>
        </w:r>
        <w:proofErr w:type="spellEnd"/>
        <w:r>
          <w:t>. 14.</w:t>
        </w:r>
      </w:hyperlink>
    </w:p>
    <w:p w14:paraId="2A7CB34C" w14:textId="77777777" w:rsidR="003A3EA7" w:rsidRDefault="00000000">
      <w:pPr>
        <w:widowControl w:val="0"/>
        <w:pBdr>
          <w:top w:val="nil"/>
          <w:left w:val="nil"/>
          <w:bottom w:val="nil"/>
          <w:right w:val="nil"/>
          <w:between w:val="nil"/>
        </w:pBdr>
        <w:ind w:left="720" w:hanging="720"/>
        <w:jc w:val="left"/>
      </w:pPr>
      <w:hyperlink r:id="rId64">
        <w:r>
          <w:t>Yalcin, S., 2007. Epistemic Modals. Mind 116, 983–1026. https://doi.org/10.1093/mind/fzm983</w:t>
        </w:r>
      </w:hyperlink>
    </w:p>
    <w:p w14:paraId="0CF72DAC" w14:textId="77777777" w:rsidR="003A3EA7" w:rsidRDefault="00000000">
      <w:pPr>
        <w:widowControl w:val="0"/>
        <w:pBdr>
          <w:top w:val="nil"/>
          <w:left w:val="nil"/>
          <w:bottom w:val="nil"/>
          <w:right w:val="nil"/>
          <w:between w:val="nil"/>
        </w:pBdr>
        <w:ind w:left="720" w:hanging="720"/>
        <w:jc w:val="left"/>
      </w:pPr>
      <w:hyperlink r:id="rId65">
        <w:r>
          <w:t>Zakkou, J., 2021. Conventional Evaluativity. Australas. J. Philos. 0, 1–15. https://doi.org/10.1080/00048402.2021.2013264</w:t>
        </w:r>
      </w:hyperlink>
    </w:p>
    <w:sectPr w:rsidR="003A3EA7">
      <w:type w:val="continuous"/>
      <w:pgSz w:w="11906" w:h="16838"/>
      <w:pgMar w:top="1440" w:right="1440" w:bottom="1440" w:left="1440" w:header="680" w:footer="680" w:gutter="0"/>
      <w:cols w:sep="1" w:space="720"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F11F" w14:textId="77777777" w:rsidR="00DA6B31" w:rsidRDefault="00DA6B31">
      <w:r>
        <w:separator/>
      </w:r>
    </w:p>
  </w:endnote>
  <w:endnote w:type="continuationSeparator" w:id="0">
    <w:p w14:paraId="77F27C0B" w14:textId="77777777" w:rsidR="00DA6B31" w:rsidRDefault="00DA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2911" w14:textId="77777777" w:rsidR="003A3EA7" w:rsidRDefault="00000000">
    <w:pPr>
      <w:pBdr>
        <w:top w:val="nil"/>
        <w:left w:val="nil"/>
        <w:bottom w:val="nil"/>
        <w:right w:val="nil"/>
        <w:between w:val="nil"/>
      </w:pBdr>
      <w:tabs>
        <w:tab w:val="center" w:pos="4819"/>
        <w:tab w:val="right" w:pos="9071"/>
      </w:tabs>
      <w:jc w:val="right"/>
      <w:rPr>
        <w:color w:val="000000"/>
      </w:rPr>
    </w:pPr>
    <w:r>
      <w:fldChar w:fldCharType="begin"/>
    </w:r>
    <w:r>
      <w:instrText>PAGE</w:instrText>
    </w:r>
    <w:r>
      <w:fldChar w:fldCharType="separate"/>
    </w:r>
    <w:r w:rsidR="00515B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2828" w14:textId="77777777" w:rsidR="00DA6B31" w:rsidRDefault="00DA6B31">
      <w:r>
        <w:separator/>
      </w:r>
    </w:p>
  </w:footnote>
  <w:footnote w:type="continuationSeparator" w:id="0">
    <w:p w14:paraId="1AD7D750" w14:textId="77777777" w:rsidR="00DA6B31" w:rsidRDefault="00DA6B31">
      <w:r>
        <w:continuationSeparator/>
      </w:r>
    </w:p>
  </w:footnote>
  <w:footnote w:id="1">
    <w:p w14:paraId="26E008E3" w14:textId="77777777" w:rsidR="003A3EA7" w:rsidRDefault="00000000">
      <w:pPr>
        <w:rPr>
          <w:sz w:val="20"/>
          <w:szCs w:val="20"/>
        </w:rPr>
      </w:pPr>
      <w:r w:rsidRPr="00515B0A">
        <w:rPr>
          <w:rStyle w:val="Fotnotsreferens"/>
        </w:rPr>
        <w:footnoteRef/>
      </w:r>
      <w:r>
        <w:rPr>
          <w:sz w:val="20"/>
          <w:szCs w:val="20"/>
        </w:rPr>
        <w:t xml:space="preserve"> Some recent exceptions are </w:t>
      </w:r>
      <w:hyperlink r:id="rId1">
        <w:r>
          <w:rPr>
            <w:sz w:val="20"/>
            <w:szCs w:val="20"/>
          </w:rPr>
          <w:t>Baumgartner et al., 2022; Soria-Ruiz et al., 2022; Willemsen and Reuter, 2021</w:t>
        </w:r>
      </w:hyperlink>
      <w:r>
        <w:rPr>
          <w:sz w:val="20"/>
          <w:szCs w:val="20"/>
        </w:rPr>
        <w:t xml:space="preserve">. </w:t>
      </w:r>
    </w:p>
  </w:footnote>
  <w:footnote w:id="2">
    <w:p w14:paraId="7BC1BB10" w14:textId="77777777" w:rsidR="003A3EA7" w:rsidRDefault="00000000">
      <w:pPr>
        <w:rPr>
          <w:sz w:val="20"/>
          <w:szCs w:val="20"/>
        </w:rPr>
      </w:pPr>
      <w:r w:rsidRPr="00515B0A">
        <w:rPr>
          <w:rStyle w:val="Fotnotsreferens"/>
        </w:rPr>
        <w:footnoteRef/>
      </w:r>
      <w:r>
        <w:rPr>
          <w:sz w:val="20"/>
          <w:szCs w:val="20"/>
        </w:rPr>
        <w:t xml:space="preserve"> All the studies were pre-registered with the Open Science Framework (see below).</w:t>
      </w:r>
    </w:p>
  </w:footnote>
  <w:footnote w:id="3">
    <w:p w14:paraId="52324368" w14:textId="77777777" w:rsidR="003A3EA7" w:rsidRDefault="00000000">
      <w:pPr>
        <w:rPr>
          <w:sz w:val="20"/>
          <w:szCs w:val="20"/>
        </w:rPr>
      </w:pPr>
      <w:r w:rsidRPr="00515B0A">
        <w:rPr>
          <w:rStyle w:val="Fotnotsreferens"/>
        </w:rPr>
        <w:footnoteRef/>
      </w:r>
      <w:r>
        <w:rPr>
          <w:sz w:val="20"/>
          <w:szCs w:val="20"/>
        </w:rPr>
        <w:t xml:space="preserve"> The reader familiar with these </w:t>
      </w:r>
      <w:proofErr w:type="gramStart"/>
      <w:r>
        <w:rPr>
          <w:sz w:val="20"/>
          <w:szCs w:val="20"/>
        </w:rPr>
        <w:t>inferences</w:t>
      </w:r>
      <w:proofErr w:type="gramEnd"/>
      <w:r>
        <w:rPr>
          <w:sz w:val="20"/>
          <w:szCs w:val="20"/>
        </w:rPr>
        <w:t xml:space="preserve"> types and the tests standardly used to distinguish them may skip this section.</w:t>
      </w:r>
    </w:p>
  </w:footnote>
  <w:footnote w:id="4">
    <w:p w14:paraId="6D50CA84" w14:textId="77777777" w:rsidR="003A3EA7" w:rsidRDefault="00000000">
      <w:pPr>
        <w:rPr>
          <w:sz w:val="20"/>
          <w:szCs w:val="20"/>
        </w:rPr>
      </w:pPr>
      <w:r w:rsidRPr="00515B0A">
        <w:rPr>
          <w:rStyle w:val="Fotnotsreferens"/>
        </w:rPr>
        <w:footnoteRef/>
      </w:r>
      <w:r>
        <w:rPr>
          <w:sz w:val="20"/>
          <w:szCs w:val="20"/>
        </w:rPr>
        <w:t xml:space="preserve"> A precursor to the following discussion is found in </w:t>
      </w:r>
      <w:hyperlink r:id="rId2">
        <w:r>
          <w:rPr>
            <w:sz w:val="20"/>
            <w:szCs w:val="20"/>
          </w:rPr>
          <w:t>(</w:t>
        </w:r>
        <w:proofErr w:type="spellStart"/>
        <w:r>
          <w:rPr>
            <w:sz w:val="20"/>
            <w:szCs w:val="20"/>
          </w:rPr>
          <w:t>Väyrynen</w:t>
        </w:r>
        <w:proofErr w:type="spellEnd"/>
        <w:r>
          <w:rPr>
            <w:sz w:val="20"/>
            <w:szCs w:val="20"/>
          </w:rPr>
          <w:t>, 2013)</w:t>
        </w:r>
      </w:hyperlink>
      <w:r>
        <w:rPr>
          <w:sz w:val="20"/>
          <w:szCs w:val="20"/>
        </w:rPr>
        <w:t xml:space="preserve">. </w:t>
      </w:r>
      <w:proofErr w:type="spellStart"/>
      <w:r>
        <w:rPr>
          <w:sz w:val="20"/>
          <w:szCs w:val="20"/>
        </w:rPr>
        <w:t>Väyrynen</w:t>
      </w:r>
      <w:proofErr w:type="spellEnd"/>
      <w:r>
        <w:rPr>
          <w:sz w:val="20"/>
          <w:szCs w:val="20"/>
        </w:rPr>
        <w:t xml:space="preserve"> is interested in the evaluative content of thick terms (‘cruel’, ‘generous’), which he attempts to track through linguistic tests like the ones we describe here. See also </w:t>
      </w:r>
      <w:hyperlink r:id="rId3">
        <w:r>
          <w:rPr>
            <w:sz w:val="20"/>
            <w:szCs w:val="20"/>
          </w:rPr>
          <w:t>(</w:t>
        </w:r>
        <w:proofErr w:type="spellStart"/>
        <w:r>
          <w:rPr>
            <w:sz w:val="20"/>
            <w:szCs w:val="20"/>
          </w:rPr>
          <w:t>Zakkou</w:t>
        </w:r>
        <w:proofErr w:type="spellEnd"/>
        <w:r>
          <w:rPr>
            <w:sz w:val="20"/>
            <w:szCs w:val="20"/>
          </w:rPr>
          <w:t>, 202</w:t>
        </w:r>
      </w:hyperlink>
      <w:hyperlink r:id="rId4">
        <w:r>
          <w:rPr>
            <w:sz w:val="20"/>
            <w:szCs w:val="20"/>
          </w:rPr>
          <w:t>1</w:t>
        </w:r>
      </w:hyperlink>
      <w:hyperlink r:id="rId5">
        <w:r>
          <w:rPr>
            <w:sz w:val="20"/>
            <w:szCs w:val="20"/>
          </w:rPr>
          <w:t>)</w:t>
        </w:r>
      </w:hyperlink>
      <w:r>
        <w:rPr>
          <w:sz w:val="20"/>
          <w:szCs w:val="20"/>
        </w:rPr>
        <w:t xml:space="preserve"> and (</w:t>
      </w:r>
      <w:proofErr w:type="spellStart"/>
      <w:r>
        <w:rPr>
          <w:sz w:val="20"/>
          <w:szCs w:val="20"/>
        </w:rPr>
        <w:t>Mandelkern</w:t>
      </w:r>
      <w:proofErr w:type="spellEnd"/>
      <w:r>
        <w:rPr>
          <w:sz w:val="20"/>
          <w:szCs w:val="20"/>
        </w:rPr>
        <w:t xml:space="preserve">, 2021) for related discussions). Recently, </w:t>
      </w:r>
      <w:hyperlink r:id="rId6">
        <w:r>
          <w:rPr>
            <w:sz w:val="20"/>
            <w:szCs w:val="20"/>
          </w:rPr>
          <w:t>(</w:t>
        </w:r>
        <w:proofErr w:type="spellStart"/>
        <w:r>
          <w:rPr>
            <w:sz w:val="20"/>
            <w:szCs w:val="20"/>
          </w:rPr>
          <w:t>Coninx</w:t>
        </w:r>
        <w:proofErr w:type="spellEnd"/>
        <w:r>
          <w:rPr>
            <w:sz w:val="20"/>
            <w:szCs w:val="20"/>
          </w:rPr>
          <w:t xml:space="preserve"> et al., 2022)</w:t>
        </w:r>
      </w:hyperlink>
      <w:r>
        <w:rPr>
          <w:sz w:val="20"/>
          <w:szCs w:val="20"/>
        </w:rPr>
        <w:t xml:space="preserve"> have empirically studied the implications of the folk concept of pain through similar devices. </w:t>
      </w:r>
    </w:p>
  </w:footnote>
  <w:footnote w:id="5">
    <w:p w14:paraId="4F760CB5" w14:textId="77777777" w:rsidR="003A3EA7" w:rsidRDefault="00000000">
      <w:pPr>
        <w:rPr>
          <w:sz w:val="20"/>
          <w:szCs w:val="20"/>
        </w:rPr>
      </w:pPr>
      <w:r w:rsidRPr="00515B0A">
        <w:rPr>
          <w:rStyle w:val="Fotnotsreferens"/>
        </w:rPr>
        <w:footnoteRef/>
      </w:r>
      <w:r>
        <w:rPr>
          <w:sz w:val="20"/>
          <w:szCs w:val="20"/>
        </w:rPr>
        <w:t xml:space="preserve"> This observation also suggests that DI is not a conventional implicature, since conventional implicatures also project from entailing-canceling environments </w:t>
      </w:r>
      <w:hyperlink r:id="rId7">
        <w:r>
          <w:rPr>
            <w:sz w:val="20"/>
            <w:szCs w:val="20"/>
          </w:rPr>
          <w:t>(</w:t>
        </w:r>
      </w:hyperlink>
      <w:hyperlink r:id="rId8">
        <w:r>
          <w:rPr>
            <w:sz w:val="20"/>
            <w:szCs w:val="20"/>
          </w:rPr>
          <w:t xml:space="preserve">see </w:t>
        </w:r>
        <w:proofErr w:type="spellStart"/>
        <w:r>
          <w:rPr>
            <w:sz w:val="20"/>
            <w:szCs w:val="20"/>
          </w:rPr>
          <w:t>eg.</w:t>
        </w:r>
        <w:proofErr w:type="spellEnd"/>
        <w:r>
          <w:rPr>
            <w:sz w:val="20"/>
            <w:szCs w:val="20"/>
          </w:rPr>
          <w:t xml:space="preserve"> </w:t>
        </w:r>
      </w:hyperlink>
      <w:hyperlink r:id="rId9">
        <w:r>
          <w:rPr>
            <w:sz w:val="20"/>
            <w:szCs w:val="20"/>
          </w:rPr>
          <w:t>Potts, 2004)</w:t>
        </w:r>
      </w:hyperlink>
      <w:r>
        <w:rPr>
          <w:sz w:val="20"/>
          <w:szCs w:val="20"/>
        </w:rPr>
        <w:t xml:space="preserve">. </w:t>
      </w:r>
    </w:p>
  </w:footnote>
  <w:footnote w:id="6">
    <w:p w14:paraId="7ED2652D" w14:textId="77777777" w:rsidR="003A3EA7" w:rsidRDefault="00000000">
      <w:pPr>
        <w:rPr>
          <w:sz w:val="20"/>
          <w:szCs w:val="20"/>
        </w:rPr>
      </w:pPr>
      <w:r w:rsidRPr="00515B0A">
        <w:rPr>
          <w:rStyle w:val="Fotnotsreferens"/>
        </w:rPr>
        <w:footnoteRef/>
      </w:r>
      <w:r>
        <w:rPr>
          <w:sz w:val="20"/>
          <w:szCs w:val="20"/>
        </w:rPr>
        <w:t xml:space="preserve"> Moreover, we think that disapproval-</w:t>
      </w:r>
      <w:proofErr w:type="spellStart"/>
      <w:r>
        <w:rPr>
          <w:sz w:val="20"/>
          <w:szCs w:val="20"/>
        </w:rPr>
        <w:t>expressivism</w:t>
      </w:r>
      <w:proofErr w:type="spellEnd"/>
      <w:r>
        <w:rPr>
          <w:sz w:val="20"/>
          <w:szCs w:val="20"/>
        </w:rPr>
        <w:t xml:space="preserve"> is among the best candidates for validating the Parity Thesis. For instance, consider the other major kind of contemporary </w:t>
      </w:r>
      <w:proofErr w:type="spellStart"/>
      <w:r>
        <w:rPr>
          <w:sz w:val="20"/>
          <w:szCs w:val="20"/>
        </w:rPr>
        <w:t>expressivism</w:t>
      </w:r>
      <w:proofErr w:type="spellEnd"/>
      <w:r>
        <w:rPr>
          <w:sz w:val="20"/>
          <w:szCs w:val="20"/>
        </w:rPr>
        <w:t xml:space="preserve">, according to which moral statements express intentions or plans </w:t>
      </w:r>
      <w:hyperlink r:id="rId10">
        <w:r>
          <w:rPr>
            <w:sz w:val="20"/>
            <w:szCs w:val="20"/>
          </w:rPr>
          <w:t>(</w:t>
        </w:r>
        <w:proofErr w:type="spellStart"/>
        <w:r>
          <w:rPr>
            <w:sz w:val="20"/>
            <w:szCs w:val="20"/>
          </w:rPr>
          <w:t>Gibbard</w:t>
        </w:r>
        <w:proofErr w:type="spellEnd"/>
        <w:r>
          <w:rPr>
            <w:sz w:val="20"/>
            <w:szCs w:val="20"/>
          </w:rPr>
          <w:t>, 2003)</w:t>
        </w:r>
      </w:hyperlink>
      <w:r>
        <w:rPr>
          <w:sz w:val="20"/>
          <w:szCs w:val="20"/>
        </w:rPr>
        <w:t xml:space="preserve">. While, as we have pointed out, intuitions concerning the cancellability of the disapproval inference are divided, it seems </w:t>
      </w:r>
      <w:proofErr w:type="gramStart"/>
      <w:r>
        <w:rPr>
          <w:sz w:val="20"/>
          <w:szCs w:val="20"/>
        </w:rPr>
        <w:t>more clear</w:t>
      </w:r>
      <w:proofErr w:type="gramEnd"/>
      <w:r>
        <w:rPr>
          <w:sz w:val="20"/>
          <w:szCs w:val="20"/>
        </w:rPr>
        <w:t xml:space="preserve"> to us that one can felicitously assert: </w:t>
      </w:r>
    </w:p>
    <w:p w14:paraId="68805EFD" w14:textId="77777777" w:rsidR="003A3EA7" w:rsidRDefault="00000000">
      <w:pPr>
        <w:spacing w:before="120" w:after="120" w:line="276" w:lineRule="auto"/>
        <w:ind w:right="-40" w:firstLine="720"/>
        <w:rPr>
          <w:sz w:val="20"/>
          <w:szCs w:val="20"/>
        </w:rPr>
      </w:pPr>
      <w:r>
        <w:rPr>
          <w:sz w:val="20"/>
          <w:szCs w:val="20"/>
        </w:rPr>
        <w:t>(</w:t>
      </w:r>
      <w:proofErr w:type="spellStart"/>
      <w:r>
        <w:rPr>
          <w:sz w:val="20"/>
          <w:szCs w:val="20"/>
        </w:rPr>
        <w:t>i</w:t>
      </w:r>
      <w:proofErr w:type="spellEnd"/>
      <w:r>
        <w:rPr>
          <w:sz w:val="20"/>
          <w:szCs w:val="20"/>
        </w:rPr>
        <w:t xml:space="preserve">) Murder is wrong, but I nevertheless plan to do it.  </w:t>
      </w:r>
    </w:p>
    <w:p w14:paraId="1FC902A1" w14:textId="77777777" w:rsidR="003A3EA7" w:rsidRDefault="00000000">
      <w:pPr>
        <w:spacing w:before="120" w:after="120" w:line="276" w:lineRule="auto"/>
        <w:ind w:right="-40"/>
        <w:rPr>
          <w:sz w:val="20"/>
          <w:szCs w:val="20"/>
        </w:rPr>
      </w:pPr>
      <w:r>
        <w:rPr>
          <w:sz w:val="20"/>
          <w:szCs w:val="20"/>
        </w:rPr>
        <w:t xml:space="preserve">Having said this, it should be recognized that there are attitudes in the vicinity, like disliking, </w:t>
      </w:r>
      <w:proofErr w:type="gramStart"/>
      <w:r>
        <w:rPr>
          <w:sz w:val="20"/>
          <w:szCs w:val="20"/>
        </w:rPr>
        <w:t>abhorring</w:t>
      </w:r>
      <w:proofErr w:type="gramEnd"/>
      <w:r>
        <w:rPr>
          <w:sz w:val="20"/>
          <w:szCs w:val="20"/>
        </w:rPr>
        <w:t xml:space="preserve"> and despising, which could also form the basis of expressivist theories about moral language. While we know of no contemporary </w:t>
      </w:r>
      <w:proofErr w:type="spellStart"/>
      <w:r>
        <w:rPr>
          <w:sz w:val="20"/>
          <w:szCs w:val="20"/>
        </w:rPr>
        <w:t>expressivism</w:t>
      </w:r>
      <w:proofErr w:type="spellEnd"/>
      <w:r>
        <w:rPr>
          <w:sz w:val="20"/>
          <w:szCs w:val="20"/>
        </w:rPr>
        <w:t xml:space="preserve"> that takes one of these attitudes as a point of departure, it would be interesting to see how they fare in comparison to disapproval in eliciting </w:t>
      </w:r>
      <w:proofErr w:type="spellStart"/>
      <w:r>
        <w:rPr>
          <w:sz w:val="20"/>
          <w:szCs w:val="20"/>
        </w:rPr>
        <w:t>Moorean</w:t>
      </w:r>
      <w:proofErr w:type="spellEnd"/>
      <w:r>
        <w:rPr>
          <w:sz w:val="20"/>
          <w:szCs w:val="20"/>
        </w:rPr>
        <w:t xml:space="preserve"> infelicity. We leave this for future work. </w:t>
      </w:r>
    </w:p>
  </w:footnote>
  <w:footnote w:id="7">
    <w:p w14:paraId="7D76917B" w14:textId="77777777" w:rsidR="003A3EA7" w:rsidRDefault="00000000">
      <w:pPr>
        <w:rPr>
          <w:sz w:val="20"/>
          <w:szCs w:val="20"/>
        </w:rPr>
      </w:pPr>
      <w:r w:rsidRPr="00515B0A">
        <w:rPr>
          <w:rStyle w:val="Fotnotsreferens"/>
        </w:rPr>
        <w:footnoteRef/>
      </w:r>
      <w:r>
        <w:rPr>
          <w:sz w:val="20"/>
          <w:szCs w:val="20"/>
        </w:rPr>
        <w:t xml:space="preserve"> One may wonder why we didn’t directly compare the acceptability of sentences like (6) and Moore paradoxes. The reason is that, by doing so, we could perhaps find evidence of a difference in their acceptability, but if we did not find such evidence, we could not conclude that sentences like (6) and Moore paradoxes are alike. To assess the (potential) similarities of these two types of sentences, we chose to compare </w:t>
      </w:r>
      <w:proofErr w:type="gramStart"/>
      <w:r>
        <w:rPr>
          <w:sz w:val="20"/>
          <w:szCs w:val="20"/>
        </w:rPr>
        <w:t>both of them</w:t>
      </w:r>
      <w:proofErr w:type="gramEnd"/>
      <w:r>
        <w:rPr>
          <w:sz w:val="20"/>
          <w:szCs w:val="20"/>
        </w:rPr>
        <w:t xml:space="preserve"> to their 3rd-personal counterparts, which are expected to be acceptable. </w:t>
      </w:r>
    </w:p>
  </w:footnote>
  <w:footnote w:id="8">
    <w:p w14:paraId="48B82853" w14:textId="77777777" w:rsidR="003A3EA7" w:rsidRDefault="00000000">
      <w:pPr>
        <w:rPr>
          <w:sz w:val="20"/>
          <w:szCs w:val="20"/>
        </w:rPr>
      </w:pPr>
      <w:r w:rsidRPr="00515B0A">
        <w:rPr>
          <w:rStyle w:val="Fotnotsreferens"/>
        </w:rPr>
        <w:footnoteRef/>
      </w:r>
      <w:r>
        <w:rPr>
          <w:sz w:val="20"/>
          <w:szCs w:val="20"/>
        </w:rPr>
        <w:t xml:space="preserve"> Design, predictions, and statistical models were pre-registered anonymously with the Open Science Framework and can be accessed at: </w:t>
      </w:r>
      <w:hyperlink r:id="rId11">
        <w:r>
          <w:rPr>
            <w:color w:val="1155CC"/>
            <w:sz w:val="20"/>
            <w:szCs w:val="20"/>
            <w:u w:val="single"/>
          </w:rPr>
          <w:t>https://osf.io/328z6/?view_only=a76d275dfc884e55bb5d3074115036b2</w:t>
        </w:r>
      </w:hyperlink>
      <w:r>
        <w:rPr>
          <w:sz w:val="20"/>
          <w:szCs w:val="20"/>
        </w:rPr>
        <w:t>.</w:t>
      </w:r>
    </w:p>
    <w:p w14:paraId="5BEFCFBE" w14:textId="77777777" w:rsidR="003A3EA7" w:rsidRDefault="003A3EA7">
      <w:pPr>
        <w:rPr>
          <w:sz w:val="20"/>
          <w:szCs w:val="20"/>
        </w:rPr>
      </w:pPr>
    </w:p>
  </w:footnote>
  <w:footnote w:id="9">
    <w:p w14:paraId="1A0192D4" w14:textId="77777777" w:rsidR="003A3EA7" w:rsidRDefault="00000000">
      <w:pPr>
        <w:rPr>
          <w:sz w:val="20"/>
          <w:szCs w:val="20"/>
        </w:rPr>
      </w:pPr>
      <w:r w:rsidRPr="00515B0A">
        <w:rPr>
          <w:rStyle w:val="Fotnotsreferens"/>
        </w:rPr>
        <w:footnoteRef/>
      </w:r>
      <w:r>
        <w:rPr>
          <w:sz w:val="20"/>
          <w:szCs w:val="20"/>
        </w:rPr>
        <w:t xml:space="preserve"> All our analyses were carried on in the R environment </w:t>
      </w:r>
      <w:hyperlink r:id="rId12">
        <w:r>
          <w:rPr>
            <w:sz w:val="20"/>
            <w:szCs w:val="20"/>
          </w:rPr>
          <w:t>(R Core Team, 2014)</w:t>
        </w:r>
      </w:hyperlink>
      <w:r>
        <w:rPr>
          <w:sz w:val="20"/>
          <w:szCs w:val="20"/>
        </w:rPr>
        <w:t xml:space="preserve"> using the lme4 software package </w:t>
      </w:r>
    </w:p>
    <w:p w14:paraId="496A8A95" w14:textId="77777777" w:rsidR="003A3EA7" w:rsidRDefault="00000000">
      <w:pPr>
        <w:rPr>
          <w:sz w:val="20"/>
          <w:szCs w:val="20"/>
        </w:rPr>
      </w:pPr>
      <w:hyperlink r:id="rId13">
        <w:r>
          <w:rPr>
            <w:sz w:val="20"/>
            <w:szCs w:val="20"/>
          </w:rPr>
          <w:t>(Bates et al., 2015)</w:t>
        </w:r>
      </w:hyperlink>
    </w:p>
  </w:footnote>
  <w:footnote w:id="10">
    <w:p w14:paraId="17535F7B" w14:textId="77777777" w:rsidR="003A3EA7" w:rsidRDefault="00000000">
      <w:pPr>
        <w:rPr>
          <w:sz w:val="20"/>
          <w:szCs w:val="20"/>
        </w:rPr>
      </w:pPr>
      <w:r w:rsidRPr="00515B0A">
        <w:rPr>
          <w:rStyle w:val="Fotnotsreferens"/>
        </w:rPr>
        <w:footnoteRef/>
      </w:r>
      <w:r>
        <w:rPr>
          <w:sz w:val="20"/>
          <w:szCs w:val="20"/>
        </w:rPr>
        <w:t xml:space="preserve"> Due to lack of convergence, random slopes for act-type had to be removed.</w:t>
      </w:r>
    </w:p>
  </w:footnote>
  <w:footnote w:id="11">
    <w:p w14:paraId="7482B3FE" w14:textId="77777777" w:rsidR="003A3EA7" w:rsidRDefault="00000000">
      <w:pPr>
        <w:rPr>
          <w:sz w:val="20"/>
          <w:szCs w:val="20"/>
        </w:rPr>
      </w:pPr>
      <w:r w:rsidRPr="00515B0A">
        <w:rPr>
          <w:rStyle w:val="Fotnotsreferens"/>
        </w:rPr>
        <w:footnoteRef/>
      </w:r>
      <w:r>
        <w:rPr>
          <w:sz w:val="20"/>
          <w:szCs w:val="20"/>
        </w:rPr>
        <w:t xml:space="preserve"> Design, predictions, and statistical models were pre-registered at: </w:t>
      </w:r>
      <w:hyperlink r:id="rId14">
        <w:r>
          <w:rPr>
            <w:color w:val="1155CC"/>
            <w:sz w:val="20"/>
            <w:szCs w:val="20"/>
            <w:u w:val="single"/>
          </w:rPr>
          <w:t>https://osf.io/6ghvs/?view_only=2bc9c83692b64517b427a9ea6786ab7c</w:t>
        </w:r>
      </w:hyperlink>
      <w:r>
        <w:rPr>
          <w:sz w:val="20"/>
          <w:szCs w:val="20"/>
        </w:rPr>
        <w:t>.</w:t>
      </w:r>
    </w:p>
  </w:footnote>
  <w:footnote w:id="12">
    <w:p w14:paraId="55400DF5" w14:textId="77777777" w:rsidR="003A3EA7" w:rsidRDefault="00000000">
      <w:pPr>
        <w:rPr>
          <w:sz w:val="20"/>
          <w:szCs w:val="20"/>
        </w:rPr>
      </w:pPr>
      <w:r w:rsidRPr="00515B0A">
        <w:rPr>
          <w:rStyle w:val="Fotnotsreferens"/>
        </w:rPr>
        <w:footnoteRef/>
      </w:r>
      <w:r>
        <w:rPr>
          <w:sz w:val="20"/>
          <w:szCs w:val="20"/>
        </w:rPr>
        <w:t xml:space="preserve"> Due to lack of convergence, the model only included by-subject and by-object random intercepts, and random by-subject slopes for Person.</w:t>
      </w:r>
    </w:p>
  </w:footnote>
  <w:footnote w:id="13">
    <w:p w14:paraId="1564656B" w14:textId="77777777" w:rsidR="003A3EA7" w:rsidRDefault="00000000">
      <w:pPr>
        <w:rPr>
          <w:sz w:val="20"/>
          <w:szCs w:val="20"/>
        </w:rPr>
      </w:pPr>
      <w:r w:rsidRPr="00515B0A">
        <w:rPr>
          <w:rStyle w:val="Fotnotsreferens"/>
        </w:rPr>
        <w:footnoteRef/>
      </w:r>
      <w:r>
        <w:rPr>
          <w:sz w:val="20"/>
          <w:szCs w:val="20"/>
        </w:rPr>
        <w:t xml:space="preserve"> Design, predictions, and statistical models were pre-registered at: </w:t>
      </w:r>
      <w:hyperlink r:id="rId15">
        <w:r>
          <w:rPr>
            <w:color w:val="1155CC"/>
            <w:sz w:val="20"/>
            <w:szCs w:val="20"/>
            <w:u w:val="single"/>
          </w:rPr>
          <w:t>https://osf.io/568cz/?view_only=0fe4fcf94eb14f2eb6ac71b7920b147b</w:t>
        </w:r>
      </w:hyperlink>
      <w:r>
        <w:rPr>
          <w:sz w:val="20"/>
          <w:szCs w:val="20"/>
        </w:rPr>
        <w:t>.</w:t>
      </w:r>
    </w:p>
  </w:footnote>
  <w:footnote w:id="14">
    <w:p w14:paraId="4793858C" w14:textId="77777777" w:rsidR="003A3EA7" w:rsidRDefault="00000000">
      <w:pPr>
        <w:rPr>
          <w:sz w:val="20"/>
          <w:szCs w:val="20"/>
        </w:rPr>
      </w:pPr>
      <w:r w:rsidRPr="00515B0A">
        <w:rPr>
          <w:rStyle w:val="Fotnotsreferens"/>
        </w:rPr>
        <w:footnoteRef/>
      </w:r>
      <w:r>
        <w:rPr>
          <w:sz w:val="20"/>
          <w:szCs w:val="20"/>
        </w:rPr>
        <w:t xml:space="preserve"> Due to model convergence, we had to drop the random slopes per attitude, keeping only by-subject random slopes per person.</w:t>
      </w:r>
    </w:p>
  </w:footnote>
  <w:footnote w:id="15">
    <w:p w14:paraId="0177373C" w14:textId="77777777" w:rsidR="003A3EA7" w:rsidRDefault="00000000">
      <w:pPr>
        <w:rPr>
          <w:sz w:val="18"/>
          <w:szCs w:val="18"/>
        </w:rPr>
      </w:pPr>
      <w:r w:rsidRPr="00515B0A">
        <w:rPr>
          <w:rStyle w:val="Fotnotsreferens"/>
        </w:rPr>
        <w:footnoteRef/>
      </w:r>
      <w:r>
        <w:rPr>
          <w:sz w:val="20"/>
          <w:szCs w:val="20"/>
        </w:rPr>
        <w:t xml:space="preserve"> Exocentric readings of </w:t>
      </w:r>
      <w:proofErr w:type="spellStart"/>
      <w:r>
        <w:rPr>
          <w:sz w:val="20"/>
          <w:szCs w:val="20"/>
        </w:rPr>
        <w:t>PPTs</w:t>
      </w:r>
      <w:proofErr w:type="spellEnd"/>
      <w:r>
        <w:rPr>
          <w:sz w:val="20"/>
          <w:szCs w:val="20"/>
        </w:rPr>
        <w:t xml:space="preserve"> are described in Stephenson 2007 (‘how’s that new brand of cat food you bought?’ </w:t>
      </w:r>
      <w:proofErr w:type="gramStart"/>
      <w:r>
        <w:rPr>
          <w:sz w:val="20"/>
          <w:szCs w:val="20"/>
        </w:rPr>
        <w:t>–‘</w:t>
      </w:r>
      <w:proofErr w:type="gramEnd"/>
      <w:r>
        <w:rPr>
          <w:sz w:val="20"/>
          <w:szCs w:val="20"/>
        </w:rPr>
        <w:t xml:space="preserve">I think it’s tasty because the cat has eaten a lot of it’, p.498) and </w:t>
      </w:r>
      <w:proofErr w:type="spellStart"/>
      <w:r>
        <w:rPr>
          <w:sz w:val="20"/>
          <w:szCs w:val="20"/>
        </w:rPr>
        <w:t>Lasersohn</w:t>
      </w:r>
      <w:proofErr w:type="spellEnd"/>
      <w:r>
        <w:rPr>
          <w:sz w:val="20"/>
          <w:szCs w:val="20"/>
        </w:rPr>
        <w:t xml:space="preserve"> 2005 (-‘How did Bill like the rides?’ -Bill’s mum: ‘The merry-go-round was fun, but the water slide was a little too scary’, p.672), among others. This type of non-evaluative usage of moral terms has long been observed in metaethics. Ayer </w:t>
      </w:r>
      <w:hyperlink r:id="rId16">
        <w:r>
          <w:rPr>
            <w:sz w:val="20"/>
            <w:szCs w:val="20"/>
          </w:rPr>
          <w:t>(1936, p. 136)</w:t>
        </w:r>
      </w:hyperlink>
      <w:r>
        <w:rPr>
          <w:sz w:val="20"/>
          <w:szCs w:val="20"/>
        </w:rPr>
        <w:t xml:space="preserve"> claimed that moral can terms express normative or purely </w:t>
      </w:r>
      <w:r>
        <w:rPr>
          <w:i/>
          <w:sz w:val="20"/>
          <w:szCs w:val="20"/>
        </w:rPr>
        <w:t>sociological</w:t>
      </w:r>
      <w:r>
        <w:rPr>
          <w:sz w:val="20"/>
          <w:szCs w:val="20"/>
        </w:rPr>
        <w:t xml:space="preserve"> propositions, where the latter describe the practices of a particular society without endorsing them. Similarly, Hare characterized what he called ‘inverted-commas’ uses of evaluative adjectives, where we are ‘not making a value-judgment </w:t>
      </w:r>
      <w:proofErr w:type="gramStart"/>
      <w:r>
        <w:rPr>
          <w:sz w:val="20"/>
          <w:szCs w:val="20"/>
        </w:rPr>
        <w:t>ourselves, but</w:t>
      </w:r>
      <w:proofErr w:type="gramEnd"/>
      <w:r>
        <w:rPr>
          <w:sz w:val="20"/>
          <w:szCs w:val="20"/>
        </w:rPr>
        <w:t xml:space="preserve"> alluding to the value-judgements of other people’ (1952, 124). See discussion in section 4.</w:t>
      </w:r>
    </w:p>
  </w:footnote>
  <w:footnote w:id="16">
    <w:p w14:paraId="558EB770" w14:textId="77777777" w:rsidR="003A3EA7" w:rsidRDefault="00000000">
      <w:pPr>
        <w:rPr>
          <w:sz w:val="20"/>
          <w:szCs w:val="20"/>
        </w:rPr>
      </w:pPr>
      <w:r w:rsidRPr="00515B0A">
        <w:rPr>
          <w:rStyle w:val="Fotnotsreferens"/>
        </w:rPr>
        <w:footnoteRef/>
      </w:r>
      <w:r>
        <w:rPr>
          <w:sz w:val="20"/>
          <w:szCs w:val="20"/>
        </w:rPr>
        <w:t xml:space="preserve"> Design, predictions, and statistical models were pre-registered at: </w:t>
      </w:r>
      <w:hyperlink r:id="rId17">
        <w:r>
          <w:rPr>
            <w:color w:val="1155CC"/>
            <w:sz w:val="20"/>
            <w:szCs w:val="20"/>
            <w:u w:val="single"/>
          </w:rPr>
          <w:t>https://osf.io/u9m76/?view_only=a4a7e92baefb4ced8dcd6841d8a3e934</w:t>
        </w:r>
      </w:hyperlink>
      <w:r>
        <w:rPr>
          <w:sz w:val="20"/>
          <w:szCs w:val="20"/>
        </w:rPr>
        <w:t>.</w:t>
      </w:r>
    </w:p>
  </w:footnote>
  <w:footnote w:id="17">
    <w:p w14:paraId="5F2017D5" w14:textId="77777777" w:rsidR="003A3EA7" w:rsidRDefault="00000000">
      <w:pPr>
        <w:rPr>
          <w:sz w:val="20"/>
          <w:szCs w:val="20"/>
        </w:rPr>
      </w:pPr>
      <w:r w:rsidRPr="00515B0A">
        <w:rPr>
          <w:rStyle w:val="Fotnotsreferens"/>
        </w:rPr>
        <w:footnoteRef/>
      </w:r>
      <w:r>
        <w:rPr>
          <w:sz w:val="20"/>
          <w:szCs w:val="20"/>
        </w:rPr>
        <w:t xml:space="preserve"> Again, due to model convergence, we dropped the random slopes per attitudes, keeping only by-subject random slopes per person.</w:t>
      </w:r>
    </w:p>
  </w:footnote>
  <w:footnote w:id="18">
    <w:p w14:paraId="6D3F2B01" w14:textId="77777777" w:rsidR="003A3EA7" w:rsidRDefault="00000000">
      <w:pPr>
        <w:rPr>
          <w:sz w:val="20"/>
          <w:szCs w:val="20"/>
        </w:rPr>
      </w:pPr>
      <w:r w:rsidRPr="00515B0A">
        <w:rPr>
          <w:rStyle w:val="Fotnotsreferens"/>
        </w:rPr>
        <w:footnoteRef/>
      </w:r>
      <w:r>
        <w:rPr>
          <w:sz w:val="20"/>
          <w:szCs w:val="20"/>
        </w:rPr>
        <w:t xml:space="preserve"> We would especially like to thank Mora Maldonado for invaluable help with the experimental design, programming, and analyses. We are very grateful to Alex </w:t>
      </w:r>
      <w:proofErr w:type="spellStart"/>
      <w:r>
        <w:rPr>
          <w:sz w:val="20"/>
          <w:szCs w:val="20"/>
        </w:rPr>
        <w:t>Dinges</w:t>
      </w:r>
      <w:proofErr w:type="spellEnd"/>
      <w:r>
        <w:rPr>
          <w:sz w:val="20"/>
          <w:szCs w:val="20"/>
        </w:rPr>
        <w:t xml:space="preserve">, Nate Hansen, Guido </w:t>
      </w:r>
      <w:proofErr w:type="spellStart"/>
      <w:r>
        <w:rPr>
          <w:sz w:val="20"/>
          <w:szCs w:val="20"/>
        </w:rPr>
        <w:t>Löhr</w:t>
      </w:r>
      <w:proofErr w:type="spellEnd"/>
      <w:r>
        <w:rPr>
          <w:sz w:val="20"/>
          <w:szCs w:val="20"/>
        </w:rPr>
        <w:t xml:space="preserve">, Emanuel </w:t>
      </w:r>
      <w:proofErr w:type="spellStart"/>
      <w:r>
        <w:rPr>
          <w:sz w:val="20"/>
          <w:szCs w:val="20"/>
        </w:rPr>
        <w:t>Viebahn</w:t>
      </w:r>
      <w:proofErr w:type="spellEnd"/>
      <w:r>
        <w:rPr>
          <w:sz w:val="20"/>
          <w:szCs w:val="20"/>
        </w:rPr>
        <w:t xml:space="preserve">, Julia </w:t>
      </w:r>
      <w:proofErr w:type="spellStart"/>
      <w:r>
        <w:rPr>
          <w:sz w:val="20"/>
          <w:szCs w:val="20"/>
        </w:rPr>
        <w:t>Zakkou</w:t>
      </w:r>
      <w:proofErr w:type="spellEnd"/>
      <w:r>
        <w:rPr>
          <w:sz w:val="20"/>
          <w:szCs w:val="20"/>
        </w:rPr>
        <w:t xml:space="preserve"> and Eduardo Pérez Navarro for comments on earlier drafts of this paper. We are also grateful to audiences at ECAP10, </w:t>
      </w:r>
      <w:proofErr w:type="gramStart"/>
      <w:r>
        <w:rPr>
          <w:sz w:val="20"/>
          <w:szCs w:val="20"/>
        </w:rPr>
        <w:t>The</w:t>
      </w:r>
      <w:proofErr w:type="gramEnd"/>
      <w:r>
        <w:rPr>
          <w:sz w:val="20"/>
          <w:szCs w:val="20"/>
        </w:rPr>
        <w:t xml:space="preserve"> 2021 Value in Language Workshop (Bratislava), and </w:t>
      </w:r>
      <w:proofErr w:type="spellStart"/>
      <w:r>
        <w:rPr>
          <w:sz w:val="20"/>
          <w:szCs w:val="20"/>
        </w:rPr>
        <w:t>IFILNOVA</w:t>
      </w:r>
      <w:proofErr w:type="spellEnd"/>
      <w:r>
        <w:rPr>
          <w:sz w:val="20"/>
          <w:szCs w:val="20"/>
        </w:rPr>
        <w:t xml:space="preserve"> Open Seminar (Lisbon). Andrés Soria-Ruiz acknowledges funding from COST Action CA17132, funded by the Horizon 2020 Framework </w:t>
      </w:r>
      <w:proofErr w:type="spellStart"/>
      <w:r>
        <w:rPr>
          <w:sz w:val="20"/>
          <w:szCs w:val="20"/>
        </w:rPr>
        <w:t>Programme</w:t>
      </w:r>
      <w:proofErr w:type="spellEnd"/>
      <w:r>
        <w:rPr>
          <w:sz w:val="20"/>
          <w:szCs w:val="20"/>
        </w:rPr>
        <w:t xml:space="preserve"> of the European Union. Nils </w:t>
      </w:r>
      <w:proofErr w:type="spellStart"/>
      <w:r>
        <w:rPr>
          <w:sz w:val="20"/>
          <w:szCs w:val="20"/>
        </w:rPr>
        <w:t>Franzén</w:t>
      </w:r>
      <w:proofErr w:type="spellEnd"/>
      <w:r>
        <w:rPr>
          <w:sz w:val="20"/>
          <w:szCs w:val="20"/>
        </w:rPr>
        <w:t xml:space="preserve"> acknowledges funding from the Swedish Research Council, grant number 2019-02905. </w:t>
      </w:r>
    </w:p>
    <w:p w14:paraId="2B61C365" w14:textId="77777777" w:rsidR="003A3EA7" w:rsidRDefault="003A3EA7">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55CD" w14:textId="77777777" w:rsidR="003A3EA7" w:rsidRDefault="003A3E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690"/>
    <w:multiLevelType w:val="multilevel"/>
    <w:tmpl w:val="AEFEC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846B4D"/>
    <w:multiLevelType w:val="multilevel"/>
    <w:tmpl w:val="94004B4A"/>
    <w:lvl w:ilvl="0">
      <w:start w:val="1"/>
      <w:numFmt w:val="lowerLetter"/>
      <w:lvlText w:val="%1)"/>
      <w:lvlJc w:val="left"/>
      <w:pPr>
        <w:ind w:left="2880" w:hanging="360"/>
      </w:pPr>
      <w:rPr>
        <w:rFonts w:ascii="Times New Roman" w:eastAsia="Times New Roman" w:hAnsi="Times New Roman" w:cs="Times New Roman"/>
        <w:b w:val="0"/>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15:restartNumberingAfterBreak="0">
    <w:nsid w:val="3B672B10"/>
    <w:multiLevelType w:val="multilevel"/>
    <w:tmpl w:val="8C66C6AA"/>
    <w:lvl w:ilvl="0">
      <w:start w:val="1"/>
      <w:numFmt w:val="decimal"/>
      <w:lvlText w:val="%1."/>
      <w:lvlJc w:val="left"/>
      <w:pPr>
        <w:ind w:left="2880" w:hanging="360"/>
      </w:pPr>
      <w:rPr>
        <w:u w:val="none"/>
      </w:rPr>
    </w:lvl>
    <w:lvl w:ilvl="1">
      <w:start w:val="1"/>
      <w:numFmt w:val="lowerLetter"/>
      <w:lvlText w:val="%2."/>
      <w:lvlJc w:val="left"/>
      <w:pPr>
        <w:ind w:left="3600" w:hanging="2171"/>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65372F35"/>
    <w:multiLevelType w:val="multilevel"/>
    <w:tmpl w:val="98AE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835E81"/>
    <w:multiLevelType w:val="multilevel"/>
    <w:tmpl w:val="95EC2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3800491">
    <w:abstractNumId w:val="1"/>
  </w:num>
  <w:num w:numId="2" w16cid:durableId="305207724">
    <w:abstractNumId w:val="2"/>
  </w:num>
  <w:num w:numId="3" w16cid:durableId="855651518">
    <w:abstractNumId w:val="4"/>
  </w:num>
  <w:num w:numId="4" w16cid:durableId="1140802743">
    <w:abstractNumId w:val="0"/>
  </w:num>
  <w:num w:numId="5" w16cid:durableId="2058120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A7"/>
    <w:rsid w:val="003A3EA7"/>
    <w:rsid w:val="00466445"/>
    <w:rsid w:val="00515B0A"/>
    <w:rsid w:val="00DA6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0DA1D56"/>
  <w15:docId w15:val="{856ABD55-5C9F-A541-837D-A69FE41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v-S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jc w:val="center"/>
      <w:outlineLvl w:val="0"/>
    </w:pPr>
    <w:rPr>
      <w:b/>
      <w:sz w:val="36"/>
      <w:szCs w:val="36"/>
    </w:rPr>
  </w:style>
  <w:style w:type="paragraph" w:styleId="Rubrik2">
    <w:name w:val="heading 2"/>
    <w:basedOn w:val="Normal"/>
    <w:next w:val="Normal"/>
    <w:uiPriority w:val="9"/>
    <w:semiHidden/>
    <w:unhideWhenUsed/>
    <w:qFormat/>
    <w:pPr>
      <w:outlineLvl w:val="1"/>
    </w:pPr>
    <w:rPr>
      <w:b/>
    </w:rPr>
  </w:style>
  <w:style w:type="paragraph" w:styleId="Rubrik3">
    <w:name w:val="heading 3"/>
    <w:basedOn w:val="Normal"/>
    <w:next w:val="Normal"/>
    <w:uiPriority w:val="9"/>
    <w:semiHidden/>
    <w:unhideWhenUsed/>
    <w:qFormat/>
    <w:pPr>
      <w:outlineLvl w:val="2"/>
    </w:pPr>
    <w:rPr>
      <w:i/>
    </w:rPr>
  </w:style>
  <w:style w:type="paragraph" w:styleId="Rubrik4">
    <w:name w:val="heading 4"/>
    <w:basedOn w:val="Normal"/>
    <w:next w:val="Normal"/>
    <w:uiPriority w:val="9"/>
    <w:semiHidden/>
    <w:unhideWhenUsed/>
    <w:qFormat/>
    <w:pPr>
      <w:keepNext/>
      <w:jc w:val="center"/>
      <w:outlineLvl w:val="3"/>
    </w:pPr>
    <w:rPr>
      <w:sz w:val="40"/>
      <w:szCs w:val="40"/>
    </w:rPr>
  </w:style>
  <w:style w:type="paragraph" w:styleId="Rubrik5">
    <w:name w:val="heading 5"/>
    <w:basedOn w:val="Normal"/>
    <w:next w:val="Normal"/>
    <w:uiPriority w:val="9"/>
    <w:semiHidden/>
    <w:unhideWhenUsed/>
    <w:qFormat/>
    <w:pPr>
      <w:keepNext/>
      <w:outlineLvl w:val="4"/>
    </w:pPr>
    <w:rPr>
      <w:b/>
      <w:i/>
    </w:rPr>
  </w:style>
  <w:style w:type="paragraph" w:styleId="Rubrik6">
    <w:name w:val="heading 6"/>
    <w:basedOn w:val="Normal"/>
    <w:next w:val="Normal"/>
    <w:uiPriority w:val="9"/>
    <w:semiHidden/>
    <w:unhideWhenUsed/>
    <w:qFormat/>
    <w:pPr>
      <w:keepNext/>
      <w:jc w:val="center"/>
      <w:outlineLvl w:val="5"/>
    </w:pPr>
    <w:rPr>
      <w:i/>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Slutnotsreferens">
    <w:name w:val="endnote reference"/>
    <w:basedOn w:val="Standardstycketeckensnitt"/>
    <w:uiPriority w:val="99"/>
    <w:semiHidden/>
    <w:unhideWhenUsed/>
    <w:rsid w:val="00515B0A"/>
    <w:rPr>
      <w:vertAlign w:val="superscript"/>
    </w:rPr>
  </w:style>
  <w:style w:type="character" w:styleId="Fotnotsreferens">
    <w:name w:val="footnote reference"/>
    <w:basedOn w:val="Standardstycketeckensnitt"/>
    <w:uiPriority w:val="99"/>
    <w:semiHidden/>
    <w:unhideWhenUsed/>
    <w:rsid w:val="00515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luOpH9" TargetMode="External"/><Relationship Id="rId21" Type="http://schemas.openxmlformats.org/officeDocument/2006/relationships/hyperlink" Target="https://www.zotero.org/google-docs/?t56qu1" TargetMode="External"/><Relationship Id="rId34" Type="http://schemas.openxmlformats.org/officeDocument/2006/relationships/image" Target="media/image1.png"/><Relationship Id="rId42" Type="http://schemas.openxmlformats.org/officeDocument/2006/relationships/hyperlink" Target="https://www.zotero.org/google-docs/?u6LqsO" TargetMode="External"/><Relationship Id="rId47" Type="http://schemas.openxmlformats.org/officeDocument/2006/relationships/hyperlink" Target="https://www.zotero.org/google-docs/?u6LqsO" TargetMode="External"/><Relationship Id="rId50" Type="http://schemas.openxmlformats.org/officeDocument/2006/relationships/hyperlink" Target="https://www.zotero.org/google-docs/?u6LqsO" TargetMode="External"/><Relationship Id="rId55" Type="http://schemas.openxmlformats.org/officeDocument/2006/relationships/hyperlink" Target="https://www.zotero.org/google-docs/?u6LqsO" TargetMode="External"/><Relationship Id="rId63" Type="http://schemas.openxmlformats.org/officeDocument/2006/relationships/hyperlink" Target="https://www.zotero.org/google-docs/?u6LqsO"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zotero.org/google-docs/?FiuRli" TargetMode="External"/><Relationship Id="rId29" Type="http://schemas.openxmlformats.org/officeDocument/2006/relationships/hyperlink" Target="https://www.zotero.org/google-docs/?9HT2hK" TargetMode="External"/><Relationship Id="rId11" Type="http://schemas.openxmlformats.org/officeDocument/2006/relationships/hyperlink" Target="https://www.zotero.org/google-docs/?V80i4n" TargetMode="External"/><Relationship Id="rId24" Type="http://schemas.openxmlformats.org/officeDocument/2006/relationships/hyperlink" Target="https://www.zotero.org/google-docs/?P6F3v9" TargetMode="External"/><Relationship Id="rId32" Type="http://schemas.openxmlformats.org/officeDocument/2006/relationships/hyperlink" Target="https://www.zotero.org/google-docs/?bziA57" TargetMode="External"/><Relationship Id="rId37" Type="http://schemas.openxmlformats.org/officeDocument/2006/relationships/hyperlink" Target="https://www.zotero.org/google-docs/?bAfvf6" TargetMode="External"/><Relationship Id="rId40" Type="http://schemas.openxmlformats.org/officeDocument/2006/relationships/hyperlink" Target="https://www.zotero.org/google-docs/?u6LqsO" TargetMode="External"/><Relationship Id="rId45" Type="http://schemas.openxmlformats.org/officeDocument/2006/relationships/hyperlink" Target="https://www.zotero.org/google-docs/?u6LqsO" TargetMode="External"/><Relationship Id="rId53" Type="http://schemas.openxmlformats.org/officeDocument/2006/relationships/hyperlink" Target="https://www.zotero.org/google-docs/?u6LqsO" TargetMode="External"/><Relationship Id="rId58" Type="http://schemas.openxmlformats.org/officeDocument/2006/relationships/hyperlink" Target="https://www.zotero.org/google-docs/?u6LqsO"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zotero.org/google-docs/?u6LqsO" TargetMode="External"/><Relationship Id="rId19" Type="http://schemas.openxmlformats.org/officeDocument/2006/relationships/hyperlink" Target="https://www.zotero.org/google-docs/?lAvYph" TargetMode="External"/><Relationship Id="rId14" Type="http://schemas.openxmlformats.org/officeDocument/2006/relationships/hyperlink" Target="https://www.zotero.org/google-docs/?g4tKvc" TargetMode="External"/><Relationship Id="rId22" Type="http://schemas.openxmlformats.org/officeDocument/2006/relationships/hyperlink" Target="https://www.zotero.org/google-docs/?t56qu1" TargetMode="External"/><Relationship Id="rId27" Type="http://schemas.openxmlformats.org/officeDocument/2006/relationships/hyperlink" Target="https://www.zotero.org/google-docs/?luOpH9" TargetMode="External"/><Relationship Id="rId30" Type="http://schemas.openxmlformats.org/officeDocument/2006/relationships/hyperlink" Target="https://www.zotero.org/google-docs/?9HT2hK" TargetMode="External"/><Relationship Id="rId35" Type="http://schemas.openxmlformats.org/officeDocument/2006/relationships/image" Target="media/image2.png"/><Relationship Id="rId43" Type="http://schemas.openxmlformats.org/officeDocument/2006/relationships/hyperlink" Target="https://www.zotero.org/google-docs/?u6LqsO" TargetMode="External"/><Relationship Id="rId48" Type="http://schemas.openxmlformats.org/officeDocument/2006/relationships/hyperlink" Target="https://www.zotero.org/google-docs/?u6LqsO" TargetMode="External"/><Relationship Id="rId56" Type="http://schemas.openxmlformats.org/officeDocument/2006/relationships/hyperlink" Target="https://www.zotero.org/google-docs/?u6LqsO" TargetMode="External"/><Relationship Id="rId64" Type="http://schemas.openxmlformats.org/officeDocument/2006/relationships/hyperlink" Target="https://www.zotero.org/google-docs/?u6LqsO" TargetMode="External"/><Relationship Id="rId8" Type="http://schemas.openxmlformats.org/officeDocument/2006/relationships/footer" Target="footer1.xml"/><Relationship Id="rId51" Type="http://schemas.openxmlformats.org/officeDocument/2006/relationships/hyperlink" Target="https://www.zotero.org/google-docs/?u6LqsO" TargetMode="External"/><Relationship Id="rId3" Type="http://schemas.openxmlformats.org/officeDocument/2006/relationships/settings" Target="settings.xml"/><Relationship Id="rId12" Type="http://schemas.openxmlformats.org/officeDocument/2006/relationships/hyperlink" Target="https://www.zotero.org/google-docs/?sNxfjI" TargetMode="External"/><Relationship Id="rId17" Type="http://schemas.openxmlformats.org/officeDocument/2006/relationships/hyperlink" Target="https://www.zotero.org/google-docs/?FiuRli" TargetMode="External"/><Relationship Id="rId25" Type="http://schemas.openxmlformats.org/officeDocument/2006/relationships/hyperlink" Target="https://www.zotero.org/google-docs/?luOpH9" TargetMode="External"/><Relationship Id="rId33" Type="http://schemas.openxmlformats.org/officeDocument/2006/relationships/hyperlink" Target="https://farm.pcibex.net/" TargetMode="External"/><Relationship Id="rId38" Type="http://schemas.openxmlformats.org/officeDocument/2006/relationships/hyperlink" Target="https://www.zotero.org/google-docs/?u6LqsO" TargetMode="External"/><Relationship Id="rId46" Type="http://schemas.openxmlformats.org/officeDocument/2006/relationships/hyperlink" Target="https://www.zotero.org/google-docs/?u6LqsO" TargetMode="External"/><Relationship Id="rId59" Type="http://schemas.openxmlformats.org/officeDocument/2006/relationships/hyperlink" Target="https://www.zotero.org/google-docs/?u6LqsO" TargetMode="External"/><Relationship Id="rId67" Type="http://schemas.openxmlformats.org/officeDocument/2006/relationships/theme" Target="theme/theme1.xml"/><Relationship Id="rId20" Type="http://schemas.openxmlformats.org/officeDocument/2006/relationships/hyperlink" Target="https://www.zotero.org/google-docs/?lAvYph" TargetMode="External"/><Relationship Id="rId41" Type="http://schemas.openxmlformats.org/officeDocument/2006/relationships/hyperlink" Target="https://www.zotero.org/google-docs/?u6LqsO" TargetMode="External"/><Relationship Id="rId54" Type="http://schemas.openxmlformats.org/officeDocument/2006/relationships/hyperlink" Target="https://www.zotero.org/google-docs/?u6LqsO" TargetMode="External"/><Relationship Id="rId62" Type="http://schemas.openxmlformats.org/officeDocument/2006/relationships/hyperlink" Target="https://www.zotero.org/google-docs/?u6Lqs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7dVrP1" TargetMode="External"/><Relationship Id="rId23" Type="http://schemas.openxmlformats.org/officeDocument/2006/relationships/hyperlink" Target="https://www.zotero.org/google-docs/?t56qu1" TargetMode="External"/><Relationship Id="rId28" Type="http://schemas.openxmlformats.org/officeDocument/2006/relationships/hyperlink" Target="https://www.zotero.org/google-docs/?9HT2hK" TargetMode="External"/><Relationship Id="rId36" Type="http://schemas.openxmlformats.org/officeDocument/2006/relationships/image" Target="media/image3.png"/><Relationship Id="rId49" Type="http://schemas.openxmlformats.org/officeDocument/2006/relationships/hyperlink" Target="https://www.zotero.org/google-docs/?u6LqsO" TargetMode="External"/><Relationship Id="rId57" Type="http://schemas.openxmlformats.org/officeDocument/2006/relationships/hyperlink" Target="https://www.zotero.org/google-docs/?u6LqsO" TargetMode="External"/><Relationship Id="rId10" Type="http://schemas.openxmlformats.org/officeDocument/2006/relationships/hyperlink" Target="https://www.zotero.org/google-docs/?V80i4n" TargetMode="External"/><Relationship Id="rId31" Type="http://schemas.openxmlformats.org/officeDocument/2006/relationships/hyperlink" Target="https://www.zotero.org/google-docs/?fJUGh8" TargetMode="External"/><Relationship Id="rId44" Type="http://schemas.openxmlformats.org/officeDocument/2006/relationships/hyperlink" Target="https://www.zotero.org/google-docs/?u6LqsO" TargetMode="External"/><Relationship Id="rId52" Type="http://schemas.openxmlformats.org/officeDocument/2006/relationships/hyperlink" Target="https://www.zotero.org/google-docs/?u6LqsO" TargetMode="External"/><Relationship Id="rId60" Type="http://schemas.openxmlformats.org/officeDocument/2006/relationships/hyperlink" Target="https://www.zotero.org/google-docs/?u6LqsO" TargetMode="External"/><Relationship Id="rId65" Type="http://schemas.openxmlformats.org/officeDocument/2006/relationships/hyperlink" Target="https://www.zotero.org/google-docs/?u6LqsO" TargetMode="External"/><Relationship Id="rId4" Type="http://schemas.openxmlformats.org/officeDocument/2006/relationships/webSettings" Target="webSettings.xml"/><Relationship Id="rId9" Type="http://schemas.openxmlformats.org/officeDocument/2006/relationships/hyperlink" Target="https://www.zotero.org/google-docs/?V80i4n" TargetMode="External"/><Relationship Id="rId13" Type="http://schemas.openxmlformats.org/officeDocument/2006/relationships/hyperlink" Target="https://www.zotero.org/google-docs/?wKot73" TargetMode="External"/><Relationship Id="rId18" Type="http://schemas.openxmlformats.org/officeDocument/2006/relationships/hyperlink" Target="https://www.zotero.org/google-docs/?lAvYph" TargetMode="External"/><Relationship Id="rId39" Type="http://schemas.openxmlformats.org/officeDocument/2006/relationships/hyperlink" Target="https://www.zotero.org/google-docs/?u6Lqs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zotero.org/google-docs/?kDCEC3" TargetMode="External"/><Relationship Id="rId13" Type="http://schemas.openxmlformats.org/officeDocument/2006/relationships/hyperlink" Target="https://www.zotero.org/google-docs/?HyjK5B" TargetMode="External"/><Relationship Id="rId3" Type="http://schemas.openxmlformats.org/officeDocument/2006/relationships/hyperlink" Target="https://www.zotero.org/google-docs/?HLBk8r" TargetMode="External"/><Relationship Id="rId7" Type="http://schemas.openxmlformats.org/officeDocument/2006/relationships/hyperlink" Target="https://www.zotero.org/google-docs/?kDCEC3" TargetMode="External"/><Relationship Id="rId12" Type="http://schemas.openxmlformats.org/officeDocument/2006/relationships/hyperlink" Target="https://www.zotero.org/google-docs/?Wop16Z" TargetMode="External"/><Relationship Id="rId17" Type="http://schemas.openxmlformats.org/officeDocument/2006/relationships/hyperlink" Target="https://osf.io/u9m76/?view_only=a4a7e92baefb4ced8dcd6841d8a3e934" TargetMode="External"/><Relationship Id="rId2" Type="http://schemas.openxmlformats.org/officeDocument/2006/relationships/hyperlink" Target="https://www.zotero.org/google-docs/?unnUNP" TargetMode="External"/><Relationship Id="rId16" Type="http://schemas.openxmlformats.org/officeDocument/2006/relationships/hyperlink" Target="https://www.zotero.org/google-docs/?rzz5IT" TargetMode="External"/><Relationship Id="rId1" Type="http://schemas.openxmlformats.org/officeDocument/2006/relationships/hyperlink" Target="https://www.zotero.org/google-docs/?sRqRk4" TargetMode="External"/><Relationship Id="rId6" Type="http://schemas.openxmlformats.org/officeDocument/2006/relationships/hyperlink" Target="https://www.zotero.org/google-docs/?RtkbXR" TargetMode="External"/><Relationship Id="rId11" Type="http://schemas.openxmlformats.org/officeDocument/2006/relationships/hyperlink" Target="https://osf.io/328z6/?view_only=a76d275dfc884e55bb5d3074115036b2" TargetMode="External"/><Relationship Id="rId5" Type="http://schemas.openxmlformats.org/officeDocument/2006/relationships/hyperlink" Target="https://www.zotero.org/google-docs/?HLBk8r" TargetMode="External"/><Relationship Id="rId15" Type="http://schemas.openxmlformats.org/officeDocument/2006/relationships/hyperlink" Target="https://osf.io/568cz/?view_only=0fe4fcf94eb14f2eb6ac71b7920b147b" TargetMode="External"/><Relationship Id="rId10" Type="http://schemas.openxmlformats.org/officeDocument/2006/relationships/hyperlink" Target="https://www.zotero.org/google-docs/?fv8JNT" TargetMode="External"/><Relationship Id="rId4" Type="http://schemas.openxmlformats.org/officeDocument/2006/relationships/hyperlink" Target="https://www.zotero.org/google-docs/?HLBk8r" TargetMode="External"/><Relationship Id="rId9" Type="http://schemas.openxmlformats.org/officeDocument/2006/relationships/hyperlink" Target="https://www.zotero.org/google-docs/?kDCEC3" TargetMode="External"/><Relationship Id="rId14" Type="http://schemas.openxmlformats.org/officeDocument/2006/relationships/hyperlink" Target="https://osf.io/6ghvs/?view_only=2bc9c83692b64517b427a9ea6786ab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8714</Words>
  <Characters>47841</Characters>
  <Application>Microsoft Office Word</Application>
  <DocSecurity>0</DocSecurity>
  <Lines>797</Lines>
  <Paragraphs>189</Paragraphs>
  <ScaleCrop>false</ScaleCrop>
  <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Nils Franzén</cp:lastModifiedBy>
  <cp:revision>2</cp:revision>
  <dcterms:created xsi:type="dcterms:W3CDTF">2023-01-29T11:16:00Z</dcterms:created>
  <dcterms:modified xsi:type="dcterms:W3CDTF">2023-01-29T11:16:00Z</dcterms:modified>
</cp:coreProperties>
</file>