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CC7" w:rsidRPr="00A53D31" w:rsidRDefault="00F70CC7" w:rsidP="00F70CC7">
      <w:pPr>
        <w:jc w:val="center"/>
        <w:rPr>
          <w:sz w:val="22"/>
        </w:rPr>
      </w:pPr>
      <w:r w:rsidRPr="00A53D31">
        <w:rPr>
          <w:sz w:val="22"/>
        </w:rPr>
        <w:t>Freedom, Knowledge and Affection: Reply to Hogan</w:t>
      </w:r>
    </w:p>
    <w:p w:rsidR="00F70CC7" w:rsidRPr="00414CDA" w:rsidRDefault="00F70CC7" w:rsidP="00F70CC7">
      <w:pPr>
        <w:jc w:val="center"/>
        <w:rPr>
          <w:sz w:val="22"/>
        </w:rPr>
      </w:pPr>
    </w:p>
    <w:p w:rsidR="007E507A" w:rsidRPr="00414CDA" w:rsidRDefault="007E507A" w:rsidP="007B5B3D">
      <w:pPr>
        <w:rPr>
          <w:b/>
          <w:sz w:val="22"/>
        </w:rPr>
      </w:pPr>
    </w:p>
    <w:p w:rsidR="000D3DAA" w:rsidRDefault="00C04378" w:rsidP="000D3DAA">
      <w:pPr>
        <w:spacing w:after="240" w:line="480" w:lineRule="auto"/>
        <w:rPr>
          <w:sz w:val="22"/>
        </w:rPr>
      </w:pPr>
      <w:r>
        <w:rPr>
          <w:sz w:val="22"/>
        </w:rPr>
        <w:t>In a recent</w:t>
      </w:r>
      <w:r w:rsidR="00827278">
        <w:rPr>
          <w:sz w:val="22"/>
        </w:rPr>
        <w:t xml:space="preserve"> paper</w:t>
      </w:r>
      <w:r w:rsidR="0085747B">
        <w:rPr>
          <w:sz w:val="22"/>
        </w:rPr>
        <w:t xml:space="preserve"> (2009b)</w:t>
      </w:r>
      <w:r w:rsidR="00F70CC7" w:rsidRPr="00414CDA">
        <w:rPr>
          <w:sz w:val="22"/>
        </w:rPr>
        <w:t xml:space="preserve">, Desmond Hogan presents an innovative and thought-provoking solution to one of the oldest and most challenging problems in Kant’s philosophy, the problem of </w:t>
      </w:r>
      <w:proofErr w:type="spellStart"/>
      <w:r w:rsidR="00F70CC7" w:rsidRPr="00414CDA">
        <w:rPr>
          <w:sz w:val="22"/>
        </w:rPr>
        <w:t>Noumenal</w:t>
      </w:r>
      <w:proofErr w:type="spellEnd"/>
      <w:r w:rsidR="00F70CC7" w:rsidRPr="00414CDA">
        <w:rPr>
          <w:sz w:val="22"/>
        </w:rPr>
        <w:t xml:space="preserve"> Affection.   First, I will briefly explain what the problem is.  Then I will explore Hogan’s proposed solution, and explain why </w:t>
      </w:r>
      <w:r w:rsidR="003C19C6" w:rsidRPr="00414CDA">
        <w:rPr>
          <w:sz w:val="22"/>
        </w:rPr>
        <w:t xml:space="preserve">it </w:t>
      </w:r>
      <w:r w:rsidR="00414CDA" w:rsidRPr="00414CDA">
        <w:rPr>
          <w:sz w:val="22"/>
        </w:rPr>
        <w:t>does not</w:t>
      </w:r>
      <w:r w:rsidR="003C19C6" w:rsidRPr="00414CDA">
        <w:rPr>
          <w:sz w:val="22"/>
        </w:rPr>
        <w:t xml:space="preserve"> succeed.</w:t>
      </w:r>
    </w:p>
    <w:p w:rsidR="00F70CC7" w:rsidRPr="00414CDA" w:rsidRDefault="0008314D" w:rsidP="000D3DAA">
      <w:pPr>
        <w:spacing w:after="240" w:line="480" w:lineRule="auto"/>
        <w:rPr>
          <w:sz w:val="22"/>
        </w:rPr>
      </w:pPr>
      <w:r>
        <w:rPr>
          <w:sz w:val="22"/>
        </w:rPr>
        <w:t>Abundant textual evidence supports attributing to Kant these</w:t>
      </w:r>
      <w:r w:rsidR="00E43798">
        <w:rPr>
          <w:sz w:val="22"/>
        </w:rPr>
        <w:t xml:space="preserve"> </w:t>
      </w:r>
      <w:r w:rsidR="00F70CC7" w:rsidRPr="00414CDA">
        <w:rPr>
          <w:sz w:val="22"/>
        </w:rPr>
        <w:t>two claims:</w:t>
      </w:r>
    </w:p>
    <w:p w:rsidR="000D3DAA" w:rsidRDefault="007E507A" w:rsidP="000D3DAA">
      <w:pPr>
        <w:spacing w:line="480" w:lineRule="auto"/>
        <w:ind w:left="720"/>
        <w:rPr>
          <w:i/>
          <w:sz w:val="22"/>
        </w:rPr>
      </w:pPr>
      <w:proofErr w:type="spellStart"/>
      <w:r w:rsidRPr="00414CDA">
        <w:rPr>
          <w:i/>
          <w:sz w:val="22"/>
        </w:rPr>
        <w:t>Noumenal</w:t>
      </w:r>
      <w:proofErr w:type="spellEnd"/>
      <w:r w:rsidRPr="00414CDA">
        <w:rPr>
          <w:i/>
          <w:sz w:val="22"/>
        </w:rPr>
        <w:t xml:space="preserve"> Ignorance</w:t>
      </w:r>
    </w:p>
    <w:p w:rsidR="00F70CC7" w:rsidRPr="00414CDA" w:rsidRDefault="00414CDA" w:rsidP="000D3DAA">
      <w:pPr>
        <w:spacing w:line="480" w:lineRule="auto"/>
        <w:ind w:left="720"/>
        <w:rPr>
          <w:sz w:val="22"/>
        </w:rPr>
      </w:pPr>
      <w:r w:rsidRPr="00414CDA">
        <w:rPr>
          <w:sz w:val="22"/>
        </w:rPr>
        <w:t>H</w:t>
      </w:r>
      <w:r w:rsidR="00F70CC7" w:rsidRPr="00414CDA">
        <w:rPr>
          <w:sz w:val="22"/>
        </w:rPr>
        <w:t xml:space="preserve">uman agents are in principle incapable of having any </w:t>
      </w:r>
      <w:r w:rsidR="00971435">
        <w:rPr>
          <w:sz w:val="22"/>
        </w:rPr>
        <w:t xml:space="preserve">positive, </w:t>
      </w:r>
      <w:r w:rsidR="00F70CC7" w:rsidRPr="00414CDA">
        <w:rPr>
          <w:sz w:val="22"/>
        </w:rPr>
        <w:t xml:space="preserve">substantive (non-analytic) knowledge of things in </w:t>
      </w:r>
      <w:proofErr w:type="gramStart"/>
      <w:r w:rsidR="00F70CC7" w:rsidRPr="00414CDA">
        <w:rPr>
          <w:sz w:val="22"/>
        </w:rPr>
        <w:t>themselves</w:t>
      </w:r>
      <w:proofErr w:type="gramEnd"/>
      <w:r w:rsidR="00F70CC7" w:rsidRPr="00414CDA">
        <w:rPr>
          <w:sz w:val="22"/>
        </w:rPr>
        <w:t xml:space="preserve"> (or ‘</w:t>
      </w:r>
      <w:proofErr w:type="spellStart"/>
      <w:r w:rsidR="00F70CC7" w:rsidRPr="00414CDA">
        <w:rPr>
          <w:sz w:val="22"/>
        </w:rPr>
        <w:t>noumena</w:t>
      </w:r>
      <w:proofErr w:type="spellEnd"/>
      <w:r w:rsidR="00F70CC7" w:rsidRPr="00414CDA">
        <w:rPr>
          <w:sz w:val="22"/>
        </w:rPr>
        <w:t>’).</w:t>
      </w:r>
    </w:p>
    <w:p w:rsidR="000D3DAA" w:rsidRDefault="007E507A" w:rsidP="000D3DAA">
      <w:pPr>
        <w:spacing w:line="480" w:lineRule="auto"/>
        <w:ind w:left="3600" w:hanging="2880"/>
        <w:rPr>
          <w:sz w:val="22"/>
        </w:rPr>
      </w:pPr>
      <w:proofErr w:type="spellStart"/>
      <w:r w:rsidRPr="00414CDA">
        <w:rPr>
          <w:i/>
          <w:sz w:val="22"/>
        </w:rPr>
        <w:t>Noumenal</w:t>
      </w:r>
      <w:proofErr w:type="spellEnd"/>
      <w:r w:rsidRPr="00414CDA">
        <w:rPr>
          <w:i/>
          <w:sz w:val="22"/>
        </w:rPr>
        <w:t xml:space="preserve"> Affection</w:t>
      </w:r>
      <w:r w:rsidR="00F70CC7" w:rsidRPr="00414CDA">
        <w:rPr>
          <w:sz w:val="22"/>
        </w:rPr>
        <w:t xml:space="preserve"> </w:t>
      </w:r>
    </w:p>
    <w:p w:rsidR="007E507A" w:rsidRPr="00414CDA" w:rsidRDefault="00414CDA" w:rsidP="000D3DAA">
      <w:pPr>
        <w:spacing w:line="480" w:lineRule="auto"/>
        <w:ind w:left="3600" w:hanging="2880"/>
        <w:rPr>
          <w:sz w:val="22"/>
        </w:rPr>
      </w:pPr>
      <w:proofErr w:type="gramStart"/>
      <w:r w:rsidRPr="00414CDA">
        <w:rPr>
          <w:sz w:val="22"/>
        </w:rPr>
        <w:t>H</w:t>
      </w:r>
      <w:r w:rsidR="00F70CC7" w:rsidRPr="00414CDA">
        <w:rPr>
          <w:sz w:val="22"/>
        </w:rPr>
        <w:t>uman agents are causally affected by things in themselves</w:t>
      </w:r>
      <w:proofErr w:type="gramEnd"/>
      <w:r w:rsidR="00F70CC7" w:rsidRPr="00414CDA">
        <w:rPr>
          <w:sz w:val="22"/>
        </w:rPr>
        <w:t>.</w:t>
      </w:r>
      <w:r w:rsidR="00971435">
        <w:rPr>
          <w:rStyle w:val="EndnoteReference"/>
          <w:sz w:val="22"/>
        </w:rPr>
        <w:endnoteReference w:id="1"/>
      </w:r>
    </w:p>
    <w:p w:rsidR="000D3DAA" w:rsidRDefault="00F70CC7" w:rsidP="000D3DAA">
      <w:pPr>
        <w:spacing w:before="240" w:line="480" w:lineRule="auto"/>
        <w:rPr>
          <w:sz w:val="22"/>
        </w:rPr>
      </w:pPr>
      <w:r w:rsidRPr="00414CDA">
        <w:rPr>
          <w:sz w:val="22"/>
        </w:rPr>
        <w:t xml:space="preserve">On the face of it, these claims </w:t>
      </w:r>
      <w:r w:rsidR="00414CDA" w:rsidRPr="00414CDA">
        <w:rPr>
          <w:sz w:val="22"/>
        </w:rPr>
        <w:t>are in tension</w:t>
      </w:r>
      <w:r w:rsidRPr="00414CDA">
        <w:rPr>
          <w:sz w:val="22"/>
        </w:rPr>
        <w:t>.  How can Kant claim simultaneously that we are ignorant of things in themselves, and that they causally affect us?  Hogan calls this the ‘Consistency’ problem.</w:t>
      </w:r>
      <w:r w:rsidR="003C19C6" w:rsidRPr="00414CDA">
        <w:rPr>
          <w:sz w:val="22"/>
        </w:rPr>
        <w:t xml:space="preserve"> </w:t>
      </w:r>
    </w:p>
    <w:p w:rsidR="003C19C6" w:rsidRPr="00414CDA" w:rsidRDefault="00C04378" w:rsidP="000D3DAA">
      <w:pPr>
        <w:spacing w:before="240" w:after="240" w:line="480" w:lineRule="auto"/>
        <w:rPr>
          <w:sz w:val="22"/>
        </w:rPr>
      </w:pPr>
      <w:r w:rsidRPr="00414CDA">
        <w:rPr>
          <w:sz w:val="22"/>
        </w:rPr>
        <w:t>As James Van Cleve has pointed out,</w:t>
      </w:r>
      <w:r w:rsidR="00E43798">
        <w:rPr>
          <w:rStyle w:val="EndnoteReference"/>
          <w:sz w:val="22"/>
        </w:rPr>
        <w:endnoteReference w:id="2"/>
      </w:r>
      <w:r w:rsidRPr="00414CDA">
        <w:rPr>
          <w:sz w:val="22"/>
        </w:rPr>
        <w:t xml:space="preserve"> there is no logical inconsistency in claiming that </w:t>
      </w:r>
      <w:r w:rsidRPr="00414CDA">
        <w:rPr>
          <w:i/>
          <w:iCs/>
          <w:sz w:val="22"/>
        </w:rPr>
        <w:t>p</w:t>
      </w:r>
      <w:r w:rsidRPr="00414CDA">
        <w:rPr>
          <w:sz w:val="22"/>
        </w:rPr>
        <w:t xml:space="preserve"> and </w:t>
      </w:r>
      <w:r w:rsidRPr="00414CDA">
        <w:rPr>
          <w:i/>
          <w:iCs/>
          <w:sz w:val="22"/>
        </w:rPr>
        <w:t>I cannot know whether p</w:t>
      </w:r>
      <w:r w:rsidRPr="00414CDA">
        <w:rPr>
          <w:sz w:val="22"/>
        </w:rPr>
        <w:t xml:space="preserve">.  Thus, </w:t>
      </w:r>
      <w:proofErr w:type="spellStart"/>
      <w:r w:rsidRPr="00414CDA">
        <w:rPr>
          <w:sz w:val="22"/>
        </w:rPr>
        <w:t>Noumenal</w:t>
      </w:r>
      <w:proofErr w:type="spellEnd"/>
      <w:r w:rsidRPr="00414CDA">
        <w:rPr>
          <w:sz w:val="22"/>
        </w:rPr>
        <w:t xml:space="preserve"> Affection </w:t>
      </w:r>
      <w:r>
        <w:rPr>
          <w:sz w:val="22"/>
        </w:rPr>
        <w:t>is</w:t>
      </w:r>
      <w:r w:rsidRPr="00414CDA">
        <w:rPr>
          <w:sz w:val="22"/>
        </w:rPr>
        <w:t xml:space="preserve"> not logically inconsistent with </w:t>
      </w:r>
      <w:proofErr w:type="spellStart"/>
      <w:r w:rsidRPr="00414CDA">
        <w:rPr>
          <w:sz w:val="22"/>
        </w:rPr>
        <w:t>Noumenal</w:t>
      </w:r>
      <w:proofErr w:type="spellEnd"/>
      <w:r w:rsidRPr="00414CDA">
        <w:rPr>
          <w:sz w:val="22"/>
        </w:rPr>
        <w:t xml:space="preserve"> Ignorance</w:t>
      </w:r>
      <w:r w:rsidR="00E43798">
        <w:rPr>
          <w:sz w:val="22"/>
        </w:rPr>
        <w:t xml:space="preserve">, if </w:t>
      </w:r>
      <w:proofErr w:type="spellStart"/>
      <w:r w:rsidR="00E43798">
        <w:rPr>
          <w:sz w:val="22"/>
        </w:rPr>
        <w:t>Noumenal</w:t>
      </w:r>
      <w:proofErr w:type="spellEnd"/>
      <w:r w:rsidR="00E43798">
        <w:rPr>
          <w:sz w:val="22"/>
        </w:rPr>
        <w:t xml:space="preserve"> Affection expresses merely a personal conviction on Kant’s part</w:t>
      </w:r>
      <w:r w:rsidRPr="00414CDA">
        <w:rPr>
          <w:sz w:val="22"/>
        </w:rPr>
        <w:t>.</w:t>
      </w:r>
      <w:r>
        <w:rPr>
          <w:sz w:val="22"/>
        </w:rPr>
        <w:t xml:space="preserve">  </w:t>
      </w:r>
      <w:r w:rsidR="00C476B7">
        <w:rPr>
          <w:sz w:val="22"/>
        </w:rPr>
        <w:t xml:space="preserve">However, </w:t>
      </w:r>
      <w:r w:rsidR="003C19C6" w:rsidRPr="00414CDA">
        <w:rPr>
          <w:sz w:val="22"/>
        </w:rPr>
        <w:t>Kant makes another problematic</w:t>
      </w:r>
      <w:r w:rsidR="00C476B7">
        <w:rPr>
          <w:sz w:val="22"/>
        </w:rPr>
        <w:t xml:space="preserve"> claim about </w:t>
      </w:r>
      <w:proofErr w:type="spellStart"/>
      <w:r w:rsidR="00C476B7">
        <w:rPr>
          <w:sz w:val="22"/>
        </w:rPr>
        <w:t>noumenal</w:t>
      </w:r>
      <w:proofErr w:type="spellEnd"/>
      <w:r w:rsidR="00C476B7">
        <w:rPr>
          <w:sz w:val="22"/>
        </w:rPr>
        <w:t xml:space="preserve"> affection:</w:t>
      </w:r>
    </w:p>
    <w:p w:rsidR="00C476B7" w:rsidRDefault="00C04378" w:rsidP="00C476B7">
      <w:pPr>
        <w:spacing w:line="480" w:lineRule="auto"/>
        <w:ind w:left="720"/>
        <w:rPr>
          <w:sz w:val="22"/>
        </w:rPr>
      </w:pPr>
      <w:r>
        <w:rPr>
          <w:i/>
          <w:iCs/>
          <w:sz w:val="22"/>
        </w:rPr>
        <w:t>Indispensability</w:t>
      </w:r>
      <w:r w:rsidR="00414CDA" w:rsidRPr="00414CDA">
        <w:rPr>
          <w:sz w:val="22"/>
        </w:rPr>
        <w:tab/>
      </w:r>
    </w:p>
    <w:p w:rsidR="00414CDA" w:rsidRPr="00414CDA" w:rsidRDefault="00414CDA" w:rsidP="00C476B7">
      <w:pPr>
        <w:spacing w:line="480" w:lineRule="auto"/>
        <w:ind w:left="3600" w:hanging="2880"/>
        <w:rPr>
          <w:sz w:val="22"/>
        </w:rPr>
      </w:pPr>
      <w:r w:rsidRPr="00414CDA">
        <w:rPr>
          <w:sz w:val="22"/>
        </w:rPr>
        <w:t>C</w:t>
      </w:r>
      <w:r w:rsidR="003C19C6" w:rsidRPr="00414CDA">
        <w:rPr>
          <w:sz w:val="22"/>
        </w:rPr>
        <w:t>ausal affection</w:t>
      </w:r>
      <w:r w:rsidRPr="00414CDA">
        <w:rPr>
          <w:sz w:val="22"/>
        </w:rPr>
        <w:t xml:space="preserve"> by things in </w:t>
      </w:r>
      <w:proofErr w:type="gramStart"/>
      <w:r w:rsidRPr="00414CDA">
        <w:rPr>
          <w:sz w:val="22"/>
        </w:rPr>
        <w:t>themselves</w:t>
      </w:r>
      <w:proofErr w:type="gramEnd"/>
      <w:r w:rsidRPr="00414CDA">
        <w:rPr>
          <w:sz w:val="22"/>
        </w:rPr>
        <w:t xml:space="preserve"> is the </w:t>
      </w:r>
      <w:r w:rsidR="003C19C6" w:rsidRPr="00414CDA">
        <w:rPr>
          <w:sz w:val="22"/>
        </w:rPr>
        <w:t>source of the matter of experience.</w:t>
      </w:r>
    </w:p>
    <w:p w:rsidR="00C476B7" w:rsidRDefault="003C19C6" w:rsidP="00C476B7">
      <w:pPr>
        <w:spacing w:before="240" w:after="240" w:line="480" w:lineRule="auto"/>
        <w:rPr>
          <w:sz w:val="22"/>
        </w:rPr>
      </w:pPr>
      <w:r w:rsidRPr="00414CDA">
        <w:rPr>
          <w:sz w:val="22"/>
        </w:rPr>
        <w:t xml:space="preserve">According to this claim, the reason we experience objects as having the material features we do is the manner in which we are affected by things in </w:t>
      </w:r>
      <w:proofErr w:type="gramStart"/>
      <w:r w:rsidRPr="00414CDA">
        <w:rPr>
          <w:sz w:val="22"/>
        </w:rPr>
        <w:t>themselves</w:t>
      </w:r>
      <w:proofErr w:type="gramEnd"/>
      <w:r w:rsidRPr="00414CDA">
        <w:rPr>
          <w:sz w:val="22"/>
        </w:rPr>
        <w:t>.</w:t>
      </w:r>
      <w:r w:rsidR="00E43798">
        <w:rPr>
          <w:rStyle w:val="EndnoteReference"/>
          <w:sz w:val="22"/>
        </w:rPr>
        <w:endnoteReference w:id="3"/>
      </w:r>
      <w:r w:rsidRPr="00414CDA">
        <w:rPr>
          <w:sz w:val="22"/>
        </w:rPr>
        <w:t xml:space="preserve">  </w:t>
      </w:r>
      <w:r w:rsidR="00C04378">
        <w:rPr>
          <w:sz w:val="22"/>
        </w:rPr>
        <w:t xml:space="preserve">Given that Kant </w:t>
      </w:r>
      <w:r w:rsidR="00E43798">
        <w:rPr>
          <w:sz w:val="22"/>
        </w:rPr>
        <w:t>regards</w:t>
      </w:r>
      <w:r w:rsidR="00C04378">
        <w:rPr>
          <w:sz w:val="22"/>
        </w:rPr>
        <w:t xml:space="preserve"> </w:t>
      </w:r>
      <w:proofErr w:type="spellStart"/>
      <w:r w:rsidR="00C04378">
        <w:rPr>
          <w:sz w:val="22"/>
        </w:rPr>
        <w:t>Noumenal</w:t>
      </w:r>
      <w:proofErr w:type="spellEnd"/>
      <w:r w:rsidR="00C04378">
        <w:rPr>
          <w:sz w:val="22"/>
        </w:rPr>
        <w:t xml:space="preserve"> Affection as indispensable for experience, it seems implausible that it merely expresses a personal conviction on his part.  What justifies Kant in claiming that </w:t>
      </w:r>
      <w:proofErr w:type="spellStart"/>
      <w:r w:rsidRPr="00414CDA">
        <w:rPr>
          <w:sz w:val="22"/>
        </w:rPr>
        <w:t>noumenal</w:t>
      </w:r>
      <w:proofErr w:type="spellEnd"/>
      <w:r w:rsidRPr="00414CDA">
        <w:rPr>
          <w:sz w:val="22"/>
        </w:rPr>
        <w:t xml:space="preserve"> affection is indispensable to experience in this way?  Hogan calls this the ‘Indispensability’ problem.</w:t>
      </w:r>
    </w:p>
    <w:p w:rsidR="00C476B7" w:rsidRDefault="00C04378" w:rsidP="00C476B7">
      <w:pPr>
        <w:spacing w:before="240" w:after="240" w:line="480" w:lineRule="auto"/>
        <w:rPr>
          <w:sz w:val="22"/>
        </w:rPr>
      </w:pPr>
      <w:r>
        <w:rPr>
          <w:sz w:val="22"/>
        </w:rPr>
        <w:t xml:space="preserve">Hogan reviews several other strategies for resolving this conflict and rejects them.  In their place he offers </w:t>
      </w:r>
      <w:r w:rsidR="00215C34" w:rsidRPr="00414CDA">
        <w:rPr>
          <w:sz w:val="22"/>
        </w:rPr>
        <w:t>t</w:t>
      </w:r>
      <w:r>
        <w:rPr>
          <w:sz w:val="22"/>
        </w:rPr>
        <w:t xml:space="preserve">he ‘Indispensability’ argument.  This is </w:t>
      </w:r>
      <w:r w:rsidR="00215C34" w:rsidRPr="00414CDA">
        <w:rPr>
          <w:sz w:val="22"/>
        </w:rPr>
        <w:t xml:space="preserve">a logically valid argument </w:t>
      </w:r>
      <w:r>
        <w:rPr>
          <w:sz w:val="22"/>
        </w:rPr>
        <w:t xml:space="preserve">whose conclusion is </w:t>
      </w:r>
      <w:proofErr w:type="spellStart"/>
      <w:r w:rsidR="00215C34" w:rsidRPr="00414CDA">
        <w:rPr>
          <w:sz w:val="22"/>
        </w:rPr>
        <w:t>Noumenal</w:t>
      </w:r>
      <w:proofErr w:type="spellEnd"/>
      <w:r w:rsidR="00215C34" w:rsidRPr="00414CDA">
        <w:rPr>
          <w:sz w:val="22"/>
        </w:rPr>
        <w:t xml:space="preserve"> Affection</w:t>
      </w:r>
      <w:r w:rsidR="0015029A">
        <w:rPr>
          <w:sz w:val="22"/>
        </w:rPr>
        <w:t xml:space="preserve"> and which shows that </w:t>
      </w:r>
      <w:proofErr w:type="spellStart"/>
      <w:r w:rsidR="0015029A">
        <w:rPr>
          <w:sz w:val="22"/>
        </w:rPr>
        <w:t>Noumenal</w:t>
      </w:r>
      <w:proofErr w:type="spellEnd"/>
      <w:r w:rsidR="0015029A">
        <w:rPr>
          <w:sz w:val="22"/>
        </w:rPr>
        <w:t xml:space="preserve"> Affection is a necessary condition on some empirical knowledge</w:t>
      </w:r>
      <w:r w:rsidR="00827278">
        <w:rPr>
          <w:sz w:val="22"/>
        </w:rPr>
        <w:t xml:space="preserve"> (knowledge justified by experience)</w:t>
      </w:r>
      <w:r w:rsidR="0015029A">
        <w:rPr>
          <w:sz w:val="22"/>
        </w:rPr>
        <w:t xml:space="preserve"> possessed by rational human agents</w:t>
      </w:r>
      <w:r w:rsidR="00215C34" w:rsidRPr="00414CDA">
        <w:rPr>
          <w:sz w:val="22"/>
        </w:rPr>
        <w:t xml:space="preserve">. </w:t>
      </w:r>
      <w:r>
        <w:rPr>
          <w:sz w:val="22"/>
        </w:rPr>
        <w:t xml:space="preserve"> </w:t>
      </w:r>
      <w:r w:rsidR="00E11896">
        <w:rPr>
          <w:sz w:val="22"/>
        </w:rPr>
        <w:t xml:space="preserve"> </w:t>
      </w:r>
      <w:r w:rsidR="00215C34" w:rsidRPr="00414CDA">
        <w:rPr>
          <w:sz w:val="22"/>
        </w:rPr>
        <w:t>He solves the Consi</w:t>
      </w:r>
      <w:r>
        <w:rPr>
          <w:sz w:val="22"/>
        </w:rPr>
        <w:t xml:space="preserve">stency problem by arguing that </w:t>
      </w:r>
      <w:proofErr w:type="spellStart"/>
      <w:r w:rsidR="00215C34" w:rsidRPr="00414CDA">
        <w:rPr>
          <w:sz w:val="22"/>
        </w:rPr>
        <w:t>Noumenal</w:t>
      </w:r>
      <w:proofErr w:type="spellEnd"/>
      <w:r w:rsidR="00215C34" w:rsidRPr="00414CDA">
        <w:rPr>
          <w:sz w:val="22"/>
        </w:rPr>
        <w:t xml:space="preserve"> Ignorance expresses Kant’s reasons for holding a key premise in the Indispensability</w:t>
      </w:r>
      <w:r>
        <w:rPr>
          <w:sz w:val="22"/>
        </w:rPr>
        <w:t xml:space="preserve"> argument</w:t>
      </w:r>
      <w:r w:rsidR="00215C34" w:rsidRPr="00414CDA">
        <w:rPr>
          <w:sz w:val="22"/>
        </w:rPr>
        <w:t>.</w:t>
      </w:r>
      <w:r>
        <w:rPr>
          <w:sz w:val="22"/>
        </w:rPr>
        <w:t xml:space="preserve">  Far from being inconsistent with </w:t>
      </w:r>
      <w:proofErr w:type="spellStart"/>
      <w:r>
        <w:rPr>
          <w:sz w:val="22"/>
        </w:rPr>
        <w:t>Noumenal</w:t>
      </w:r>
      <w:proofErr w:type="spellEnd"/>
      <w:r>
        <w:rPr>
          <w:sz w:val="22"/>
        </w:rPr>
        <w:t xml:space="preserve"> Affection, </w:t>
      </w:r>
      <w:proofErr w:type="spellStart"/>
      <w:r>
        <w:rPr>
          <w:sz w:val="22"/>
        </w:rPr>
        <w:t>Noumenal</w:t>
      </w:r>
      <w:proofErr w:type="spellEnd"/>
      <w:r>
        <w:rPr>
          <w:sz w:val="22"/>
        </w:rPr>
        <w:t xml:space="preserve"> Ignorance in fact constitu</w:t>
      </w:r>
      <w:r w:rsidR="00827278">
        <w:rPr>
          <w:sz w:val="22"/>
        </w:rPr>
        <w:t>t</w:t>
      </w:r>
      <w:r>
        <w:rPr>
          <w:sz w:val="22"/>
        </w:rPr>
        <w:t xml:space="preserve">es a key reason Kant accepted that doctrine.  Similarly, </w:t>
      </w:r>
      <w:proofErr w:type="spellStart"/>
      <w:r>
        <w:rPr>
          <w:sz w:val="22"/>
        </w:rPr>
        <w:t>Noumenal</w:t>
      </w:r>
      <w:proofErr w:type="spellEnd"/>
      <w:r>
        <w:rPr>
          <w:sz w:val="22"/>
        </w:rPr>
        <w:t xml:space="preserve"> </w:t>
      </w:r>
      <w:r w:rsidR="00E43798">
        <w:rPr>
          <w:sz w:val="22"/>
        </w:rPr>
        <w:t>Ignorance</w:t>
      </w:r>
      <w:r>
        <w:rPr>
          <w:sz w:val="22"/>
        </w:rPr>
        <w:t xml:space="preserve"> is not inconsistent with the Indispensability thesis, because it supports a key premise in the argument that </w:t>
      </w:r>
      <w:proofErr w:type="spellStart"/>
      <w:r>
        <w:rPr>
          <w:sz w:val="22"/>
        </w:rPr>
        <w:t>Noumenal</w:t>
      </w:r>
      <w:proofErr w:type="spellEnd"/>
      <w:r>
        <w:rPr>
          <w:sz w:val="22"/>
        </w:rPr>
        <w:t xml:space="preserve"> Affection is indispensable for experience.</w:t>
      </w:r>
    </w:p>
    <w:p w:rsidR="00215C34" w:rsidRPr="00414CDA" w:rsidRDefault="00010428" w:rsidP="00C476B7">
      <w:pPr>
        <w:spacing w:before="240" w:after="240" w:line="480" w:lineRule="auto"/>
        <w:rPr>
          <w:sz w:val="22"/>
        </w:rPr>
      </w:pPr>
      <w:r w:rsidRPr="00414CDA">
        <w:rPr>
          <w:sz w:val="22"/>
        </w:rPr>
        <w:t xml:space="preserve">Hogan’s </w:t>
      </w:r>
      <w:r w:rsidR="00215C34" w:rsidRPr="00414CDA">
        <w:rPr>
          <w:sz w:val="22"/>
        </w:rPr>
        <w:t xml:space="preserve">Indispensability argument for </w:t>
      </w:r>
      <w:proofErr w:type="spellStart"/>
      <w:r w:rsidR="00215C34" w:rsidRPr="00414CDA">
        <w:rPr>
          <w:sz w:val="22"/>
        </w:rPr>
        <w:t>Noumenal</w:t>
      </w:r>
      <w:proofErr w:type="spellEnd"/>
      <w:r w:rsidR="00215C34" w:rsidRPr="00414CDA">
        <w:rPr>
          <w:sz w:val="22"/>
        </w:rPr>
        <w:t xml:space="preserve"> Affection is</w:t>
      </w:r>
      <w:r w:rsidR="00C476B7">
        <w:rPr>
          <w:sz w:val="22"/>
        </w:rPr>
        <w:t>:</w:t>
      </w:r>
    </w:p>
    <w:p w:rsidR="00010428" w:rsidRPr="00414CDA" w:rsidRDefault="00051D03" w:rsidP="00C476B7">
      <w:pPr>
        <w:pStyle w:val="ListParagraph"/>
        <w:numPr>
          <w:ilvl w:val="0"/>
          <w:numId w:val="1"/>
        </w:numPr>
        <w:spacing w:line="480" w:lineRule="auto"/>
        <w:ind w:left="1080" w:hanging="720"/>
        <w:rPr>
          <w:sz w:val="22"/>
        </w:rPr>
      </w:pPr>
      <w:r w:rsidRPr="00414CDA">
        <w:rPr>
          <w:sz w:val="22"/>
        </w:rPr>
        <w:t>The actions of rational human agents are the product of a</w:t>
      </w:r>
      <w:r w:rsidR="00215C34" w:rsidRPr="00414CDA">
        <w:rPr>
          <w:sz w:val="22"/>
        </w:rPr>
        <w:t xml:space="preserve"> libertarian power incompatible with necessitation through determining causes (</w:t>
      </w:r>
      <w:r w:rsidR="00215C34" w:rsidRPr="00414CDA">
        <w:rPr>
          <w:i/>
          <w:sz w:val="22"/>
        </w:rPr>
        <w:t>Freedom</w:t>
      </w:r>
      <w:r w:rsidR="00215C34" w:rsidRPr="00414CDA">
        <w:rPr>
          <w:sz w:val="22"/>
        </w:rPr>
        <w:t>), and</w:t>
      </w:r>
    </w:p>
    <w:p w:rsidR="00010428" w:rsidRPr="00414CDA" w:rsidRDefault="00051D03" w:rsidP="00C476B7">
      <w:pPr>
        <w:pStyle w:val="ListParagraph"/>
        <w:numPr>
          <w:ilvl w:val="0"/>
          <w:numId w:val="1"/>
        </w:numPr>
        <w:spacing w:line="480" w:lineRule="auto"/>
        <w:ind w:left="1080" w:hanging="720"/>
        <w:rPr>
          <w:sz w:val="22"/>
        </w:rPr>
      </w:pPr>
      <w:r w:rsidRPr="00414CDA">
        <w:rPr>
          <w:sz w:val="22"/>
        </w:rPr>
        <w:t xml:space="preserve">Rational human agents </w:t>
      </w:r>
      <w:r w:rsidR="00C04378">
        <w:rPr>
          <w:sz w:val="22"/>
        </w:rPr>
        <w:t xml:space="preserve">have </w:t>
      </w:r>
      <w:r w:rsidR="00010428" w:rsidRPr="00414CDA">
        <w:rPr>
          <w:sz w:val="22"/>
        </w:rPr>
        <w:t xml:space="preserve">some empirical knowledge of each others’ actions </w:t>
      </w:r>
      <w:r w:rsidRPr="00414CDA">
        <w:rPr>
          <w:sz w:val="22"/>
        </w:rPr>
        <w:t>and the empirical representations through which they have this knowledge reliably track those actions</w:t>
      </w:r>
      <w:r w:rsidR="00010428" w:rsidRPr="00414CDA">
        <w:rPr>
          <w:sz w:val="22"/>
        </w:rPr>
        <w:t xml:space="preserve"> (</w:t>
      </w:r>
      <w:r w:rsidR="00010428" w:rsidRPr="00414CDA">
        <w:rPr>
          <w:i/>
          <w:sz w:val="22"/>
        </w:rPr>
        <w:t>Knowledge</w:t>
      </w:r>
      <w:r w:rsidR="00010428" w:rsidRPr="00414CDA">
        <w:rPr>
          <w:sz w:val="22"/>
        </w:rPr>
        <w:t xml:space="preserve">), and </w:t>
      </w:r>
    </w:p>
    <w:p w:rsidR="00010428" w:rsidRPr="00414CDA" w:rsidRDefault="00010428" w:rsidP="00C476B7">
      <w:pPr>
        <w:pStyle w:val="ListParagraph"/>
        <w:numPr>
          <w:ilvl w:val="0"/>
          <w:numId w:val="1"/>
        </w:numPr>
        <w:spacing w:line="480" w:lineRule="auto"/>
        <w:ind w:left="1080" w:hanging="720"/>
        <w:rPr>
          <w:sz w:val="22"/>
        </w:rPr>
      </w:pPr>
      <w:r w:rsidRPr="00414CDA">
        <w:rPr>
          <w:sz w:val="22"/>
        </w:rPr>
        <w:t xml:space="preserve">The reliable tracking presupposed by </w:t>
      </w:r>
      <w:r w:rsidRPr="00414CDA">
        <w:rPr>
          <w:i/>
          <w:iCs/>
          <w:sz w:val="22"/>
        </w:rPr>
        <w:t>Knowledge</w:t>
      </w:r>
      <w:r w:rsidRPr="00414CDA">
        <w:rPr>
          <w:sz w:val="22"/>
        </w:rPr>
        <w:t xml:space="preserve"> must rest on (a) </w:t>
      </w:r>
      <w:r w:rsidR="0015029A">
        <w:rPr>
          <w:sz w:val="22"/>
        </w:rPr>
        <w:t>causal affection of agents by other agents’ actions</w:t>
      </w:r>
      <w:r w:rsidRPr="00414CDA">
        <w:rPr>
          <w:sz w:val="22"/>
        </w:rPr>
        <w:t xml:space="preserve"> (</w:t>
      </w:r>
      <w:r w:rsidRPr="00414CDA">
        <w:rPr>
          <w:i/>
          <w:sz w:val="22"/>
        </w:rPr>
        <w:t>Interaction</w:t>
      </w:r>
      <w:r w:rsidRPr="00414CDA">
        <w:rPr>
          <w:sz w:val="22"/>
        </w:rPr>
        <w:t>), or (b) pre-established agreement of representational states of causally isolated subjects (</w:t>
      </w:r>
      <w:proofErr w:type="spellStart"/>
      <w:r w:rsidRPr="00414CDA">
        <w:rPr>
          <w:i/>
          <w:sz w:val="22"/>
        </w:rPr>
        <w:t>Preestablished</w:t>
      </w:r>
      <w:proofErr w:type="spellEnd"/>
      <w:r w:rsidRPr="00414CDA">
        <w:rPr>
          <w:i/>
          <w:sz w:val="22"/>
        </w:rPr>
        <w:t xml:space="preserve"> Harmony</w:t>
      </w:r>
      <w:r w:rsidRPr="00414CDA">
        <w:rPr>
          <w:sz w:val="22"/>
        </w:rPr>
        <w:t>), or (c) suitable higher interventions on the occasion of relevant actions (</w:t>
      </w:r>
      <w:proofErr w:type="spellStart"/>
      <w:r w:rsidRPr="00414CDA">
        <w:rPr>
          <w:i/>
          <w:sz w:val="22"/>
        </w:rPr>
        <w:t>Occasionalism</w:t>
      </w:r>
      <w:proofErr w:type="spellEnd"/>
      <w:r w:rsidRPr="00414CDA">
        <w:rPr>
          <w:sz w:val="22"/>
        </w:rPr>
        <w:t>), or (d) cosmic coincidence.</w:t>
      </w:r>
    </w:p>
    <w:p w:rsidR="00010428" w:rsidRPr="00414CDA" w:rsidRDefault="00010428" w:rsidP="00C476B7">
      <w:pPr>
        <w:pStyle w:val="ListParagraph"/>
        <w:numPr>
          <w:ilvl w:val="0"/>
          <w:numId w:val="1"/>
        </w:numPr>
        <w:spacing w:line="480" w:lineRule="auto"/>
        <w:ind w:left="1080" w:hanging="720"/>
        <w:rPr>
          <w:sz w:val="22"/>
        </w:rPr>
      </w:pPr>
      <w:r w:rsidRPr="00414CDA">
        <w:rPr>
          <w:sz w:val="22"/>
        </w:rPr>
        <w:t xml:space="preserve">The tracking required by </w:t>
      </w:r>
      <w:r w:rsidRPr="00414CDA">
        <w:rPr>
          <w:i/>
          <w:iCs/>
          <w:sz w:val="22"/>
        </w:rPr>
        <w:t>Knowledge</w:t>
      </w:r>
      <w:r w:rsidRPr="00414CDA">
        <w:rPr>
          <w:sz w:val="22"/>
        </w:rPr>
        <w:t xml:space="preserve"> cannot be held to rest on (b) because the acts in question lack determining causes; nor on (c) assuming </w:t>
      </w:r>
      <w:proofErr w:type="spellStart"/>
      <w:r w:rsidRPr="00414CDA">
        <w:rPr>
          <w:sz w:val="22"/>
        </w:rPr>
        <w:t>occasionalism</w:t>
      </w:r>
      <w:proofErr w:type="spellEnd"/>
      <w:r w:rsidRPr="00414CDA">
        <w:rPr>
          <w:sz w:val="22"/>
        </w:rPr>
        <w:t xml:space="preserve"> is rejected; nor on (d), which doesn’t justify the reliability claim.</w:t>
      </w:r>
    </w:p>
    <w:p w:rsidR="00010428" w:rsidRPr="00414CDA" w:rsidRDefault="00010428" w:rsidP="00C476B7">
      <w:pPr>
        <w:pStyle w:val="ListParagraph"/>
        <w:spacing w:line="480" w:lineRule="auto"/>
        <w:rPr>
          <w:sz w:val="22"/>
        </w:rPr>
      </w:pPr>
      <w:r w:rsidRPr="00414CDA">
        <w:rPr>
          <w:sz w:val="22"/>
        </w:rPr>
        <w:sym w:font="Symbol" w:char="F05C"/>
      </w:r>
      <w:r w:rsidRPr="00414CDA">
        <w:rPr>
          <w:sz w:val="22"/>
        </w:rPr>
        <w:t xml:space="preserve"> The tracking presupposed by </w:t>
      </w:r>
      <w:r w:rsidRPr="00414CDA">
        <w:rPr>
          <w:i/>
          <w:iCs/>
          <w:sz w:val="22"/>
        </w:rPr>
        <w:t>Knowledge</w:t>
      </w:r>
      <w:r w:rsidRPr="00414CDA">
        <w:rPr>
          <w:sz w:val="22"/>
        </w:rPr>
        <w:t xml:space="preserve"> must be held to rest on </w:t>
      </w:r>
      <w:r w:rsidR="00051D03" w:rsidRPr="00414CDA">
        <w:rPr>
          <w:sz w:val="22"/>
        </w:rPr>
        <w:t>causal affection of agents by other agent’s actions</w:t>
      </w:r>
      <w:r w:rsidRPr="00414CDA">
        <w:rPr>
          <w:sz w:val="22"/>
        </w:rPr>
        <w:t xml:space="preserve"> (</w:t>
      </w:r>
      <w:r w:rsidRPr="00414CDA">
        <w:rPr>
          <w:i/>
          <w:sz w:val="22"/>
        </w:rPr>
        <w:t>Interaction</w:t>
      </w:r>
      <w:r w:rsidRPr="00414CDA">
        <w:rPr>
          <w:sz w:val="22"/>
        </w:rPr>
        <w:t>).</w:t>
      </w:r>
      <w:r w:rsidR="00051D03" w:rsidRPr="00414CDA">
        <w:rPr>
          <w:rStyle w:val="EndnoteReference"/>
          <w:sz w:val="22"/>
        </w:rPr>
        <w:endnoteReference w:id="4"/>
      </w:r>
    </w:p>
    <w:p w:rsidR="00C476B7" w:rsidRDefault="00010428" w:rsidP="00C476B7">
      <w:pPr>
        <w:spacing w:before="240" w:after="240" w:line="480" w:lineRule="auto"/>
        <w:rPr>
          <w:sz w:val="22"/>
        </w:rPr>
      </w:pPr>
      <w:r w:rsidRPr="00414CDA">
        <w:rPr>
          <w:sz w:val="22"/>
        </w:rPr>
        <w:t xml:space="preserve">Intuitively, the idea behind this argument is that if subjects have empirical knowledge of one another’s actions, their empirical representations of one another’s actions must reliably track those actions, and there must be an explanation of the source of that reliable tracking.  One possible such explanation would be </w:t>
      </w:r>
      <w:proofErr w:type="spellStart"/>
      <w:r w:rsidRPr="00414CDA">
        <w:rPr>
          <w:sz w:val="22"/>
        </w:rPr>
        <w:t>Occasionalism</w:t>
      </w:r>
      <w:proofErr w:type="spellEnd"/>
      <w:r w:rsidRPr="00414CDA">
        <w:rPr>
          <w:sz w:val="22"/>
        </w:rPr>
        <w:t>: God reliably causes representations that accurately represent the actions of o</w:t>
      </w:r>
      <w:r w:rsidR="00C04378">
        <w:rPr>
          <w:sz w:val="22"/>
        </w:rPr>
        <w:t>ther agents.  Another would be Pre-established H</w:t>
      </w:r>
      <w:r w:rsidRPr="00414CDA">
        <w:rPr>
          <w:sz w:val="22"/>
        </w:rPr>
        <w:t xml:space="preserve">armony: God creates the souls and bodies of agents so they develop according to an inner, deterministic laws which produce a reliable match between the actions of agents and the representations of those actions in other agents’ </w:t>
      </w:r>
      <w:r w:rsidR="00C04378">
        <w:rPr>
          <w:sz w:val="22"/>
        </w:rPr>
        <w:t>minds</w:t>
      </w:r>
      <w:r w:rsidRPr="00414CDA">
        <w:rPr>
          <w:sz w:val="22"/>
        </w:rPr>
        <w:t>, even though no causal interaction occurs.  The simplest explanation, of course, would be that a</w:t>
      </w:r>
      <w:r w:rsidR="00500A30">
        <w:rPr>
          <w:sz w:val="22"/>
        </w:rPr>
        <w:t xml:space="preserve">gents causally </w:t>
      </w:r>
      <w:r w:rsidR="007505B9">
        <w:rPr>
          <w:sz w:val="22"/>
        </w:rPr>
        <w:t>influence one another</w:t>
      </w:r>
      <w:r w:rsidR="00500A30">
        <w:rPr>
          <w:sz w:val="22"/>
        </w:rPr>
        <w:t xml:space="preserve"> and this</w:t>
      </w:r>
      <w:r w:rsidRPr="00414CDA">
        <w:rPr>
          <w:sz w:val="22"/>
        </w:rPr>
        <w:t xml:space="preserve"> </w:t>
      </w:r>
      <w:r w:rsidR="007505B9">
        <w:rPr>
          <w:sz w:val="22"/>
        </w:rPr>
        <w:t xml:space="preserve">influence </w:t>
      </w:r>
      <w:r w:rsidRPr="00414CDA">
        <w:rPr>
          <w:sz w:val="22"/>
        </w:rPr>
        <w:t>ground</w:t>
      </w:r>
      <w:r w:rsidR="00500A30">
        <w:rPr>
          <w:sz w:val="22"/>
        </w:rPr>
        <w:t>s</w:t>
      </w:r>
      <w:r w:rsidRPr="00414CDA">
        <w:rPr>
          <w:sz w:val="22"/>
        </w:rPr>
        <w:t xml:space="preserve"> the reliable match between agents’ actions and other agent’s representations of those actions.</w:t>
      </w:r>
      <w:r w:rsidR="00997C7F" w:rsidRPr="00414CDA">
        <w:rPr>
          <w:sz w:val="22"/>
        </w:rPr>
        <w:t xml:space="preserve">  We can re</w:t>
      </w:r>
      <w:r w:rsidR="00E11896">
        <w:rPr>
          <w:sz w:val="22"/>
        </w:rPr>
        <w:t xml:space="preserve">ject </w:t>
      </w:r>
      <w:proofErr w:type="spellStart"/>
      <w:r w:rsidR="00E11896">
        <w:rPr>
          <w:sz w:val="22"/>
        </w:rPr>
        <w:t>O</w:t>
      </w:r>
      <w:r w:rsidR="00C04378">
        <w:rPr>
          <w:sz w:val="22"/>
        </w:rPr>
        <w:t>ccasionalism</w:t>
      </w:r>
      <w:proofErr w:type="spellEnd"/>
      <w:r w:rsidR="00C04378">
        <w:rPr>
          <w:sz w:val="22"/>
        </w:rPr>
        <w:t xml:space="preserve">, because if </w:t>
      </w:r>
      <w:proofErr w:type="spellStart"/>
      <w:r w:rsidR="00C04378">
        <w:rPr>
          <w:sz w:val="22"/>
        </w:rPr>
        <w:t>O</w:t>
      </w:r>
      <w:r w:rsidR="00997C7F" w:rsidRPr="00414CDA">
        <w:rPr>
          <w:sz w:val="22"/>
        </w:rPr>
        <w:t>ccasionalism</w:t>
      </w:r>
      <w:proofErr w:type="spellEnd"/>
      <w:r w:rsidR="00997C7F" w:rsidRPr="00414CDA">
        <w:rPr>
          <w:sz w:val="22"/>
        </w:rPr>
        <w:t xml:space="preserve"> is true, in some obvious sense the </w:t>
      </w:r>
      <w:r w:rsidR="00C04378">
        <w:rPr>
          <w:sz w:val="22"/>
        </w:rPr>
        <w:t>agents</w:t>
      </w:r>
      <w:r w:rsidR="00997C7F" w:rsidRPr="00414CDA">
        <w:rPr>
          <w:sz w:val="22"/>
        </w:rPr>
        <w:t xml:space="preserve"> in question </w:t>
      </w:r>
      <w:r w:rsidR="00827278">
        <w:rPr>
          <w:sz w:val="22"/>
        </w:rPr>
        <w:t>lack the causal power to act</w:t>
      </w:r>
      <w:r w:rsidR="00C04378">
        <w:rPr>
          <w:sz w:val="22"/>
        </w:rPr>
        <w:t>.  And we can reject Pre-established H</w:t>
      </w:r>
      <w:r w:rsidR="00997C7F" w:rsidRPr="00414CDA">
        <w:rPr>
          <w:sz w:val="22"/>
        </w:rPr>
        <w:t>armony because agents have libertarian freedom, and thus their free acts cannot be the unfolding of a deterministic law.  Since there must be an explanation of the reliable tracking – and this excludes the possibility that it is simply a coincidence – we can conclude that agents’ representations reliably track one another’s actions because those actions causally affect those representations.</w:t>
      </w:r>
    </w:p>
    <w:p w:rsidR="00C476B7" w:rsidRDefault="00997C7F" w:rsidP="00C476B7">
      <w:pPr>
        <w:spacing w:before="240" w:after="240" w:line="480" w:lineRule="auto"/>
        <w:rPr>
          <w:sz w:val="22"/>
        </w:rPr>
      </w:pPr>
      <w:r w:rsidRPr="00414CDA">
        <w:rPr>
          <w:sz w:val="22"/>
        </w:rPr>
        <w:t xml:space="preserve">Two questions about this argument need to be distinguished: (1) did Kant accept its premises? (2) </w:t>
      </w:r>
      <w:proofErr w:type="gramStart"/>
      <w:r w:rsidRPr="00414CDA">
        <w:rPr>
          <w:sz w:val="22"/>
        </w:rPr>
        <w:t>does</w:t>
      </w:r>
      <w:proofErr w:type="gramEnd"/>
      <w:r w:rsidRPr="00414CDA">
        <w:rPr>
          <w:sz w:val="22"/>
        </w:rPr>
        <w:t xml:space="preserve"> it express Kant’s reasons for accepting the conclusion?  Hogan convincingly argues that the pre-Critical Kant did accept the premises of this argument once he converted to a libertarian theory of freedom in the 1760s.  Hogan presents no direct evidence, though, that Kant ever formulated this argument, or that it expresses his reasons for adopting </w:t>
      </w:r>
      <w:proofErr w:type="spellStart"/>
      <w:r w:rsidRPr="00414CDA">
        <w:rPr>
          <w:sz w:val="22"/>
        </w:rPr>
        <w:t>Noumenal</w:t>
      </w:r>
      <w:proofErr w:type="spellEnd"/>
      <w:r w:rsidRPr="00414CDA">
        <w:rPr>
          <w:sz w:val="22"/>
        </w:rPr>
        <w:t xml:space="preserve"> Affection.  </w:t>
      </w:r>
      <w:r w:rsidR="00827278">
        <w:rPr>
          <w:sz w:val="22"/>
        </w:rPr>
        <w:t>In fact, before Kant has made the</w:t>
      </w:r>
      <w:r w:rsidR="00FC3739">
        <w:rPr>
          <w:sz w:val="22"/>
        </w:rPr>
        <w:t xml:space="preserve"> Critical distinction between </w:t>
      </w:r>
      <w:r w:rsidR="00FC3739">
        <w:rPr>
          <w:iCs/>
          <w:sz w:val="22"/>
        </w:rPr>
        <w:t xml:space="preserve">phenomena and </w:t>
      </w:r>
      <w:proofErr w:type="spellStart"/>
      <w:r w:rsidR="00FC3739">
        <w:rPr>
          <w:iCs/>
          <w:sz w:val="22"/>
        </w:rPr>
        <w:t>noumena</w:t>
      </w:r>
      <w:proofErr w:type="spellEnd"/>
      <w:r w:rsidR="00FC3739">
        <w:rPr>
          <w:sz w:val="22"/>
        </w:rPr>
        <w:t xml:space="preserve">, it is unclear whether the conclusion of this argument is equivalent to </w:t>
      </w:r>
      <w:proofErr w:type="spellStart"/>
      <w:r w:rsidR="00FC3739">
        <w:rPr>
          <w:sz w:val="22"/>
        </w:rPr>
        <w:t>Noumenal</w:t>
      </w:r>
      <w:proofErr w:type="spellEnd"/>
      <w:r w:rsidR="00FC3739">
        <w:rPr>
          <w:sz w:val="22"/>
        </w:rPr>
        <w:t xml:space="preserve"> Affection.  </w:t>
      </w:r>
      <w:r w:rsidR="00827278">
        <w:rPr>
          <w:sz w:val="22"/>
        </w:rPr>
        <w:t xml:space="preserve">Without that distinction, this is an argument for the </w:t>
      </w:r>
      <w:r w:rsidR="00971435">
        <w:rPr>
          <w:sz w:val="22"/>
        </w:rPr>
        <w:t>less surprising</w:t>
      </w:r>
      <w:r w:rsidR="00827278">
        <w:rPr>
          <w:sz w:val="22"/>
        </w:rPr>
        <w:t xml:space="preserve"> conclusion that </w:t>
      </w:r>
      <w:proofErr w:type="gramStart"/>
      <w:r w:rsidR="00827278">
        <w:rPr>
          <w:sz w:val="22"/>
        </w:rPr>
        <w:t>we are causally affected by other agents</w:t>
      </w:r>
      <w:proofErr w:type="gramEnd"/>
      <w:r w:rsidR="00827278">
        <w:rPr>
          <w:sz w:val="22"/>
        </w:rPr>
        <w:t>.  Nonetheless, Hogan</w:t>
      </w:r>
      <w:r w:rsidRPr="00414CDA">
        <w:rPr>
          <w:sz w:val="22"/>
        </w:rPr>
        <w:t xml:space="preserve"> shows that considerations like the Indispensability argument were heavily discussed in German philosophy of Kant’s day, and that Kant would have been aware of them.</w:t>
      </w:r>
    </w:p>
    <w:p w:rsidR="00C476B7" w:rsidRDefault="0099589D" w:rsidP="00C476B7">
      <w:pPr>
        <w:spacing w:before="240" w:after="240" w:line="480" w:lineRule="auto"/>
        <w:rPr>
          <w:sz w:val="22"/>
        </w:rPr>
      </w:pPr>
      <w:r w:rsidRPr="00414CDA">
        <w:rPr>
          <w:sz w:val="22"/>
        </w:rPr>
        <w:t xml:space="preserve">The </w:t>
      </w:r>
      <w:r w:rsidR="00C04378">
        <w:rPr>
          <w:sz w:val="22"/>
        </w:rPr>
        <w:t xml:space="preserve">main </w:t>
      </w:r>
      <w:r w:rsidRPr="00414CDA">
        <w:rPr>
          <w:sz w:val="22"/>
        </w:rPr>
        <w:t xml:space="preserve">problem with Hogan’s interpretation arises when he applies the Indispensability argument to Kant’s Critical philosophy.  </w:t>
      </w:r>
      <w:r w:rsidR="0015029A">
        <w:rPr>
          <w:sz w:val="22"/>
        </w:rPr>
        <w:t xml:space="preserve">As </w:t>
      </w:r>
      <w:r w:rsidRPr="00414CDA">
        <w:rPr>
          <w:sz w:val="22"/>
        </w:rPr>
        <w:t>Hogan himself acknowledges</w:t>
      </w:r>
      <w:r w:rsidR="0015029A">
        <w:rPr>
          <w:sz w:val="22"/>
        </w:rPr>
        <w:t xml:space="preserve">, </w:t>
      </w:r>
      <w:r w:rsidRPr="00414CDA">
        <w:rPr>
          <w:sz w:val="22"/>
        </w:rPr>
        <w:t>this is an extension of his earlier attribution of the argument to the pre-Critical (late 1760s)</w:t>
      </w:r>
      <w:r w:rsidR="0015029A">
        <w:rPr>
          <w:sz w:val="22"/>
        </w:rPr>
        <w:t xml:space="preserve"> Kant, and, as such, </w:t>
      </w:r>
      <w:r w:rsidRPr="00414CDA">
        <w:rPr>
          <w:sz w:val="22"/>
        </w:rPr>
        <w:t xml:space="preserve">requires additional support.  The problem is that in Kant’s Critical philosophy the crucial </w:t>
      </w:r>
      <w:r w:rsidRPr="006E15CC">
        <w:rPr>
          <w:iCs/>
          <w:sz w:val="22"/>
        </w:rPr>
        <w:t>Knowledge</w:t>
      </w:r>
      <w:r w:rsidRPr="00414CDA">
        <w:rPr>
          <w:sz w:val="22"/>
        </w:rPr>
        <w:t xml:space="preserve"> and </w:t>
      </w:r>
      <w:r w:rsidRPr="006E15CC">
        <w:rPr>
          <w:iCs/>
          <w:sz w:val="22"/>
        </w:rPr>
        <w:t>Freedom</w:t>
      </w:r>
      <w:r w:rsidRPr="00414CDA">
        <w:rPr>
          <w:sz w:val="22"/>
        </w:rPr>
        <w:t xml:space="preserve"> premise</w:t>
      </w:r>
      <w:r w:rsidR="00051D03" w:rsidRPr="00414CDA">
        <w:rPr>
          <w:sz w:val="22"/>
        </w:rPr>
        <w:t>s</w:t>
      </w:r>
      <w:r w:rsidRPr="00414CDA">
        <w:rPr>
          <w:sz w:val="22"/>
        </w:rPr>
        <w:t xml:space="preserve"> are ambiguous</w:t>
      </w:r>
      <w:r w:rsidR="00C04378">
        <w:rPr>
          <w:sz w:val="22"/>
        </w:rPr>
        <w:t>.  Depending upon how we disambiguate the term ‘action,’ the argument is either invalid, or remains valid, but has an anodyne conclusion.</w:t>
      </w:r>
    </w:p>
    <w:p w:rsidR="0099589D" w:rsidRPr="00414CDA" w:rsidRDefault="0099589D" w:rsidP="00C476B7">
      <w:pPr>
        <w:spacing w:before="240" w:after="240" w:line="480" w:lineRule="auto"/>
        <w:rPr>
          <w:sz w:val="22"/>
        </w:rPr>
      </w:pPr>
      <w:r w:rsidRPr="00414CDA">
        <w:rPr>
          <w:sz w:val="22"/>
        </w:rPr>
        <w:t xml:space="preserve">Recall the original </w:t>
      </w:r>
      <w:r w:rsidR="00C04378">
        <w:rPr>
          <w:sz w:val="22"/>
        </w:rPr>
        <w:t>Knowledge premise</w:t>
      </w:r>
      <w:r w:rsidRPr="00414CDA">
        <w:rPr>
          <w:sz w:val="22"/>
        </w:rPr>
        <w:t>:</w:t>
      </w:r>
    </w:p>
    <w:p w:rsidR="00C476B7" w:rsidRDefault="0099589D" w:rsidP="00C476B7">
      <w:pPr>
        <w:spacing w:line="480" w:lineRule="auto"/>
        <w:ind w:left="2880" w:hanging="2160"/>
        <w:rPr>
          <w:sz w:val="22"/>
        </w:rPr>
      </w:pPr>
      <w:r w:rsidRPr="00414CDA">
        <w:rPr>
          <w:sz w:val="22"/>
        </w:rPr>
        <w:t>(</w:t>
      </w:r>
      <w:r w:rsidRPr="00414CDA">
        <w:rPr>
          <w:i/>
          <w:sz w:val="22"/>
        </w:rPr>
        <w:t>Knowledge</w:t>
      </w:r>
      <w:r w:rsidRPr="00414CDA">
        <w:rPr>
          <w:sz w:val="22"/>
        </w:rPr>
        <w:t>)</w:t>
      </w:r>
    </w:p>
    <w:p w:rsidR="00660595" w:rsidRPr="00414CDA" w:rsidRDefault="001F23DD" w:rsidP="00C476B7">
      <w:pPr>
        <w:spacing w:line="480" w:lineRule="auto"/>
        <w:ind w:left="720"/>
        <w:rPr>
          <w:sz w:val="22"/>
        </w:rPr>
      </w:pPr>
      <w:r w:rsidRPr="00414CDA">
        <w:rPr>
          <w:sz w:val="22"/>
        </w:rPr>
        <w:t xml:space="preserve">Rational human agents </w:t>
      </w:r>
      <w:r>
        <w:rPr>
          <w:sz w:val="22"/>
        </w:rPr>
        <w:t xml:space="preserve">have </w:t>
      </w:r>
      <w:r w:rsidRPr="00414CDA">
        <w:rPr>
          <w:sz w:val="22"/>
        </w:rPr>
        <w:t xml:space="preserve">some empirical knowledge of each </w:t>
      </w:r>
      <w:proofErr w:type="gramStart"/>
      <w:r w:rsidRPr="00414CDA">
        <w:rPr>
          <w:sz w:val="22"/>
        </w:rPr>
        <w:t>others’</w:t>
      </w:r>
      <w:proofErr w:type="gramEnd"/>
      <w:r w:rsidRPr="00414CDA">
        <w:rPr>
          <w:sz w:val="22"/>
        </w:rPr>
        <w:t xml:space="preserve"> actions and the empirical representations through which they have this knowledge reliably track those actions</w:t>
      </w:r>
      <w:r w:rsidR="0099589D" w:rsidRPr="00414CDA">
        <w:rPr>
          <w:sz w:val="22"/>
        </w:rPr>
        <w:t>.</w:t>
      </w:r>
    </w:p>
    <w:p w:rsidR="00051D03" w:rsidRPr="00414CDA" w:rsidRDefault="00500A30" w:rsidP="00C476B7">
      <w:pPr>
        <w:spacing w:before="240" w:after="240" w:line="480" w:lineRule="auto"/>
        <w:rPr>
          <w:sz w:val="22"/>
        </w:rPr>
      </w:pPr>
      <w:r>
        <w:rPr>
          <w:sz w:val="22"/>
        </w:rPr>
        <w:t>On one way of reading this premise,</w:t>
      </w:r>
      <w:r w:rsidR="00C04378">
        <w:rPr>
          <w:sz w:val="22"/>
        </w:rPr>
        <w:t xml:space="preserve"> ‘action’</w:t>
      </w:r>
      <w:r w:rsidR="00660595" w:rsidRPr="00414CDA">
        <w:rPr>
          <w:sz w:val="22"/>
        </w:rPr>
        <w:t xml:space="preserve"> refers to individual spatiotemporally localized </w:t>
      </w:r>
      <w:r w:rsidR="006E15CC">
        <w:rPr>
          <w:sz w:val="22"/>
        </w:rPr>
        <w:t xml:space="preserve">events in the </w:t>
      </w:r>
      <w:r w:rsidR="00660595" w:rsidRPr="00414CDA">
        <w:rPr>
          <w:sz w:val="22"/>
        </w:rPr>
        <w:t>empirical world</w:t>
      </w:r>
      <w:r w:rsidR="00C04378">
        <w:rPr>
          <w:sz w:val="22"/>
        </w:rPr>
        <w:t>, e.g. bodily movements</w:t>
      </w:r>
      <w:r w:rsidR="00660595" w:rsidRPr="00414CDA">
        <w:rPr>
          <w:sz w:val="22"/>
        </w:rPr>
        <w:t>.  The actions of other agents of which I have empirical knowledge are actions that occur at determinate times, in determinate locations, and last for determinate periods of time.   They might be called ‘empirical actions’ because they are exercises of the empirical causality of agents.</w:t>
      </w:r>
      <w:r w:rsidR="00051D03" w:rsidRPr="00414CDA">
        <w:rPr>
          <w:sz w:val="22"/>
        </w:rPr>
        <w:t xml:space="preserve">  </w:t>
      </w:r>
      <w:r>
        <w:rPr>
          <w:sz w:val="22"/>
        </w:rPr>
        <w:t>If we interpret the</w:t>
      </w:r>
      <w:r w:rsidR="00051D03" w:rsidRPr="00414CDA">
        <w:rPr>
          <w:sz w:val="22"/>
        </w:rPr>
        <w:t xml:space="preserve"> </w:t>
      </w:r>
      <w:r w:rsidR="00051D03" w:rsidRPr="00414CDA">
        <w:rPr>
          <w:i/>
          <w:iCs/>
          <w:sz w:val="22"/>
        </w:rPr>
        <w:t>Knowledge</w:t>
      </w:r>
      <w:r w:rsidR="00051D03" w:rsidRPr="00414CDA">
        <w:rPr>
          <w:sz w:val="22"/>
        </w:rPr>
        <w:t xml:space="preserve"> premise </w:t>
      </w:r>
      <w:r>
        <w:rPr>
          <w:sz w:val="22"/>
        </w:rPr>
        <w:t xml:space="preserve">this way, it </w:t>
      </w:r>
      <w:r w:rsidR="00051D03" w:rsidRPr="00414CDA">
        <w:rPr>
          <w:sz w:val="22"/>
        </w:rPr>
        <w:t xml:space="preserve">should be </w:t>
      </w:r>
      <w:r>
        <w:rPr>
          <w:sz w:val="22"/>
        </w:rPr>
        <w:t>re</w:t>
      </w:r>
      <w:r w:rsidR="00051D03" w:rsidRPr="00414CDA">
        <w:rPr>
          <w:sz w:val="22"/>
        </w:rPr>
        <w:t>formulated</w:t>
      </w:r>
      <w:r w:rsidR="00C476B7">
        <w:rPr>
          <w:sz w:val="22"/>
        </w:rPr>
        <w:t>:</w:t>
      </w:r>
    </w:p>
    <w:p w:rsidR="00C476B7" w:rsidRDefault="00051D03" w:rsidP="00C476B7">
      <w:pPr>
        <w:spacing w:line="480" w:lineRule="auto"/>
        <w:ind w:left="2880" w:hanging="2160"/>
        <w:rPr>
          <w:sz w:val="22"/>
        </w:rPr>
      </w:pPr>
      <w:r w:rsidRPr="00414CDA">
        <w:rPr>
          <w:sz w:val="22"/>
        </w:rPr>
        <w:t>(</w:t>
      </w:r>
      <w:r w:rsidRPr="00414CDA">
        <w:rPr>
          <w:i/>
          <w:sz w:val="22"/>
        </w:rPr>
        <w:t>Knowledge*</w:t>
      </w:r>
      <w:r w:rsidRPr="00414CDA">
        <w:rPr>
          <w:sz w:val="22"/>
        </w:rPr>
        <w:t>)</w:t>
      </w:r>
    </w:p>
    <w:p w:rsidR="00FC3739" w:rsidRPr="00414CDA" w:rsidRDefault="00FC3739" w:rsidP="00C476B7">
      <w:pPr>
        <w:spacing w:line="480" w:lineRule="auto"/>
        <w:ind w:left="720"/>
        <w:rPr>
          <w:sz w:val="22"/>
        </w:rPr>
      </w:pPr>
      <w:r w:rsidRPr="00414CDA">
        <w:rPr>
          <w:sz w:val="22"/>
        </w:rPr>
        <w:t xml:space="preserve">Rational human agents </w:t>
      </w:r>
      <w:r>
        <w:rPr>
          <w:sz w:val="22"/>
        </w:rPr>
        <w:t xml:space="preserve">have </w:t>
      </w:r>
      <w:r w:rsidRPr="00414CDA">
        <w:rPr>
          <w:sz w:val="22"/>
        </w:rPr>
        <w:t xml:space="preserve">some empirical knowledge of each </w:t>
      </w:r>
      <w:proofErr w:type="gramStart"/>
      <w:r w:rsidRPr="00414CDA">
        <w:rPr>
          <w:sz w:val="22"/>
        </w:rPr>
        <w:t>others’</w:t>
      </w:r>
      <w:proofErr w:type="gramEnd"/>
      <w:r w:rsidRPr="00414CDA">
        <w:rPr>
          <w:sz w:val="22"/>
        </w:rPr>
        <w:t xml:space="preserve"> </w:t>
      </w:r>
      <w:r w:rsidRPr="00FC3739">
        <w:rPr>
          <w:i/>
          <w:iCs/>
          <w:sz w:val="22"/>
        </w:rPr>
        <w:t>empirical</w:t>
      </w:r>
      <w:r>
        <w:rPr>
          <w:sz w:val="22"/>
        </w:rPr>
        <w:t xml:space="preserve"> </w:t>
      </w:r>
      <w:r w:rsidRPr="00414CDA">
        <w:rPr>
          <w:sz w:val="22"/>
        </w:rPr>
        <w:t>actions and the empirical representations through which they have this knowledge reliably track those actions.</w:t>
      </w:r>
    </w:p>
    <w:p w:rsidR="00051D03" w:rsidRPr="00414CDA" w:rsidRDefault="00051D03" w:rsidP="00C476B7">
      <w:pPr>
        <w:spacing w:before="240" w:after="240" w:line="480" w:lineRule="auto"/>
        <w:rPr>
          <w:sz w:val="22"/>
        </w:rPr>
      </w:pPr>
      <w:r w:rsidRPr="00414CDA">
        <w:rPr>
          <w:sz w:val="22"/>
        </w:rPr>
        <w:t>But once this premise is re-formulated in this fashion, it becomes clear that if the argument is to remain valid its conclusion must be:</w:t>
      </w:r>
    </w:p>
    <w:p w:rsidR="00C476B7" w:rsidRDefault="00051D03" w:rsidP="00C476B7">
      <w:pPr>
        <w:spacing w:line="480" w:lineRule="auto"/>
        <w:ind w:left="2880" w:hanging="2160"/>
        <w:rPr>
          <w:sz w:val="22"/>
        </w:rPr>
      </w:pPr>
      <w:r w:rsidRPr="00414CDA">
        <w:rPr>
          <w:sz w:val="22"/>
        </w:rPr>
        <w:t>(</w:t>
      </w:r>
      <w:r w:rsidRPr="00414CDA">
        <w:rPr>
          <w:i/>
          <w:sz w:val="22"/>
        </w:rPr>
        <w:t>Affection</w:t>
      </w:r>
      <w:r w:rsidRPr="00414CDA">
        <w:rPr>
          <w:sz w:val="22"/>
        </w:rPr>
        <w:t>*)</w:t>
      </w:r>
    </w:p>
    <w:p w:rsidR="00F70CC7" w:rsidRPr="00414CDA" w:rsidRDefault="00051D03" w:rsidP="00C476B7">
      <w:pPr>
        <w:spacing w:line="480" w:lineRule="auto"/>
        <w:ind w:left="720"/>
        <w:rPr>
          <w:sz w:val="22"/>
        </w:rPr>
      </w:pPr>
      <w:r w:rsidRPr="00414CDA">
        <w:rPr>
          <w:sz w:val="22"/>
        </w:rPr>
        <w:t xml:space="preserve">The tracking presupposed by </w:t>
      </w:r>
      <w:r w:rsidRPr="00414CDA">
        <w:rPr>
          <w:i/>
          <w:iCs/>
          <w:sz w:val="22"/>
        </w:rPr>
        <w:t>Knowledge</w:t>
      </w:r>
      <w:r w:rsidRPr="00414CDA">
        <w:rPr>
          <w:sz w:val="22"/>
        </w:rPr>
        <w:t xml:space="preserve"> must be held to rest on causal affection of agents by other agent’s </w:t>
      </w:r>
      <w:r w:rsidRPr="00414CDA">
        <w:rPr>
          <w:i/>
          <w:sz w:val="22"/>
        </w:rPr>
        <w:t>empirical</w:t>
      </w:r>
      <w:r w:rsidRPr="00414CDA">
        <w:rPr>
          <w:sz w:val="22"/>
        </w:rPr>
        <w:t xml:space="preserve"> actions.</w:t>
      </w:r>
    </w:p>
    <w:p w:rsidR="00A53D31" w:rsidRDefault="00051D03" w:rsidP="00A53D31">
      <w:pPr>
        <w:spacing w:before="240" w:after="240" w:line="480" w:lineRule="auto"/>
        <w:rPr>
          <w:sz w:val="22"/>
        </w:rPr>
      </w:pPr>
      <w:r w:rsidRPr="00414CDA">
        <w:rPr>
          <w:sz w:val="22"/>
        </w:rPr>
        <w:t>But this is not the controversial</w:t>
      </w:r>
      <w:r w:rsidR="001F23DD">
        <w:rPr>
          <w:sz w:val="22"/>
        </w:rPr>
        <w:t xml:space="preserve"> doctrine of </w:t>
      </w:r>
      <w:proofErr w:type="spellStart"/>
      <w:r w:rsidR="001F23DD">
        <w:rPr>
          <w:sz w:val="22"/>
        </w:rPr>
        <w:t>Noumenal</w:t>
      </w:r>
      <w:proofErr w:type="spellEnd"/>
      <w:r w:rsidR="001F23DD">
        <w:rPr>
          <w:sz w:val="22"/>
        </w:rPr>
        <w:t xml:space="preserve"> Affection;</w:t>
      </w:r>
      <w:r w:rsidRPr="00414CDA">
        <w:rPr>
          <w:sz w:val="22"/>
        </w:rPr>
        <w:t xml:space="preserve"> </w:t>
      </w:r>
      <w:r w:rsidR="001F23DD">
        <w:rPr>
          <w:sz w:val="22"/>
        </w:rPr>
        <w:t>it</w:t>
      </w:r>
      <w:r w:rsidRPr="00414CDA">
        <w:rPr>
          <w:sz w:val="22"/>
        </w:rPr>
        <w:t xml:space="preserve"> is the </w:t>
      </w:r>
      <w:r w:rsidR="00971435">
        <w:rPr>
          <w:sz w:val="22"/>
        </w:rPr>
        <w:t xml:space="preserve">relatively </w:t>
      </w:r>
      <w:r w:rsidRPr="00414CDA">
        <w:rPr>
          <w:sz w:val="22"/>
        </w:rPr>
        <w:t xml:space="preserve">anodyne doctrine of Empirical Affection! </w:t>
      </w:r>
      <w:r w:rsidR="00C04378">
        <w:rPr>
          <w:sz w:val="22"/>
        </w:rPr>
        <w:t xml:space="preserve"> It is merely the claim that agents’ knowledge of other agents’ empirical actions (e.g. their bodily movements) depends upon those actions causally affecting the sense organs of </w:t>
      </w:r>
      <w:r w:rsidR="001F23DD">
        <w:rPr>
          <w:sz w:val="22"/>
        </w:rPr>
        <w:t xml:space="preserve">the </w:t>
      </w:r>
      <w:r w:rsidR="00C04378">
        <w:rPr>
          <w:sz w:val="22"/>
        </w:rPr>
        <w:t>agents</w:t>
      </w:r>
      <w:r w:rsidR="00FC3739">
        <w:rPr>
          <w:sz w:val="22"/>
        </w:rPr>
        <w:t xml:space="preserve"> in question</w:t>
      </w:r>
      <w:r w:rsidR="00971435">
        <w:rPr>
          <w:sz w:val="22"/>
        </w:rPr>
        <w:t xml:space="preserve"> (the </w:t>
      </w:r>
      <w:proofErr w:type="spellStart"/>
      <w:r w:rsidR="00971435">
        <w:rPr>
          <w:sz w:val="22"/>
        </w:rPr>
        <w:t>knowers</w:t>
      </w:r>
      <w:proofErr w:type="spellEnd"/>
      <w:r w:rsidR="00971435">
        <w:rPr>
          <w:sz w:val="22"/>
        </w:rPr>
        <w:t>)</w:t>
      </w:r>
      <w:r w:rsidR="00C04378">
        <w:rPr>
          <w:sz w:val="22"/>
        </w:rPr>
        <w:t xml:space="preserve">.  </w:t>
      </w:r>
      <w:r w:rsidRPr="00414CDA">
        <w:rPr>
          <w:sz w:val="22"/>
        </w:rPr>
        <w:t xml:space="preserve"> If we take </w:t>
      </w:r>
      <w:r w:rsidR="00FC3739">
        <w:rPr>
          <w:sz w:val="22"/>
        </w:rPr>
        <w:t>‘</w:t>
      </w:r>
      <w:r w:rsidRPr="00414CDA">
        <w:rPr>
          <w:sz w:val="22"/>
        </w:rPr>
        <w:t>action</w:t>
      </w:r>
      <w:r w:rsidR="00FC3739">
        <w:rPr>
          <w:sz w:val="22"/>
        </w:rPr>
        <w:t>’</w:t>
      </w:r>
      <w:r w:rsidRPr="00414CDA">
        <w:rPr>
          <w:sz w:val="22"/>
        </w:rPr>
        <w:t xml:space="preserve"> to mean ‘empirical action’ in the </w:t>
      </w:r>
      <w:r w:rsidRPr="00414CDA">
        <w:rPr>
          <w:i/>
          <w:iCs/>
          <w:sz w:val="22"/>
        </w:rPr>
        <w:t>Knowledge</w:t>
      </w:r>
      <w:r w:rsidRPr="00414CDA">
        <w:rPr>
          <w:sz w:val="22"/>
        </w:rPr>
        <w:t xml:space="preserve"> premise</w:t>
      </w:r>
      <w:r w:rsidR="00500A30">
        <w:rPr>
          <w:sz w:val="22"/>
        </w:rPr>
        <w:t xml:space="preserve">, </w:t>
      </w:r>
      <w:r w:rsidR="009C5BF1" w:rsidRPr="00414CDA">
        <w:rPr>
          <w:sz w:val="22"/>
        </w:rPr>
        <w:t xml:space="preserve">the argument becomes irrelevant to </w:t>
      </w:r>
      <w:proofErr w:type="spellStart"/>
      <w:r w:rsidR="009C5BF1" w:rsidRPr="00414CDA">
        <w:rPr>
          <w:sz w:val="22"/>
        </w:rPr>
        <w:t>Noumenal</w:t>
      </w:r>
      <w:proofErr w:type="spellEnd"/>
      <w:r w:rsidR="009C5BF1" w:rsidRPr="00414CDA">
        <w:rPr>
          <w:sz w:val="22"/>
        </w:rPr>
        <w:t xml:space="preserve"> Affection.</w:t>
      </w:r>
    </w:p>
    <w:p w:rsidR="009C5BF1" w:rsidRPr="00414CDA" w:rsidRDefault="009C5BF1" w:rsidP="00A53D31">
      <w:pPr>
        <w:spacing w:before="240" w:after="240" w:line="480" w:lineRule="auto"/>
        <w:rPr>
          <w:sz w:val="22"/>
        </w:rPr>
      </w:pPr>
      <w:r w:rsidRPr="00414CDA">
        <w:rPr>
          <w:sz w:val="22"/>
        </w:rPr>
        <w:t xml:space="preserve">But surely something has gone wrong here since Kant holds that </w:t>
      </w:r>
      <w:r w:rsidRPr="00414CDA">
        <w:rPr>
          <w:i/>
          <w:iCs/>
          <w:sz w:val="22"/>
        </w:rPr>
        <w:t>empirical actions</w:t>
      </w:r>
      <w:r w:rsidRPr="00414CDA">
        <w:rPr>
          <w:sz w:val="22"/>
        </w:rPr>
        <w:t xml:space="preserve"> of agents have fully determining </w:t>
      </w:r>
      <w:r w:rsidRPr="00414CDA">
        <w:rPr>
          <w:i/>
          <w:sz w:val="22"/>
        </w:rPr>
        <w:t>empirical</w:t>
      </w:r>
      <w:r w:rsidR="00A53D31">
        <w:rPr>
          <w:sz w:val="22"/>
        </w:rPr>
        <w:t xml:space="preserve"> causes.  Let u</w:t>
      </w:r>
      <w:r w:rsidRPr="00414CDA">
        <w:rPr>
          <w:sz w:val="22"/>
        </w:rPr>
        <w:t xml:space="preserve">s </w:t>
      </w:r>
      <w:r w:rsidR="00A53D31">
        <w:rPr>
          <w:sz w:val="22"/>
        </w:rPr>
        <w:t>g</w:t>
      </w:r>
      <w:r w:rsidRPr="00414CDA">
        <w:rPr>
          <w:sz w:val="22"/>
        </w:rPr>
        <w:t xml:space="preserve">o back to the original </w:t>
      </w:r>
      <w:r w:rsidRPr="006E15CC">
        <w:rPr>
          <w:iCs/>
          <w:sz w:val="22"/>
        </w:rPr>
        <w:t>Freedom</w:t>
      </w:r>
      <w:r w:rsidRPr="00414CDA">
        <w:rPr>
          <w:sz w:val="22"/>
        </w:rPr>
        <w:t xml:space="preserve"> premise:</w:t>
      </w:r>
    </w:p>
    <w:p w:rsidR="00A53D31" w:rsidRDefault="009C5BF1" w:rsidP="00A53D31">
      <w:pPr>
        <w:spacing w:line="480" w:lineRule="auto"/>
        <w:ind w:left="720"/>
        <w:rPr>
          <w:sz w:val="22"/>
        </w:rPr>
      </w:pPr>
      <w:r w:rsidRPr="00414CDA">
        <w:rPr>
          <w:sz w:val="22"/>
        </w:rPr>
        <w:t>(</w:t>
      </w:r>
      <w:r w:rsidRPr="00414CDA">
        <w:rPr>
          <w:i/>
          <w:sz w:val="22"/>
        </w:rPr>
        <w:t>Freedom</w:t>
      </w:r>
      <w:r w:rsidRPr="00414CDA">
        <w:rPr>
          <w:sz w:val="22"/>
        </w:rPr>
        <w:t>)</w:t>
      </w:r>
      <w:r w:rsidRPr="00414CDA">
        <w:rPr>
          <w:sz w:val="22"/>
        </w:rPr>
        <w:tab/>
      </w:r>
    </w:p>
    <w:p w:rsidR="009C5BF1" w:rsidRPr="00414CDA" w:rsidRDefault="009C5BF1" w:rsidP="00A53D31">
      <w:pPr>
        <w:tabs>
          <w:tab w:val="left" w:pos="90"/>
        </w:tabs>
        <w:spacing w:line="480" w:lineRule="auto"/>
        <w:ind w:left="720"/>
        <w:rPr>
          <w:sz w:val="22"/>
        </w:rPr>
      </w:pPr>
      <w:r w:rsidRPr="00414CDA">
        <w:rPr>
          <w:sz w:val="22"/>
        </w:rPr>
        <w:t>The actions of rational human agents are the product of a libertarian power incompatible with necessitation through determining causes.</w:t>
      </w:r>
    </w:p>
    <w:p w:rsidR="00A53D31" w:rsidRDefault="009C5BF1" w:rsidP="00A53D31">
      <w:pPr>
        <w:tabs>
          <w:tab w:val="left" w:pos="90"/>
        </w:tabs>
        <w:spacing w:before="240" w:after="240" w:line="480" w:lineRule="auto"/>
        <w:rPr>
          <w:sz w:val="22"/>
        </w:rPr>
      </w:pPr>
      <w:r w:rsidRPr="00414CDA">
        <w:rPr>
          <w:sz w:val="22"/>
        </w:rPr>
        <w:t xml:space="preserve">This premise is ambiguous because the term ‘action’ is ambiguous.  If ‘action’ here refers to ‘empirical action’ the premise remains true (for Kant) but irrelevant to the question of </w:t>
      </w:r>
      <w:proofErr w:type="spellStart"/>
      <w:r w:rsidRPr="00414CDA">
        <w:rPr>
          <w:sz w:val="22"/>
        </w:rPr>
        <w:t>noumenal</w:t>
      </w:r>
      <w:proofErr w:type="spellEnd"/>
      <w:r w:rsidRPr="00414CDA">
        <w:rPr>
          <w:sz w:val="22"/>
        </w:rPr>
        <w:t xml:space="preserve"> affection.  It is true because, Kant holds, all of our empirical actions are caused by our ‘</w:t>
      </w:r>
      <w:r w:rsidR="00E345C9">
        <w:rPr>
          <w:sz w:val="22"/>
        </w:rPr>
        <w:t>intelligible character</w:t>
      </w:r>
      <w:r w:rsidRPr="00414CDA">
        <w:rPr>
          <w:sz w:val="22"/>
        </w:rPr>
        <w:t xml:space="preserve">,’ a libertarian power of agency we possess as things in themselves </w:t>
      </w:r>
      <w:r w:rsidR="00161AAE">
        <w:rPr>
          <w:sz w:val="22"/>
        </w:rPr>
        <w:t>(‘</w:t>
      </w:r>
      <w:proofErr w:type="spellStart"/>
      <w:r w:rsidR="00161AAE">
        <w:rPr>
          <w:sz w:val="22"/>
        </w:rPr>
        <w:t>noumena</w:t>
      </w:r>
      <w:proofErr w:type="spellEnd"/>
      <w:r w:rsidR="00161AAE">
        <w:rPr>
          <w:sz w:val="22"/>
        </w:rPr>
        <w:t xml:space="preserve">’) </w:t>
      </w:r>
      <w:r w:rsidRPr="00414CDA">
        <w:rPr>
          <w:sz w:val="22"/>
        </w:rPr>
        <w:t>outside of space and time.</w:t>
      </w:r>
      <w:r w:rsidR="00526568">
        <w:rPr>
          <w:rStyle w:val="EndnoteReference"/>
          <w:sz w:val="22"/>
        </w:rPr>
        <w:endnoteReference w:id="5"/>
      </w:r>
      <w:r w:rsidRPr="00414CDA">
        <w:rPr>
          <w:sz w:val="22"/>
        </w:rPr>
        <w:t xml:space="preserve">  </w:t>
      </w:r>
      <w:r w:rsidR="00E345C9">
        <w:rPr>
          <w:sz w:val="22"/>
        </w:rPr>
        <w:t xml:space="preserve">Our </w:t>
      </w:r>
      <w:r w:rsidR="004D1CD5">
        <w:rPr>
          <w:sz w:val="22"/>
        </w:rPr>
        <w:t xml:space="preserve">(exercise of our) </w:t>
      </w:r>
      <w:r w:rsidR="00E345C9">
        <w:rPr>
          <w:sz w:val="22"/>
        </w:rPr>
        <w:t>intelligible character causes our empirical character, a disposition we possess as empirical beings to act according to certain laws.</w:t>
      </w:r>
      <w:r w:rsidR="00161AAE">
        <w:rPr>
          <w:rStyle w:val="EndnoteReference"/>
          <w:sz w:val="22"/>
        </w:rPr>
        <w:endnoteReference w:id="6"/>
      </w:r>
      <w:r w:rsidR="00E345C9">
        <w:rPr>
          <w:sz w:val="22"/>
        </w:rPr>
        <w:t xml:space="preserve">  Since intelligible character causes empirical character,</w:t>
      </w:r>
      <w:r w:rsidR="00960878">
        <w:rPr>
          <w:rStyle w:val="EndnoteReference"/>
          <w:sz w:val="22"/>
        </w:rPr>
        <w:endnoteReference w:id="7"/>
      </w:r>
      <w:r w:rsidR="00E345C9">
        <w:rPr>
          <w:sz w:val="22"/>
        </w:rPr>
        <w:t xml:space="preserve"> and empirical character </w:t>
      </w:r>
      <w:r w:rsidR="00960878">
        <w:rPr>
          <w:sz w:val="22"/>
        </w:rPr>
        <w:t>produces</w:t>
      </w:r>
      <w:r w:rsidR="00E345C9">
        <w:rPr>
          <w:sz w:val="22"/>
        </w:rPr>
        <w:t xml:space="preserve"> individual empirical actions, intelligible character causes empirical actions.</w:t>
      </w:r>
      <w:r w:rsidR="00960878">
        <w:rPr>
          <w:rStyle w:val="EndnoteReference"/>
          <w:sz w:val="22"/>
        </w:rPr>
        <w:endnoteReference w:id="8"/>
      </w:r>
      <w:r w:rsidR="00E345C9">
        <w:rPr>
          <w:sz w:val="22"/>
        </w:rPr>
        <w:t xml:space="preserve">  </w:t>
      </w:r>
      <w:r w:rsidRPr="00414CDA">
        <w:rPr>
          <w:sz w:val="22"/>
        </w:rPr>
        <w:t>Although these empirical actions are produced by this ‘</w:t>
      </w:r>
      <w:proofErr w:type="spellStart"/>
      <w:r w:rsidRPr="00414CDA">
        <w:rPr>
          <w:sz w:val="22"/>
        </w:rPr>
        <w:t>noumenal</w:t>
      </w:r>
      <w:proofErr w:type="spellEnd"/>
      <w:r w:rsidRPr="00414CDA">
        <w:rPr>
          <w:sz w:val="22"/>
        </w:rPr>
        <w:t xml:space="preserve"> causality’ they also have fully determining empirical causes and they are causally efficacious members of the empirical world.</w:t>
      </w:r>
      <w:r w:rsidR="00161AAE">
        <w:rPr>
          <w:sz w:val="22"/>
        </w:rPr>
        <w:t xml:space="preserve"> </w:t>
      </w:r>
      <w:r w:rsidRPr="00414CDA">
        <w:rPr>
          <w:sz w:val="22"/>
        </w:rPr>
        <w:t xml:space="preserve"> So no problem arises about how we can have empirical</w:t>
      </w:r>
      <w:r w:rsidR="00C04378">
        <w:rPr>
          <w:sz w:val="22"/>
        </w:rPr>
        <w:t>ly</w:t>
      </w:r>
      <w:r w:rsidRPr="00414CDA">
        <w:rPr>
          <w:sz w:val="22"/>
        </w:rPr>
        <w:t>-based beliefs that reliably track them: those empirical actions affect our sense organs.</w:t>
      </w:r>
    </w:p>
    <w:p w:rsidR="009C5BF1" w:rsidRPr="00414CDA" w:rsidRDefault="009C5BF1" w:rsidP="00A53D31">
      <w:pPr>
        <w:tabs>
          <w:tab w:val="left" w:pos="90"/>
        </w:tabs>
        <w:spacing w:before="240" w:after="240" w:line="480" w:lineRule="auto"/>
        <w:rPr>
          <w:sz w:val="22"/>
        </w:rPr>
      </w:pPr>
      <w:r w:rsidRPr="00414CDA">
        <w:rPr>
          <w:sz w:val="22"/>
        </w:rPr>
        <w:t xml:space="preserve">However, if ‘action’ refers to the exercise of this </w:t>
      </w:r>
      <w:r w:rsidR="00161AAE">
        <w:rPr>
          <w:sz w:val="22"/>
        </w:rPr>
        <w:t>intelligible (or ‘</w:t>
      </w:r>
      <w:proofErr w:type="spellStart"/>
      <w:r w:rsidR="00161AAE">
        <w:rPr>
          <w:sz w:val="22"/>
        </w:rPr>
        <w:t>noumenal</w:t>
      </w:r>
      <w:proofErr w:type="spellEnd"/>
      <w:r w:rsidR="00161AAE">
        <w:rPr>
          <w:sz w:val="22"/>
        </w:rPr>
        <w:t>’)</w:t>
      </w:r>
      <w:r w:rsidRPr="00414CDA">
        <w:rPr>
          <w:sz w:val="22"/>
        </w:rPr>
        <w:t xml:space="preserve"> causality itself, the premise remains </w:t>
      </w:r>
      <w:r w:rsidR="00161AAE">
        <w:rPr>
          <w:sz w:val="22"/>
        </w:rPr>
        <w:t>acceptable to Kant</w:t>
      </w:r>
      <w:r w:rsidRPr="00414CDA">
        <w:rPr>
          <w:sz w:val="22"/>
        </w:rPr>
        <w:t xml:space="preserve"> but again does not help us establish the truth of </w:t>
      </w:r>
      <w:proofErr w:type="spellStart"/>
      <w:r w:rsidRPr="00414CDA">
        <w:rPr>
          <w:sz w:val="22"/>
        </w:rPr>
        <w:t>Noumenal</w:t>
      </w:r>
      <w:proofErr w:type="spellEnd"/>
      <w:r w:rsidRPr="00414CDA">
        <w:rPr>
          <w:sz w:val="22"/>
        </w:rPr>
        <w:t xml:space="preserve"> Affection.  </w:t>
      </w:r>
      <w:r w:rsidR="004D1CD5">
        <w:rPr>
          <w:sz w:val="22"/>
        </w:rPr>
        <w:t>I wi</w:t>
      </w:r>
      <w:r w:rsidR="00971435">
        <w:rPr>
          <w:sz w:val="22"/>
        </w:rPr>
        <w:t xml:space="preserve">ll refer to the exercise of </w:t>
      </w:r>
      <w:r w:rsidR="004D1CD5">
        <w:rPr>
          <w:sz w:val="22"/>
        </w:rPr>
        <w:t>intelligible causality as a ‘</w:t>
      </w:r>
      <w:proofErr w:type="spellStart"/>
      <w:r w:rsidR="004D1CD5">
        <w:rPr>
          <w:sz w:val="22"/>
        </w:rPr>
        <w:t>noumenal</w:t>
      </w:r>
      <w:proofErr w:type="spellEnd"/>
      <w:r w:rsidR="004D1CD5">
        <w:rPr>
          <w:sz w:val="22"/>
        </w:rPr>
        <w:t xml:space="preserve"> action.’  </w:t>
      </w:r>
      <w:r w:rsidRPr="00414CDA">
        <w:rPr>
          <w:sz w:val="22"/>
        </w:rPr>
        <w:t>For if we reformulate the Freedom premise as</w:t>
      </w:r>
      <w:r w:rsidR="00A53D31">
        <w:rPr>
          <w:sz w:val="22"/>
        </w:rPr>
        <w:t>:</w:t>
      </w:r>
    </w:p>
    <w:p w:rsidR="00A53D31" w:rsidRDefault="009C5BF1" w:rsidP="00A53D31">
      <w:pPr>
        <w:spacing w:line="480" w:lineRule="auto"/>
        <w:ind w:left="2880" w:hanging="2160"/>
        <w:rPr>
          <w:sz w:val="22"/>
        </w:rPr>
      </w:pPr>
      <w:r w:rsidRPr="00414CDA">
        <w:rPr>
          <w:sz w:val="22"/>
        </w:rPr>
        <w:t>(</w:t>
      </w:r>
      <w:r w:rsidRPr="0008314D">
        <w:rPr>
          <w:i/>
          <w:sz w:val="22"/>
        </w:rPr>
        <w:t>Freedom*</w:t>
      </w:r>
      <w:r w:rsidRPr="00414CDA">
        <w:rPr>
          <w:sz w:val="22"/>
        </w:rPr>
        <w:t>)</w:t>
      </w:r>
    </w:p>
    <w:p w:rsidR="009C5BF1" w:rsidRPr="00414CDA" w:rsidRDefault="009C5BF1" w:rsidP="00A53D31">
      <w:pPr>
        <w:spacing w:line="480" w:lineRule="auto"/>
        <w:ind w:left="720"/>
        <w:rPr>
          <w:sz w:val="22"/>
        </w:rPr>
      </w:pPr>
      <w:r w:rsidRPr="00414CDA">
        <w:rPr>
          <w:sz w:val="22"/>
        </w:rPr>
        <w:t xml:space="preserve">The </w:t>
      </w:r>
      <w:proofErr w:type="spellStart"/>
      <w:r w:rsidRPr="00C04378">
        <w:rPr>
          <w:i/>
          <w:sz w:val="22"/>
        </w:rPr>
        <w:t>noumenal</w:t>
      </w:r>
      <w:proofErr w:type="spellEnd"/>
      <w:r w:rsidR="00161AAE">
        <w:rPr>
          <w:i/>
          <w:sz w:val="22"/>
        </w:rPr>
        <w:t xml:space="preserve">  (or intelligible)</w:t>
      </w:r>
      <w:r w:rsidRPr="00C04378">
        <w:rPr>
          <w:i/>
          <w:sz w:val="22"/>
        </w:rPr>
        <w:t xml:space="preserve"> actions</w:t>
      </w:r>
      <w:r w:rsidRPr="00414CDA">
        <w:rPr>
          <w:sz w:val="22"/>
        </w:rPr>
        <w:t xml:space="preserve"> of rational human agents are the product of a libertarian power incompatible with necessitation through determining causes</w:t>
      </w:r>
      <w:r w:rsidR="00A53D31">
        <w:rPr>
          <w:sz w:val="22"/>
        </w:rPr>
        <w:t>,</w:t>
      </w:r>
    </w:p>
    <w:p w:rsidR="009C5BF1" w:rsidRPr="00414CDA" w:rsidRDefault="0008314D" w:rsidP="00A53D31">
      <w:pPr>
        <w:tabs>
          <w:tab w:val="left" w:pos="90"/>
        </w:tabs>
        <w:spacing w:before="240" w:after="240" w:line="480" w:lineRule="auto"/>
        <w:rPr>
          <w:sz w:val="22"/>
        </w:rPr>
      </w:pPr>
      <w:proofErr w:type="gramStart"/>
      <w:r>
        <w:rPr>
          <w:sz w:val="22"/>
        </w:rPr>
        <w:t>the</w:t>
      </w:r>
      <w:proofErr w:type="gramEnd"/>
      <w:r>
        <w:rPr>
          <w:sz w:val="22"/>
        </w:rPr>
        <w:t xml:space="preserve"> argument only remains valid if we</w:t>
      </w:r>
      <w:r w:rsidR="009C5BF1" w:rsidRPr="00414CDA">
        <w:rPr>
          <w:sz w:val="22"/>
        </w:rPr>
        <w:t xml:space="preserve"> reformulate the Knowledge premise of the argument to read</w:t>
      </w:r>
      <w:r w:rsidR="00A53D31">
        <w:rPr>
          <w:sz w:val="22"/>
        </w:rPr>
        <w:t>:</w:t>
      </w:r>
    </w:p>
    <w:p w:rsidR="00A53D31" w:rsidRDefault="009C5BF1" w:rsidP="00A53D31">
      <w:pPr>
        <w:spacing w:line="480" w:lineRule="auto"/>
        <w:ind w:left="2880" w:hanging="2160"/>
        <w:rPr>
          <w:sz w:val="22"/>
        </w:rPr>
      </w:pPr>
      <w:r w:rsidRPr="00414CDA">
        <w:rPr>
          <w:sz w:val="22"/>
        </w:rPr>
        <w:t>(</w:t>
      </w:r>
      <w:r w:rsidRPr="00414CDA">
        <w:rPr>
          <w:i/>
          <w:sz w:val="22"/>
        </w:rPr>
        <w:t>Knowledge**</w:t>
      </w:r>
      <w:r w:rsidRPr="00414CDA">
        <w:rPr>
          <w:sz w:val="22"/>
        </w:rPr>
        <w:t>)</w:t>
      </w:r>
    </w:p>
    <w:p w:rsidR="009C5BF1" w:rsidRPr="00414CDA" w:rsidRDefault="009C5BF1" w:rsidP="00A53D31">
      <w:pPr>
        <w:spacing w:line="480" w:lineRule="auto"/>
        <w:ind w:left="720"/>
        <w:rPr>
          <w:sz w:val="22"/>
        </w:rPr>
      </w:pPr>
      <w:r w:rsidRPr="00414CDA">
        <w:rPr>
          <w:sz w:val="22"/>
        </w:rPr>
        <w:t xml:space="preserve">These subjects have some empirical knowledge of each </w:t>
      </w:r>
      <w:proofErr w:type="gramStart"/>
      <w:r w:rsidRPr="00414CDA">
        <w:rPr>
          <w:sz w:val="22"/>
        </w:rPr>
        <w:t>others’</w:t>
      </w:r>
      <w:proofErr w:type="gramEnd"/>
      <w:r w:rsidRPr="00414CDA">
        <w:rPr>
          <w:sz w:val="22"/>
        </w:rPr>
        <w:t xml:space="preserve"> </w:t>
      </w:r>
      <w:proofErr w:type="spellStart"/>
      <w:r w:rsidRPr="00414CDA">
        <w:rPr>
          <w:i/>
          <w:iCs/>
          <w:sz w:val="22"/>
        </w:rPr>
        <w:t>noumenal</w:t>
      </w:r>
      <w:proofErr w:type="spellEnd"/>
      <w:r w:rsidRPr="00414CDA">
        <w:rPr>
          <w:i/>
          <w:iCs/>
          <w:sz w:val="22"/>
        </w:rPr>
        <w:t xml:space="preserve"> </w:t>
      </w:r>
      <w:r w:rsidRPr="00414CDA">
        <w:rPr>
          <w:sz w:val="22"/>
        </w:rPr>
        <w:t>actions through representations viewed as reliable indicators of such actions.</w:t>
      </w:r>
    </w:p>
    <w:p w:rsidR="00A53D31" w:rsidRDefault="00C04378" w:rsidP="00A53D31">
      <w:pPr>
        <w:spacing w:before="240" w:after="240" w:line="480" w:lineRule="auto"/>
        <w:rPr>
          <w:sz w:val="22"/>
        </w:rPr>
      </w:pPr>
      <w:r>
        <w:rPr>
          <w:sz w:val="22"/>
        </w:rPr>
        <w:t>But this is a premise Kant does not</w:t>
      </w:r>
      <w:r w:rsidR="009C5BF1" w:rsidRPr="00414CDA">
        <w:rPr>
          <w:sz w:val="22"/>
        </w:rPr>
        <w:t xml:space="preserve"> accept.  Kant adamantly and repeatedly claims that I have </w:t>
      </w:r>
      <w:r w:rsidR="001F23DD">
        <w:rPr>
          <w:sz w:val="22"/>
        </w:rPr>
        <w:t xml:space="preserve">no empirical </w:t>
      </w:r>
      <w:r w:rsidR="009C5BF1" w:rsidRPr="00414CDA">
        <w:rPr>
          <w:i/>
          <w:iCs/>
          <w:sz w:val="22"/>
        </w:rPr>
        <w:t>knowledge</w:t>
      </w:r>
      <w:r w:rsidR="009C5BF1" w:rsidRPr="00414CDA">
        <w:rPr>
          <w:sz w:val="22"/>
        </w:rPr>
        <w:t xml:space="preserve"> of the specifi</w:t>
      </w:r>
      <w:r w:rsidR="00161AAE">
        <w:rPr>
          <w:sz w:val="22"/>
        </w:rPr>
        <w:t>c content of what I am calling my ‘</w:t>
      </w:r>
      <w:proofErr w:type="spellStart"/>
      <w:r w:rsidR="00161AAE">
        <w:rPr>
          <w:sz w:val="22"/>
        </w:rPr>
        <w:t>noumenal</w:t>
      </w:r>
      <w:proofErr w:type="spellEnd"/>
      <w:r w:rsidR="00161AAE">
        <w:rPr>
          <w:sz w:val="22"/>
        </w:rPr>
        <w:t xml:space="preserve"> actions,’ </w:t>
      </w:r>
      <w:r w:rsidR="009C5BF1" w:rsidRPr="00414CDA">
        <w:rPr>
          <w:sz w:val="22"/>
        </w:rPr>
        <w:t>the ex</w:t>
      </w:r>
      <w:r w:rsidR="00161AAE">
        <w:rPr>
          <w:sz w:val="22"/>
        </w:rPr>
        <w:t xml:space="preserve">ercise of my </w:t>
      </w:r>
      <w:proofErr w:type="spellStart"/>
      <w:r w:rsidR="00161AAE">
        <w:rPr>
          <w:sz w:val="22"/>
        </w:rPr>
        <w:t>noumenal</w:t>
      </w:r>
      <w:proofErr w:type="spellEnd"/>
      <w:r w:rsidR="00161AAE">
        <w:rPr>
          <w:sz w:val="22"/>
        </w:rPr>
        <w:t xml:space="preserve"> (or intelligible) causality</w:t>
      </w:r>
      <w:r w:rsidR="009C5BF1" w:rsidRPr="00414CDA">
        <w:rPr>
          <w:sz w:val="22"/>
        </w:rPr>
        <w:t xml:space="preserve">.  Specifically, I have no </w:t>
      </w:r>
      <w:r w:rsidR="001F23DD">
        <w:rPr>
          <w:sz w:val="22"/>
        </w:rPr>
        <w:t xml:space="preserve">empirical </w:t>
      </w:r>
      <w:r w:rsidR="009C5BF1" w:rsidRPr="00414CDA">
        <w:rPr>
          <w:sz w:val="22"/>
        </w:rPr>
        <w:t>k</w:t>
      </w:r>
      <w:r w:rsidR="00161AAE">
        <w:rPr>
          <w:sz w:val="22"/>
        </w:rPr>
        <w:t xml:space="preserve">nowledge of whether I exercise my </w:t>
      </w:r>
      <w:proofErr w:type="spellStart"/>
      <w:r w:rsidR="00161AAE">
        <w:rPr>
          <w:sz w:val="22"/>
        </w:rPr>
        <w:t>noumenal</w:t>
      </w:r>
      <w:proofErr w:type="spellEnd"/>
      <w:r w:rsidR="00161AAE">
        <w:rPr>
          <w:sz w:val="22"/>
        </w:rPr>
        <w:t xml:space="preserve"> causality in a way that is morally good, or morally evil</w:t>
      </w:r>
      <w:r w:rsidR="009C5BF1" w:rsidRPr="00414CDA">
        <w:rPr>
          <w:sz w:val="22"/>
        </w:rPr>
        <w:t>.</w:t>
      </w:r>
      <w:r w:rsidR="00161AAE">
        <w:rPr>
          <w:rStyle w:val="EndnoteReference"/>
          <w:sz w:val="22"/>
        </w:rPr>
        <w:endnoteReference w:id="9"/>
      </w:r>
      <w:r w:rsidR="00B265F6" w:rsidRPr="00414CDA">
        <w:rPr>
          <w:sz w:val="22"/>
        </w:rPr>
        <w:t xml:space="preserve">  If I cannot have such knowledge, surely no other </w:t>
      </w:r>
      <w:r w:rsidR="00500A30">
        <w:rPr>
          <w:sz w:val="22"/>
        </w:rPr>
        <w:t xml:space="preserve">finite </w:t>
      </w:r>
      <w:r w:rsidR="00B265F6" w:rsidRPr="00414CDA">
        <w:rPr>
          <w:sz w:val="22"/>
        </w:rPr>
        <w:t>agent has such knowledge.  They cannot have it by testimony, as Hogan suggests</w:t>
      </w:r>
      <w:r w:rsidR="0085747B">
        <w:rPr>
          <w:sz w:val="22"/>
        </w:rPr>
        <w:t xml:space="preserve"> (2009b: 519)</w:t>
      </w:r>
      <w:r w:rsidR="00B265F6" w:rsidRPr="00414CDA">
        <w:rPr>
          <w:sz w:val="22"/>
        </w:rPr>
        <w:t xml:space="preserve">, because other agents have no </w:t>
      </w:r>
      <w:r w:rsidR="004D1CD5">
        <w:rPr>
          <w:sz w:val="22"/>
        </w:rPr>
        <w:t>empirical evidence</w:t>
      </w:r>
      <w:r w:rsidR="00B265F6" w:rsidRPr="00414CDA">
        <w:rPr>
          <w:sz w:val="22"/>
        </w:rPr>
        <w:t xml:space="preserve"> that my beliefs about my </w:t>
      </w:r>
      <w:proofErr w:type="spellStart"/>
      <w:r w:rsidR="00B265F6" w:rsidRPr="00414CDA">
        <w:rPr>
          <w:sz w:val="22"/>
        </w:rPr>
        <w:t>noumenal</w:t>
      </w:r>
      <w:proofErr w:type="spellEnd"/>
      <w:r w:rsidR="00B265F6" w:rsidRPr="00414CDA">
        <w:rPr>
          <w:sz w:val="22"/>
        </w:rPr>
        <w:t xml:space="preserve"> character reliably track the truth.  And they cannot have it through empirical sense perception because my </w:t>
      </w:r>
      <w:proofErr w:type="spellStart"/>
      <w:r w:rsidR="00B265F6" w:rsidRPr="00414CDA">
        <w:rPr>
          <w:sz w:val="22"/>
        </w:rPr>
        <w:t>noumenal</w:t>
      </w:r>
      <w:proofErr w:type="spellEnd"/>
      <w:r w:rsidR="00B265F6" w:rsidRPr="00414CDA">
        <w:rPr>
          <w:sz w:val="22"/>
        </w:rPr>
        <w:t xml:space="preserve"> character is not </w:t>
      </w:r>
      <w:r w:rsidR="005660DF" w:rsidRPr="00414CDA">
        <w:rPr>
          <w:sz w:val="22"/>
        </w:rPr>
        <w:t>a possible object of</w:t>
      </w:r>
      <w:r w:rsidR="00B265F6" w:rsidRPr="00414CDA">
        <w:rPr>
          <w:sz w:val="22"/>
        </w:rPr>
        <w:t xml:space="preserve"> sense perception.</w:t>
      </w:r>
    </w:p>
    <w:p w:rsidR="00A53D31" w:rsidRDefault="00827278" w:rsidP="00A53D31">
      <w:pPr>
        <w:spacing w:before="240" w:after="240" w:line="480" w:lineRule="auto"/>
        <w:rPr>
          <w:iCs/>
          <w:sz w:val="22"/>
        </w:rPr>
      </w:pPr>
      <w:r>
        <w:rPr>
          <w:sz w:val="22"/>
        </w:rPr>
        <w:t xml:space="preserve">Hogan presents no textual evidence that Kant allows that I can have knowledge (either theoretical or practical) of the specific content of my </w:t>
      </w:r>
      <w:proofErr w:type="spellStart"/>
      <w:r>
        <w:rPr>
          <w:sz w:val="22"/>
        </w:rPr>
        <w:t>noumenal</w:t>
      </w:r>
      <w:proofErr w:type="spellEnd"/>
      <w:r>
        <w:rPr>
          <w:sz w:val="22"/>
        </w:rPr>
        <w:t xml:space="preserve"> character, or that of any other agent.  The closest he comes is presenting textual evidence (note 69) that </w:t>
      </w:r>
      <w:r w:rsidR="00937EFE">
        <w:rPr>
          <w:sz w:val="22"/>
        </w:rPr>
        <w:t>we</w:t>
      </w:r>
      <w:r>
        <w:rPr>
          <w:sz w:val="22"/>
        </w:rPr>
        <w:t xml:space="preserve"> possess </w:t>
      </w:r>
      <w:r w:rsidRPr="00782130">
        <w:rPr>
          <w:iCs/>
          <w:sz w:val="22"/>
        </w:rPr>
        <w:t>practical</w:t>
      </w:r>
      <w:r>
        <w:rPr>
          <w:iCs/>
          <w:sz w:val="22"/>
        </w:rPr>
        <w:t xml:space="preserve"> knowledge</w:t>
      </w:r>
      <w:r w:rsidR="00782130">
        <w:rPr>
          <w:iCs/>
          <w:sz w:val="22"/>
        </w:rPr>
        <w:t xml:space="preserve"> (e.g. of our </w:t>
      </w:r>
      <w:proofErr w:type="spellStart"/>
      <w:r w:rsidR="00782130">
        <w:rPr>
          <w:iCs/>
          <w:sz w:val="22"/>
        </w:rPr>
        <w:t>noumenal</w:t>
      </w:r>
      <w:proofErr w:type="spellEnd"/>
      <w:r w:rsidR="00782130">
        <w:rPr>
          <w:iCs/>
          <w:sz w:val="22"/>
        </w:rPr>
        <w:t xml:space="preserve"> freedom) that is unavailable to us through theoretical means</w:t>
      </w:r>
      <w:r>
        <w:rPr>
          <w:iCs/>
          <w:sz w:val="22"/>
        </w:rPr>
        <w:t xml:space="preserve">; in none of the texts Hogan cites does Kant claim we can have </w:t>
      </w:r>
      <w:r w:rsidRPr="00827278">
        <w:rPr>
          <w:i/>
          <w:iCs/>
          <w:sz w:val="22"/>
        </w:rPr>
        <w:t>knowledge</w:t>
      </w:r>
      <w:r>
        <w:rPr>
          <w:iCs/>
          <w:sz w:val="22"/>
        </w:rPr>
        <w:t xml:space="preserve"> of the specific content of the free exercise of our </w:t>
      </w:r>
      <w:proofErr w:type="spellStart"/>
      <w:r>
        <w:rPr>
          <w:iCs/>
          <w:sz w:val="22"/>
        </w:rPr>
        <w:t>noumenal</w:t>
      </w:r>
      <w:proofErr w:type="spellEnd"/>
      <w:r>
        <w:rPr>
          <w:iCs/>
          <w:sz w:val="22"/>
        </w:rPr>
        <w:t xml:space="preserve"> will</w:t>
      </w:r>
      <w:r w:rsidR="00937EFE">
        <w:rPr>
          <w:iCs/>
          <w:sz w:val="22"/>
        </w:rPr>
        <w:t>s</w:t>
      </w:r>
      <w:r>
        <w:rPr>
          <w:iCs/>
          <w:sz w:val="22"/>
        </w:rPr>
        <w:t xml:space="preserve"> </w:t>
      </w:r>
      <w:r w:rsidRPr="00827278">
        <w:rPr>
          <w:i/>
          <w:iCs/>
          <w:sz w:val="22"/>
        </w:rPr>
        <w:t>or that of any other agent</w:t>
      </w:r>
      <w:r>
        <w:rPr>
          <w:iCs/>
          <w:sz w:val="22"/>
        </w:rPr>
        <w:t>.  But this is the knowledge relevant to the argument because it is the knowledge for which premise (3) might plausibly be thought to be true; I do not need to be causally affected by other agents to have knowl</w:t>
      </w:r>
      <w:r w:rsidR="00937EFE">
        <w:rPr>
          <w:iCs/>
          <w:sz w:val="22"/>
        </w:rPr>
        <w:t xml:space="preserve">edge of my own </w:t>
      </w:r>
      <w:proofErr w:type="spellStart"/>
      <w:r w:rsidR="00937EFE">
        <w:rPr>
          <w:iCs/>
          <w:sz w:val="22"/>
        </w:rPr>
        <w:t>noumenal</w:t>
      </w:r>
      <w:proofErr w:type="spellEnd"/>
      <w:r w:rsidR="00937EFE">
        <w:rPr>
          <w:iCs/>
          <w:sz w:val="22"/>
        </w:rPr>
        <w:t xml:space="preserve"> freedom, and Hogan has given no reason to think otherwise.</w:t>
      </w:r>
      <w:r w:rsidR="00782130">
        <w:rPr>
          <w:rStyle w:val="EndnoteReference"/>
          <w:iCs/>
          <w:sz w:val="22"/>
        </w:rPr>
        <w:endnoteReference w:id="10"/>
      </w:r>
    </w:p>
    <w:p w:rsidR="00A53D31" w:rsidRDefault="008353EB" w:rsidP="00A53D31">
      <w:pPr>
        <w:spacing w:before="240" w:after="240" w:line="480" w:lineRule="auto"/>
        <w:rPr>
          <w:sz w:val="22"/>
        </w:rPr>
      </w:pPr>
      <w:r w:rsidRPr="00414CDA">
        <w:rPr>
          <w:sz w:val="22"/>
        </w:rPr>
        <w:t>The Indispensability argument, as reconstructed by Hogan, fails because</w:t>
      </w:r>
      <w:r w:rsidR="00E26538">
        <w:rPr>
          <w:sz w:val="22"/>
        </w:rPr>
        <w:t xml:space="preserve"> the term ‘action’ is ambiguous.  </w:t>
      </w:r>
      <w:r w:rsidRPr="00414CDA">
        <w:rPr>
          <w:sz w:val="22"/>
        </w:rPr>
        <w:t xml:space="preserve"> </w:t>
      </w:r>
      <w:r w:rsidR="00E26538">
        <w:rPr>
          <w:sz w:val="22"/>
        </w:rPr>
        <w:t>I</w:t>
      </w:r>
      <w:r>
        <w:rPr>
          <w:sz w:val="22"/>
        </w:rPr>
        <w:t xml:space="preserve">f </w:t>
      </w:r>
      <w:r w:rsidR="00E26538">
        <w:rPr>
          <w:sz w:val="22"/>
        </w:rPr>
        <w:t>it refers to empirical actions</w:t>
      </w:r>
      <w:r w:rsidR="0008314D">
        <w:rPr>
          <w:sz w:val="22"/>
        </w:rPr>
        <w:t xml:space="preserve">, empirical affection explains our empirical </w:t>
      </w:r>
      <w:r w:rsidR="00E26538">
        <w:rPr>
          <w:sz w:val="22"/>
        </w:rPr>
        <w:t xml:space="preserve">knowledge, and the argument does not show why we need to posit </w:t>
      </w:r>
      <w:proofErr w:type="spellStart"/>
      <w:r w:rsidR="00E26538">
        <w:rPr>
          <w:sz w:val="22"/>
        </w:rPr>
        <w:t>Noumenal</w:t>
      </w:r>
      <w:proofErr w:type="spellEnd"/>
      <w:r w:rsidR="00E26538">
        <w:rPr>
          <w:sz w:val="22"/>
        </w:rPr>
        <w:t xml:space="preserve"> Affection.</w:t>
      </w:r>
      <w:r>
        <w:rPr>
          <w:sz w:val="22"/>
        </w:rPr>
        <w:t xml:space="preserve"> </w:t>
      </w:r>
      <w:r w:rsidR="00E26538">
        <w:rPr>
          <w:sz w:val="22"/>
        </w:rPr>
        <w:t>If it refers to</w:t>
      </w:r>
      <w:r>
        <w:rPr>
          <w:sz w:val="22"/>
        </w:rPr>
        <w:t xml:space="preserve"> ‘</w:t>
      </w:r>
      <w:proofErr w:type="spellStart"/>
      <w:r>
        <w:rPr>
          <w:sz w:val="22"/>
        </w:rPr>
        <w:t>noumenal</w:t>
      </w:r>
      <w:proofErr w:type="spellEnd"/>
      <w:r>
        <w:rPr>
          <w:sz w:val="22"/>
        </w:rPr>
        <w:t xml:space="preserve">’ actions, </w:t>
      </w:r>
      <w:r w:rsidR="0008314D">
        <w:rPr>
          <w:sz w:val="22"/>
        </w:rPr>
        <w:t>there is no empirical knowledge to be explained</w:t>
      </w:r>
      <w:r w:rsidR="00E26538">
        <w:rPr>
          <w:sz w:val="22"/>
        </w:rPr>
        <w:t xml:space="preserve"> in the first place</w:t>
      </w:r>
      <w:r w:rsidR="0008314D">
        <w:rPr>
          <w:sz w:val="22"/>
        </w:rPr>
        <w:t>.</w:t>
      </w:r>
    </w:p>
    <w:p w:rsidR="004B78D8" w:rsidRDefault="005660DF" w:rsidP="00A53D31">
      <w:pPr>
        <w:spacing w:before="240" w:after="240" w:line="480" w:lineRule="auto"/>
        <w:rPr>
          <w:sz w:val="22"/>
        </w:rPr>
      </w:pPr>
      <w:r w:rsidRPr="00414CDA">
        <w:rPr>
          <w:sz w:val="22"/>
        </w:rPr>
        <w:t>However, the failure of the Indispensability argument ramifies through the rest of</w:t>
      </w:r>
      <w:r w:rsidR="002B2989">
        <w:rPr>
          <w:sz w:val="22"/>
        </w:rPr>
        <w:t xml:space="preserve"> Hogan’s project.  If the Indispensa</w:t>
      </w:r>
      <w:r w:rsidRPr="00414CDA">
        <w:rPr>
          <w:sz w:val="22"/>
        </w:rPr>
        <w:t xml:space="preserve">bility argument fails, so fails Hogan’s attempt to solve the Indispensability problem: why does Kant regard </w:t>
      </w:r>
      <w:proofErr w:type="spellStart"/>
      <w:r w:rsidRPr="00414CDA">
        <w:rPr>
          <w:sz w:val="22"/>
        </w:rPr>
        <w:t>noumenal</w:t>
      </w:r>
      <w:proofErr w:type="spellEnd"/>
      <w:r w:rsidRPr="00414CDA">
        <w:rPr>
          <w:sz w:val="22"/>
        </w:rPr>
        <w:t xml:space="preserve"> affection as indispensable for experience?</w:t>
      </w:r>
      <w:r w:rsidR="002B2989">
        <w:rPr>
          <w:rStyle w:val="EndnoteReference"/>
          <w:sz w:val="22"/>
        </w:rPr>
        <w:endnoteReference w:id="11"/>
      </w:r>
      <w:r w:rsidRPr="00414CDA">
        <w:rPr>
          <w:sz w:val="22"/>
        </w:rPr>
        <w:t xml:space="preserve">  Secondly, even if </w:t>
      </w:r>
      <w:proofErr w:type="spellStart"/>
      <w:r w:rsidRPr="00414CDA">
        <w:rPr>
          <w:sz w:val="22"/>
        </w:rPr>
        <w:t>Noumenal</w:t>
      </w:r>
      <w:proofErr w:type="spellEnd"/>
      <w:r w:rsidRPr="00414CDA">
        <w:rPr>
          <w:sz w:val="22"/>
        </w:rPr>
        <w:t xml:space="preserve"> Ignorance expresses the motivation for the Freedom premise in the Indispensability argument, this does nothing to show that </w:t>
      </w:r>
      <w:proofErr w:type="spellStart"/>
      <w:r w:rsidRPr="00414CDA">
        <w:rPr>
          <w:sz w:val="22"/>
        </w:rPr>
        <w:t>Noumenal</w:t>
      </w:r>
      <w:proofErr w:type="spellEnd"/>
      <w:r w:rsidRPr="00414CDA">
        <w:rPr>
          <w:sz w:val="22"/>
        </w:rPr>
        <w:t xml:space="preserve"> Ignorance is part of the motivation for </w:t>
      </w:r>
      <w:proofErr w:type="spellStart"/>
      <w:r w:rsidRPr="00414CDA">
        <w:rPr>
          <w:sz w:val="22"/>
        </w:rPr>
        <w:t>Noumenal</w:t>
      </w:r>
      <w:proofErr w:type="spellEnd"/>
      <w:r w:rsidRPr="00414CDA">
        <w:rPr>
          <w:sz w:val="22"/>
        </w:rPr>
        <w:t xml:space="preserve"> Affection, because the Indispensability argument fails.</w:t>
      </w:r>
      <w:r w:rsidR="00C04378">
        <w:rPr>
          <w:sz w:val="22"/>
        </w:rPr>
        <w:t xml:space="preserve">  Finally, Hogan has done nothing to show that </w:t>
      </w:r>
      <w:proofErr w:type="spellStart"/>
      <w:r w:rsidR="00C04378">
        <w:rPr>
          <w:sz w:val="22"/>
        </w:rPr>
        <w:t>Noumenal</w:t>
      </w:r>
      <w:proofErr w:type="spellEnd"/>
      <w:r w:rsidR="00C04378">
        <w:rPr>
          <w:sz w:val="22"/>
        </w:rPr>
        <w:t xml:space="preserve"> Affection is consistent with </w:t>
      </w:r>
      <w:proofErr w:type="spellStart"/>
      <w:r w:rsidR="00C04378">
        <w:rPr>
          <w:sz w:val="22"/>
        </w:rPr>
        <w:t>Noumenal</w:t>
      </w:r>
      <w:proofErr w:type="spellEnd"/>
      <w:r w:rsidR="00C04378">
        <w:rPr>
          <w:sz w:val="22"/>
        </w:rPr>
        <w:t xml:space="preserve"> Ignorance.  If the content of </w:t>
      </w:r>
      <w:proofErr w:type="spellStart"/>
      <w:r w:rsidR="00C04378">
        <w:rPr>
          <w:sz w:val="22"/>
        </w:rPr>
        <w:t>Noumenal</w:t>
      </w:r>
      <w:proofErr w:type="spellEnd"/>
      <w:r w:rsidR="00C04378">
        <w:rPr>
          <w:sz w:val="22"/>
        </w:rPr>
        <w:t xml:space="preserve"> Ignorance were </w:t>
      </w:r>
      <w:r w:rsidR="00C04378" w:rsidRPr="00C04378">
        <w:rPr>
          <w:i/>
          <w:iCs/>
          <w:sz w:val="22"/>
        </w:rPr>
        <w:t>exhausted</w:t>
      </w:r>
      <w:r w:rsidR="00C04378">
        <w:rPr>
          <w:sz w:val="22"/>
        </w:rPr>
        <w:t xml:space="preserve"> by the Freedom premise of the Indispensability argument, </w:t>
      </w:r>
      <w:r w:rsidR="006E15CC">
        <w:rPr>
          <w:sz w:val="22"/>
        </w:rPr>
        <w:t xml:space="preserve">then there would be no </w:t>
      </w:r>
      <w:r w:rsidR="006E15CC" w:rsidRPr="006E15CC">
        <w:rPr>
          <w:i/>
          <w:iCs/>
          <w:sz w:val="22"/>
        </w:rPr>
        <w:t>prima facie</w:t>
      </w:r>
      <w:r w:rsidR="006E15CC">
        <w:rPr>
          <w:sz w:val="22"/>
        </w:rPr>
        <w:t xml:space="preserve"> conflict between them. Hogan has not argued for this</w:t>
      </w:r>
      <w:r w:rsidR="00827278">
        <w:rPr>
          <w:sz w:val="22"/>
        </w:rPr>
        <w:t xml:space="preserve">, but only for the weaker claim that </w:t>
      </w:r>
      <w:proofErr w:type="spellStart"/>
      <w:r w:rsidR="00827278">
        <w:rPr>
          <w:sz w:val="22"/>
        </w:rPr>
        <w:t>Noumenal</w:t>
      </w:r>
      <w:proofErr w:type="spellEnd"/>
      <w:r w:rsidR="00827278">
        <w:rPr>
          <w:sz w:val="22"/>
        </w:rPr>
        <w:t xml:space="preserve"> Ignorance</w:t>
      </w:r>
      <w:r w:rsidR="00827278" w:rsidRPr="00E26538">
        <w:rPr>
          <w:sz w:val="22"/>
        </w:rPr>
        <w:t xml:space="preserve"> “incorporates” the claim that some features of reality (most importantly, free acts of finite rational a</w:t>
      </w:r>
      <w:r w:rsidR="00827278">
        <w:rPr>
          <w:sz w:val="22"/>
        </w:rPr>
        <w:t>gents) lack determining grounds</w:t>
      </w:r>
      <w:r w:rsidR="00971435">
        <w:rPr>
          <w:sz w:val="22"/>
        </w:rPr>
        <w:t xml:space="preserve"> (see Hogan 2009a</w:t>
      </w:r>
      <w:r w:rsidR="0085747B">
        <w:rPr>
          <w:sz w:val="22"/>
        </w:rPr>
        <w:t>)</w:t>
      </w:r>
      <w:r w:rsidR="006E15CC">
        <w:rPr>
          <w:sz w:val="22"/>
        </w:rPr>
        <w:t>.</w:t>
      </w:r>
      <w:r w:rsidR="00E26538">
        <w:rPr>
          <w:sz w:val="22"/>
        </w:rPr>
        <w:t xml:space="preserve">  </w:t>
      </w:r>
      <w:r w:rsidR="00827278">
        <w:rPr>
          <w:sz w:val="22"/>
        </w:rPr>
        <w:t xml:space="preserve">But </w:t>
      </w:r>
      <w:proofErr w:type="spellStart"/>
      <w:r w:rsidR="00827278">
        <w:rPr>
          <w:sz w:val="22"/>
        </w:rPr>
        <w:t>Noumenal</w:t>
      </w:r>
      <w:proofErr w:type="spellEnd"/>
      <w:r w:rsidR="00827278">
        <w:rPr>
          <w:sz w:val="22"/>
        </w:rPr>
        <w:t xml:space="preserve"> Ignorance s</w:t>
      </w:r>
      <w:r w:rsidR="007D0298">
        <w:rPr>
          <w:sz w:val="22"/>
        </w:rPr>
        <w:t>eems to extend much more widely;</w:t>
      </w:r>
      <w:r w:rsidR="00827278">
        <w:rPr>
          <w:sz w:val="22"/>
        </w:rPr>
        <w:t xml:space="preserve"> it seems to be the </w:t>
      </w:r>
      <w:r w:rsidR="007D0298">
        <w:rPr>
          <w:sz w:val="22"/>
        </w:rPr>
        <w:t xml:space="preserve">claim that we cannot know anything positive and substantive about things in </w:t>
      </w:r>
      <w:proofErr w:type="gramStart"/>
      <w:r w:rsidR="007D0298">
        <w:rPr>
          <w:sz w:val="22"/>
        </w:rPr>
        <w:t>themselves</w:t>
      </w:r>
      <w:proofErr w:type="gramEnd"/>
      <w:r w:rsidR="007D0298">
        <w:rPr>
          <w:sz w:val="22"/>
        </w:rPr>
        <w:t xml:space="preserve"> on theoretical grounds.</w:t>
      </w:r>
      <w:r w:rsidR="007D0298">
        <w:rPr>
          <w:rStyle w:val="EndnoteReference"/>
          <w:sz w:val="22"/>
        </w:rPr>
        <w:endnoteReference w:id="12"/>
      </w:r>
      <w:r w:rsidR="007D0298">
        <w:rPr>
          <w:sz w:val="22"/>
        </w:rPr>
        <w:t xml:space="preserve"> (I am not assuming this is true, but merely pointing out that Hogan has not ruled it out.) </w:t>
      </w:r>
      <w:r w:rsidR="00827278">
        <w:rPr>
          <w:sz w:val="22"/>
        </w:rPr>
        <w:t xml:space="preserve">So there is reason to think that </w:t>
      </w:r>
      <w:proofErr w:type="spellStart"/>
      <w:r w:rsidR="00827278">
        <w:rPr>
          <w:sz w:val="22"/>
        </w:rPr>
        <w:t>Noumenal</w:t>
      </w:r>
      <w:proofErr w:type="spellEnd"/>
      <w:r w:rsidR="00827278">
        <w:rPr>
          <w:sz w:val="22"/>
        </w:rPr>
        <w:t xml:space="preserve"> Ignorance is not exhausted by the Freedom premise and, hence, that Hogan </w:t>
      </w:r>
      <w:r w:rsidR="00782130">
        <w:rPr>
          <w:sz w:val="22"/>
        </w:rPr>
        <w:t xml:space="preserve">has done nothing to resolve the mystery of why </w:t>
      </w:r>
      <w:proofErr w:type="spellStart"/>
      <w:r w:rsidR="00782130">
        <w:rPr>
          <w:sz w:val="22"/>
        </w:rPr>
        <w:t>Noumenal</w:t>
      </w:r>
      <w:proofErr w:type="spellEnd"/>
      <w:r w:rsidR="00782130">
        <w:rPr>
          <w:sz w:val="22"/>
        </w:rPr>
        <w:t xml:space="preserve"> Ignorance is compatible with </w:t>
      </w:r>
      <w:proofErr w:type="spellStart"/>
      <w:r w:rsidR="00782130">
        <w:rPr>
          <w:sz w:val="22"/>
        </w:rPr>
        <w:t>Noumenal</w:t>
      </w:r>
      <w:proofErr w:type="spellEnd"/>
      <w:r w:rsidR="00782130">
        <w:rPr>
          <w:sz w:val="22"/>
        </w:rPr>
        <w:t xml:space="preserve"> Affection</w:t>
      </w:r>
      <w:r w:rsidR="00827278">
        <w:rPr>
          <w:sz w:val="22"/>
        </w:rPr>
        <w:t xml:space="preserve">. </w:t>
      </w:r>
      <w:r w:rsidR="007D0298">
        <w:rPr>
          <w:sz w:val="22"/>
        </w:rPr>
        <w:t xml:space="preserve">Consequently, </w:t>
      </w:r>
      <w:r w:rsidR="00827278">
        <w:rPr>
          <w:sz w:val="22"/>
        </w:rPr>
        <w:t>b</w:t>
      </w:r>
      <w:r w:rsidR="00E26538">
        <w:rPr>
          <w:sz w:val="22"/>
        </w:rPr>
        <w:t>oth the Compatibility and t</w:t>
      </w:r>
      <w:r w:rsidR="004B78D8">
        <w:rPr>
          <w:sz w:val="22"/>
        </w:rPr>
        <w:t>he In</w:t>
      </w:r>
      <w:r w:rsidR="00827278">
        <w:rPr>
          <w:sz w:val="22"/>
        </w:rPr>
        <w:t>dispensability</w:t>
      </w:r>
      <w:r w:rsidR="004B78D8">
        <w:rPr>
          <w:sz w:val="22"/>
        </w:rPr>
        <w:t xml:space="preserve"> problem remain unsolved.</w:t>
      </w:r>
      <w:r w:rsidR="00E26538">
        <w:rPr>
          <w:sz w:val="22"/>
        </w:rPr>
        <w:t xml:space="preserve"> </w:t>
      </w:r>
    </w:p>
    <w:p w:rsidR="00A53D31" w:rsidRPr="00F01FEF" w:rsidRDefault="008715EE" w:rsidP="00A53D31">
      <w:pPr>
        <w:spacing w:line="480" w:lineRule="auto"/>
        <w:jc w:val="both"/>
        <w:rPr>
          <w:b/>
          <w:sz w:val="22"/>
        </w:rPr>
      </w:pPr>
      <w:r w:rsidRPr="00F01FEF">
        <w:rPr>
          <w:b/>
          <w:sz w:val="22"/>
        </w:rPr>
        <w:t>Endnotes</w:t>
      </w:r>
    </w:p>
    <w:sectPr w:rsidR="00A53D31" w:rsidRPr="00F01FEF" w:rsidSect="007E507A">
      <w:footerReference w:type="even" r:id="rId8"/>
      <w:footerReference w:type="default" r:id="rId9"/>
      <w:endnotePr>
        <w:numFmt w:val="decimal"/>
      </w:endnotePr>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435" w:rsidRPr="00F01FEF" w:rsidRDefault="00971435" w:rsidP="00F01FEF">
      <w:pPr>
        <w:pStyle w:val="Footer"/>
      </w:pPr>
    </w:p>
  </w:endnote>
  <w:endnote w:type="continuationSeparator" w:id="0">
    <w:p w:rsidR="00971435" w:rsidRDefault="00971435" w:rsidP="00F66381"/>
  </w:endnote>
  <w:endnote w:id="1">
    <w:p w:rsidR="00971435" w:rsidRDefault="00971435">
      <w:pPr>
        <w:pStyle w:val="EndnoteText"/>
        <w:rPr>
          <w:sz w:val="22"/>
        </w:rPr>
      </w:pPr>
      <w:r>
        <w:rPr>
          <w:rStyle w:val="EndnoteReference"/>
        </w:rPr>
        <w:endnoteRef/>
      </w:r>
      <w:r>
        <w:t xml:space="preserve"> </w:t>
      </w:r>
      <w:r w:rsidRPr="00971435">
        <w:rPr>
          <w:sz w:val="22"/>
        </w:rPr>
        <w:t xml:space="preserve">In the third chapter of </w:t>
      </w:r>
      <w:proofErr w:type="spellStart"/>
      <w:r>
        <w:rPr>
          <w:sz w:val="22"/>
        </w:rPr>
        <w:t>Adickes</w:t>
      </w:r>
      <w:proofErr w:type="spellEnd"/>
      <w:r>
        <w:rPr>
          <w:sz w:val="22"/>
        </w:rPr>
        <w:t xml:space="preserve"> (1924)</w:t>
      </w:r>
      <w:r w:rsidRPr="00971435">
        <w:rPr>
          <w:sz w:val="22"/>
        </w:rPr>
        <w:t xml:space="preserve">, Erich </w:t>
      </w:r>
      <w:proofErr w:type="spellStart"/>
      <w:r w:rsidRPr="00971435">
        <w:rPr>
          <w:sz w:val="22"/>
        </w:rPr>
        <w:t>Adickes</w:t>
      </w:r>
      <w:proofErr w:type="spellEnd"/>
      <w:r w:rsidRPr="00971435">
        <w:rPr>
          <w:sz w:val="22"/>
        </w:rPr>
        <w:t xml:space="preserve"> assembles an impressive array of textual evidence for this claim.  See especially A</w:t>
      </w:r>
      <w:r>
        <w:rPr>
          <w:sz w:val="22"/>
        </w:rPr>
        <w:t>190/B235, A387, A494/B522, 4.289, 4.314, 4.318, 4.451 and 8.</w:t>
      </w:r>
      <w:r w:rsidRPr="00971435">
        <w:rPr>
          <w:sz w:val="22"/>
        </w:rPr>
        <w:t>215.</w:t>
      </w:r>
    </w:p>
    <w:p w:rsidR="00971435" w:rsidRDefault="00971435">
      <w:pPr>
        <w:pStyle w:val="EndnoteText"/>
      </w:pPr>
    </w:p>
  </w:endnote>
  <w:endnote w:id="2">
    <w:p w:rsidR="00971435" w:rsidRDefault="00971435" w:rsidP="0085747B">
      <w:pPr>
        <w:pStyle w:val="EndnoteText"/>
        <w:spacing w:line="480" w:lineRule="auto"/>
        <w:rPr>
          <w:sz w:val="22"/>
        </w:rPr>
      </w:pPr>
      <w:r w:rsidRPr="0008314D">
        <w:rPr>
          <w:rStyle w:val="EndnoteReference"/>
          <w:sz w:val="22"/>
        </w:rPr>
        <w:endnoteRef/>
      </w:r>
      <w:r w:rsidRPr="0008314D">
        <w:rPr>
          <w:sz w:val="22"/>
        </w:rPr>
        <w:t xml:space="preserve"> Van Cleve</w:t>
      </w:r>
      <w:r>
        <w:rPr>
          <w:sz w:val="22"/>
        </w:rPr>
        <w:t xml:space="preserve"> (1999: 135). Hogan</w:t>
      </w:r>
      <w:r w:rsidRPr="0008314D">
        <w:rPr>
          <w:sz w:val="22"/>
        </w:rPr>
        <w:t xml:space="preserve"> discusses Van Cleve in </w:t>
      </w:r>
      <w:r>
        <w:rPr>
          <w:sz w:val="22"/>
        </w:rPr>
        <w:t>(2009b: 503).</w:t>
      </w:r>
    </w:p>
    <w:p w:rsidR="00971435" w:rsidRPr="0008314D" w:rsidRDefault="00971435" w:rsidP="0085747B">
      <w:pPr>
        <w:pStyle w:val="EndnoteText"/>
        <w:spacing w:line="480" w:lineRule="auto"/>
        <w:rPr>
          <w:sz w:val="22"/>
        </w:rPr>
      </w:pPr>
    </w:p>
  </w:endnote>
  <w:endnote w:id="3">
    <w:p w:rsidR="00971435" w:rsidRDefault="00971435" w:rsidP="0085747B">
      <w:pPr>
        <w:pStyle w:val="EndnoteText"/>
        <w:spacing w:line="480" w:lineRule="auto"/>
        <w:rPr>
          <w:sz w:val="22"/>
        </w:rPr>
      </w:pPr>
      <w:r w:rsidRPr="0008314D">
        <w:rPr>
          <w:rStyle w:val="EndnoteReference"/>
          <w:sz w:val="22"/>
        </w:rPr>
        <w:endnoteRef/>
      </w:r>
      <w:r w:rsidRPr="0008314D">
        <w:rPr>
          <w:sz w:val="22"/>
        </w:rPr>
        <w:t xml:space="preserve"> See especially “</w:t>
      </w:r>
      <w:r w:rsidRPr="00EC1C80">
        <w:rPr>
          <w:i/>
          <w:sz w:val="22"/>
        </w:rPr>
        <w:t>On a discovery whereby any new critique of pure reason is to be made superfluous by an older one</w:t>
      </w:r>
      <w:r>
        <w:rPr>
          <w:sz w:val="22"/>
        </w:rPr>
        <w:t>” (8.</w:t>
      </w:r>
      <w:r w:rsidRPr="0008314D">
        <w:rPr>
          <w:sz w:val="22"/>
        </w:rPr>
        <w:t>215).</w:t>
      </w:r>
      <w:r>
        <w:rPr>
          <w:sz w:val="22"/>
        </w:rPr>
        <w:t xml:space="preserve"> </w:t>
      </w:r>
      <w:r w:rsidRPr="00662411">
        <w:rPr>
          <w:sz w:val="22"/>
        </w:rPr>
        <w:t xml:space="preserve">Citations to the works of Kant give the volume and page number </w:t>
      </w:r>
      <w:r>
        <w:rPr>
          <w:sz w:val="22"/>
        </w:rPr>
        <w:t>in the Academy edition</w:t>
      </w:r>
      <w:r w:rsidRPr="00662411">
        <w:rPr>
          <w:sz w:val="22"/>
        </w:rPr>
        <w:t xml:space="preserve">, </w:t>
      </w:r>
      <w:proofErr w:type="spellStart"/>
      <w:proofErr w:type="gramStart"/>
      <w:r w:rsidRPr="00662411">
        <w:rPr>
          <w:i/>
          <w:sz w:val="22"/>
        </w:rPr>
        <w:t>Kants</w:t>
      </w:r>
      <w:proofErr w:type="spellEnd"/>
      <w:proofErr w:type="gramEnd"/>
      <w:r w:rsidRPr="00662411">
        <w:rPr>
          <w:i/>
          <w:sz w:val="22"/>
        </w:rPr>
        <w:t xml:space="preserve"> </w:t>
      </w:r>
      <w:proofErr w:type="spellStart"/>
      <w:r w:rsidRPr="00662411">
        <w:rPr>
          <w:i/>
          <w:sz w:val="22"/>
        </w:rPr>
        <w:t>gesammelte</w:t>
      </w:r>
      <w:proofErr w:type="spellEnd"/>
      <w:r w:rsidRPr="00662411">
        <w:rPr>
          <w:i/>
          <w:sz w:val="22"/>
        </w:rPr>
        <w:t xml:space="preserve"> </w:t>
      </w:r>
      <w:proofErr w:type="spellStart"/>
      <w:r w:rsidRPr="00662411">
        <w:rPr>
          <w:i/>
          <w:sz w:val="22"/>
        </w:rPr>
        <w:t>Schriften</w:t>
      </w:r>
      <w:proofErr w:type="spellEnd"/>
      <w:r w:rsidRPr="00662411">
        <w:rPr>
          <w:sz w:val="22"/>
        </w:rPr>
        <w:t xml:space="preserve">, edited by the Berlin-Brandenburg Academy of Sciences (Berlin: Walter de </w:t>
      </w:r>
      <w:proofErr w:type="spellStart"/>
      <w:r w:rsidRPr="00662411">
        <w:rPr>
          <w:sz w:val="22"/>
        </w:rPr>
        <w:t>Gruyter</w:t>
      </w:r>
      <w:proofErr w:type="spellEnd"/>
      <w:r w:rsidRPr="00662411">
        <w:rPr>
          <w:sz w:val="22"/>
        </w:rPr>
        <w:t xml:space="preserve">, 1900—).  All citations to the </w:t>
      </w:r>
      <w:r>
        <w:rPr>
          <w:i/>
          <w:sz w:val="22"/>
        </w:rPr>
        <w:t>Critique of Pure Reason</w:t>
      </w:r>
      <w:r w:rsidRPr="00662411">
        <w:rPr>
          <w:sz w:val="22"/>
        </w:rPr>
        <w:t xml:space="preserve"> </w:t>
      </w:r>
      <w:r>
        <w:rPr>
          <w:sz w:val="22"/>
        </w:rPr>
        <w:t>(</w:t>
      </w:r>
      <w:r w:rsidRPr="00EC1C80">
        <w:rPr>
          <w:i/>
          <w:sz w:val="22"/>
        </w:rPr>
        <w:t>CPR</w:t>
      </w:r>
      <w:r>
        <w:rPr>
          <w:sz w:val="22"/>
        </w:rPr>
        <w:t xml:space="preserve">) </w:t>
      </w:r>
      <w:r w:rsidRPr="00662411">
        <w:rPr>
          <w:sz w:val="22"/>
        </w:rPr>
        <w:t>use the customary format of giving the page in the 1</w:t>
      </w:r>
      <w:r w:rsidRPr="00662411">
        <w:rPr>
          <w:sz w:val="22"/>
          <w:vertAlign w:val="superscript"/>
        </w:rPr>
        <w:t>st</w:t>
      </w:r>
      <w:r w:rsidRPr="00662411">
        <w:rPr>
          <w:sz w:val="22"/>
        </w:rPr>
        <w:t>-edition of 1781 (A), followed by the page in the 2</w:t>
      </w:r>
      <w:r w:rsidRPr="00662411">
        <w:rPr>
          <w:sz w:val="22"/>
          <w:vertAlign w:val="superscript"/>
        </w:rPr>
        <w:t>nd</w:t>
      </w:r>
      <w:r w:rsidRPr="00662411">
        <w:rPr>
          <w:sz w:val="22"/>
        </w:rPr>
        <w:t>-edition of 1787 (B) (e.g. A327/B384).</w:t>
      </w:r>
      <w:r>
        <w:rPr>
          <w:sz w:val="22"/>
        </w:rPr>
        <w:t xml:space="preserve">  When I quote Kant in translation, I also cite the translation and the relevant page number.  See the list of References for translation consulted in the preparation of this paper.</w:t>
      </w:r>
    </w:p>
    <w:p w:rsidR="00971435" w:rsidRPr="00662411" w:rsidRDefault="00971435" w:rsidP="0085747B">
      <w:pPr>
        <w:pStyle w:val="EndnoteText"/>
        <w:spacing w:line="480" w:lineRule="auto"/>
        <w:rPr>
          <w:sz w:val="22"/>
        </w:rPr>
      </w:pPr>
    </w:p>
  </w:endnote>
  <w:endnote w:id="4">
    <w:p w:rsidR="00971435" w:rsidRPr="0008314D" w:rsidRDefault="00971435" w:rsidP="0085747B">
      <w:pPr>
        <w:pStyle w:val="EndnoteText"/>
        <w:spacing w:line="480" w:lineRule="auto"/>
        <w:rPr>
          <w:sz w:val="22"/>
        </w:rPr>
      </w:pPr>
      <w:r w:rsidRPr="0008314D">
        <w:rPr>
          <w:rStyle w:val="EndnoteReference"/>
          <w:sz w:val="22"/>
        </w:rPr>
        <w:endnoteRef/>
      </w:r>
      <w:r w:rsidRPr="0008314D">
        <w:rPr>
          <w:sz w:val="22"/>
        </w:rPr>
        <w:t xml:space="preserve"> </w:t>
      </w:r>
      <w:proofErr w:type="gramStart"/>
      <w:r>
        <w:rPr>
          <w:sz w:val="22"/>
        </w:rPr>
        <w:t>Hogan (2009b:</w:t>
      </w:r>
      <w:r w:rsidRPr="0008314D">
        <w:rPr>
          <w:sz w:val="22"/>
        </w:rPr>
        <w:t xml:space="preserve"> 514-</w:t>
      </w:r>
      <w:r>
        <w:rPr>
          <w:sz w:val="22"/>
        </w:rPr>
        <w:t>1</w:t>
      </w:r>
      <w:r w:rsidRPr="0008314D">
        <w:rPr>
          <w:sz w:val="22"/>
        </w:rPr>
        <w:t>5</w:t>
      </w:r>
      <w:r>
        <w:rPr>
          <w:sz w:val="22"/>
        </w:rPr>
        <w:t>)</w:t>
      </w:r>
      <w:r w:rsidRPr="0008314D">
        <w:rPr>
          <w:sz w:val="22"/>
        </w:rPr>
        <w:t>.</w:t>
      </w:r>
      <w:proofErr w:type="gramEnd"/>
      <w:r w:rsidRPr="0008314D">
        <w:rPr>
          <w:sz w:val="22"/>
        </w:rPr>
        <w:t xml:space="preserve">  The Freedom and Knowledge premises have been slightly altered to make their meaning more clear.  The third premise and conclusion have been modified to make clear that the only causal relation that follows from the argument is one-way: from actions to representations of those actions by agents.</w:t>
      </w:r>
    </w:p>
    <w:p w:rsidR="00971435" w:rsidRPr="0008314D" w:rsidRDefault="00971435" w:rsidP="0085747B">
      <w:pPr>
        <w:pStyle w:val="EndnoteText"/>
        <w:spacing w:line="480" w:lineRule="auto"/>
        <w:rPr>
          <w:sz w:val="22"/>
        </w:rPr>
      </w:pPr>
    </w:p>
  </w:endnote>
  <w:endnote w:id="5">
    <w:p w:rsidR="00971435" w:rsidRPr="0008314D" w:rsidRDefault="00971435" w:rsidP="0085747B">
      <w:pPr>
        <w:pStyle w:val="EndnoteText"/>
        <w:spacing w:line="480" w:lineRule="auto"/>
        <w:rPr>
          <w:sz w:val="22"/>
        </w:rPr>
      </w:pPr>
      <w:r w:rsidRPr="0008314D">
        <w:rPr>
          <w:rStyle w:val="EndnoteReference"/>
          <w:sz w:val="22"/>
        </w:rPr>
        <w:endnoteRef/>
      </w:r>
      <w:r w:rsidRPr="0008314D">
        <w:rPr>
          <w:sz w:val="22"/>
        </w:rPr>
        <w:t xml:space="preserve"> In CPR Kant introduces the notion of intelligible character at A537/B565.  </w:t>
      </w:r>
    </w:p>
    <w:p w:rsidR="00971435" w:rsidRPr="0008314D" w:rsidRDefault="00971435" w:rsidP="0085747B">
      <w:pPr>
        <w:pStyle w:val="EndnoteText"/>
        <w:spacing w:line="480" w:lineRule="auto"/>
        <w:rPr>
          <w:sz w:val="22"/>
        </w:rPr>
      </w:pPr>
    </w:p>
  </w:endnote>
  <w:endnote w:id="6">
    <w:p w:rsidR="00971435" w:rsidRPr="0008314D" w:rsidRDefault="00971435" w:rsidP="0085747B">
      <w:pPr>
        <w:pStyle w:val="EndnoteText"/>
        <w:spacing w:line="480" w:lineRule="auto"/>
        <w:rPr>
          <w:sz w:val="22"/>
        </w:rPr>
      </w:pPr>
      <w:r w:rsidRPr="0008314D">
        <w:rPr>
          <w:rStyle w:val="EndnoteReference"/>
          <w:sz w:val="22"/>
        </w:rPr>
        <w:endnoteRef/>
      </w:r>
      <w:r w:rsidRPr="0008314D">
        <w:rPr>
          <w:sz w:val="22"/>
        </w:rPr>
        <w:t xml:space="preserve"> For the definition of empirical causality, see A539/B567.</w:t>
      </w:r>
    </w:p>
    <w:p w:rsidR="00971435" w:rsidRPr="0008314D" w:rsidRDefault="00971435" w:rsidP="0085747B">
      <w:pPr>
        <w:pStyle w:val="EndnoteText"/>
        <w:spacing w:line="480" w:lineRule="auto"/>
        <w:rPr>
          <w:sz w:val="22"/>
        </w:rPr>
      </w:pPr>
    </w:p>
  </w:endnote>
  <w:endnote w:id="7">
    <w:p w:rsidR="00971435" w:rsidRPr="0008314D" w:rsidRDefault="00971435" w:rsidP="0085747B">
      <w:pPr>
        <w:pStyle w:val="EndnoteText"/>
        <w:spacing w:line="480" w:lineRule="auto"/>
        <w:rPr>
          <w:sz w:val="22"/>
        </w:rPr>
      </w:pPr>
      <w:r w:rsidRPr="0008314D">
        <w:rPr>
          <w:rStyle w:val="EndnoteReference"/>
          <w:sz w:val="22"/>
        </w:rPr>
        <w:endnoteRef/>
      </w:r>
      <w:r w:rsidRPr="0008314D">
        <w:rPr>
          <w:sz w:val="22"/>
        </w:rPr>
        <w:t xml:space="preserve"> Kant describes intelligible character as causing empirical character at A546/B574, A551/B579, A556/B584, </w:t>
      </w:r>
      <w:proofErr w:type="gramStart"/>
      <w:r w:rsidRPr="0008314D">
        <w:rPr>
          <w:sz w:val="22"/>
        </w:rPr>
        <w:t>A557</w:t>
      </w:r>
      <w:proofErr w:type="gramEnd"/>
      <w:r w:rsidRPr="0008314D">
        <w:rPr>
          <w:sz w:val="22"/>
        </w:rPr>
        <w:t>/B585. Cf. A541/B569 where Kant describes empirical character as an appearance of intelligible character.</w:t>
      </w:r>
    </w:p>
    <w:p w:rsidR="00971435" w:rsidRPr="0008314D" w:rsidRDefault="00971435" w:rsidP="0085747B">
      <w:pPr>
        <w:pStyle w:val="EndnoteText"/>
        <w:spacing w:line="480" w:lineRule="auto"/>
        <w:rPr>
          <w:sz w:val="22"/>
        </w:rPr>
      </w:pPr>
    </w:p>
  </w:endnote>
  <w:endnote w:id="8">
    <w:p w:rsidR="00971435" w:rsidRPr="0008314D" w:rsidRDefault="00971435" w:rsidP="0085747B">
      <w:pPr>
        <w:pStyle w:val="EndnoteText"/>
        <w:spacing w:line="480" w:lineRule="auto"/>
        <w:rPr>
          <w:sz w:val="22"/>
        </w:rPr>
      </w:pPr>
      <w:r w:rsidRPr="0008314D">
        <w:rPr>
          <w:rStyle w:val="EndnoteReference"/>
          <w:sz w:val="22"/>
        </w:rPr>
        <w:endnoteRef/>
      </w:r>
      <w:r w:rsidRPr="0008314D">
        <w:rPr>
          <w:sz w:val="22"/>
        </w:rPr>
        <w:t xml:space="preserve"> Kant describes intelligible character as causing empirical actions at A537/B565, A539/B567, A553/B582, and A555/B583. Cf. </w:t>
      </w:r>
      <w:r w:rsidRPr="0008314D">
        <w:rPr>
          <w:i/>
          <w:iCs/>
          <w:sz w:val="22"/>
        </w:rPr>
        <w:t>Critique of Practical Reason</w:t>
      </w:r>
      <w:r>
        <w:rPr>
          <w:sz w:val="22"/>
        </w:rPr>
        <w:t>, 5.</w:t>
      </w:r>
      <w:r w:rsidRPr="0008314D">
        <w:rPr>
          <w:sz w:val="22"/>
        </w:rPr>
        <w:t>98.</w:t>
      </w:r>
    </w:p>
    <w:p w:rsidR="00971435" w:rsidRPr="0008314D" w:rsidRDefault="00971435" w:rsidP="0085747B">
      <w:pPr>
        <w:pStyle w:val="EndnoteText"/>
        <w:spacing w:line="480" w:lineRule="auto"/>
        <w:rPr>
          <w:sz w:val="22"/>
        </w:rPr>
      </w:pPr>
    </w:p>
  </w:endnote>
  <w:endnote w:id="9">
    <w:p w:rsidR="00971435" w:rsidRPr="0008314D" w:rsidRDefault="00971435" w:rsidP="0085747B">
      <w:pPr>
        <w:pStyle w:val="EndnoteText"/>
        <w:spacing w:line="480" w:lineRule="auto"/>
        <w:rPr>
          <w:sz w:val="22"/>
        </w:rPr>
      </w:pPr>
      <w:r w:rsidRPr="0008314D">
        <w:rPr>
          <w:rStyle w:val="EndnoteReference"/>
          <w:sz w:val="22"/>
        </w:rPr>
        <w:endnoteRef/>
      </w:r>
      <w:r w:rsidRPr="0008314D">
        <w:rPr>
          <w:sz w:val="22"/>
        </w:rPr>
        <w:t xml:space="preserve"> At A551/B579 Kant claims that intelligible (</w:t>
      </w:r>
      <w:proofErr w:type="spellStart"/>
      <w:r w:rsidRPr="0008314D">
        <w:rPr>
          <w:sz w:val="22"/>
        </w:rPr>
        <w:t>noumenal</w:t>
      </w:r>
      <w:proofErr w:type="spellEnd"/>
      <w:r w:rsidRPr="0008314D">
        <w:rPr>
          <w:sz w:val="22"/>
        </w:rPr>
        <w:t>) character is grounded in empirical character, and adds in a footnote: “The real morality of actions (their merit and guilt), even that of our own conduct, therefore remains entirely hidden from us.  Our imputations can be refer</w:t>
      </w:r>
      <w:r>
        <w:rPr>
          <w:sz w:val="22"/>
        </w:rPr>
        <w:t>red only to empirical character” (Kant 1998, 542).</w:t>
      </w:r>
      <w:r w:rsidRPr="0008314D">
        <w:rPr>
          <w:sz w:val="22"/>
        </w:rPr>
        <w:t xml:space="preserve">  Cf. A540/B568, </w:t>
      </w:r>
      <w:r w:rsidRPr="0008314D">
        <w:rPr>
          <w:i/>
          <w:sz w:val="22"/>
        </w:rPr>
        <w:t>Critique of Practical Reason</w:t>
      </w:r>
      <w:r>
        <w:rPr>
          <w:sz w:val="22"/>
        </w:rPr>
        <w:t xml:space="preserve"> (5.100) and</w:t>
      </w:r>
      <w:r w:rsidRPr="0008314D">
        <w:rPr>
          <w:sz w:val="22"/>
        </w:rPr>
        <w:t xml:space="preserve"> </w:t>
      </w:r>
      <w:r w:rsidRPr="0008314D">
        <w:rPr>
          <w:i/>
          <w:iCs/>
          <w:sz w:val="22"/>
        </w:rPr>
        <w:t>Religion</w:t>
      </w:r>
      <w:r w:rsidRPr="0008314D">
        <w:rPr>
          <w:sz w:val="22"/>
        </w:rPr>
        <w:t xml:space="preserve"> </w:t>
      </w:r>
      <w:r>
        <w:rPr>
          <w:i/>
          <w:sz w:val="22"/>
        </w:rPr>
        <w:t xml:space="preserve">within the limits of reason alone </w:t>
      </w:r>
      <w:r>
        <w:rPr>
          <w:sz w:val="22"/>
        </w:rPr>
        <w:t>(6.</w:t>
      </w:r>
      <w:r w:rsidRPr="0008314D">
        <w:rPr>
          <w:sz w:val="22"/>
        </w:rPr>
        <w:t xml:space="preserve">51); in light of these passages, Kant’s remarks about the inscrutability of the moral content of our actions in other texts (e.g. </w:t>
      </w:r>
      <w:r w:rsidRPr="0008314D">
        <w:rPr>
          <w:i/>
          <w:iCs/>
          <w:sz w:val="22"/>
        </w:rPr>
        <w:t>Groundwork</w:t>
      </w:r>
      <w:r>
        <w:rPr>
          <w:sz w:val="22"/>
        </w:rPr>
        <w:t>, 4.</w:t>
      </w:r>
      <w:r w:rsidRPr="0008314D">
        <w:rPr>
          <w:sz w:val="22"/>
        </w:rPr>
        <w:t xml:space="preserve">407; </w:t>
      </w:r>
      <w:r w:rsidRPr="0008314D">
        <w:rPr>
          <w:i/>
          <w:iCs/>
          <w:sz w:val="22"/>
        </w:rPr>
        <w:t>Metaphysics of Morals</w:t>
      </w:r>
      <w:r>
        <w:rPr>
          <w:sz w:val="22"/>
        </w:rPr>
        <w:t>, 6.</w:t>
      </w:r>
      <w:r w:rsidRPr="0008314D">
        <w:rPr>
          <w:sz w:val="22"/>
        </w:rPr>
        <w:t>392) should be read as making the same point.</w:t>
      </w:r>
    </w:p>
    <w:p w:rsidR="00971435" w:rsidRPr="0008314D" w:rsidRDefault="00971435" w:rsidP="0085747B">
      <w:pPr>
        <w:pStyle w:val="EndnoteText"/>
        <w:spacing w:line="480" w:lineRule="auto"/>
        <w:rPr>
          <w:sz w:val="22"/>
        </w:rPr>
      </w:pPr>
    </w:p>
  </w:endnote>
  <w:endnote w:id="10">
    <w:p w:rsidR="00971435" w:rsidRDefault="00971435" w:rsidP="0085747B">
      <w:pPr>
        <w:pStyle w:val="EndnoteText"/>
        <w:spacing w:line="480" w:lineRule="auto"/>
        <w:rPr>
          <w:iCs/>
          <w:sz w:val="22"/>
        </w:rPr>
      </w:pPr>
      <w:r>
        <w:rPr>
          <w:rStyle w:val="EndnoteReference"/>
        </w:rPr>
        <w:endnoteRef/>
      </w:r>
      <w:r>
        <w:t xml:space="preserve"> </w:t>
      </w:r>
      <w:r>
        <w:rPr>
          <w:sz w:val="22"/>
        </w:rPr>
        <w:t xml:space="preserve">Hogan might have pointed to Kant’s discussion of a what seems to be an inference from empirical behavior to the character of our </w:t>
      </w:r>
      <w:proofErr w:type="spellStart"/>
      <w:r>
        <w:rPr>
          <w:sz w:val="22"/>
        </w:rPr>
        <w:t>noumenal</w:t>
      </w:r>
      <w:proofErr w:type="spellEnd"/>
      <w:r>
        <w:rPr>
          <w:sz w:val="22"/>
        </w:rPr>
        <w:t xml:space="preserve"> will in Part One of the </w:t>
      </w:r>
      <w:r w:rsidRPr="00782130">
        <w:rPr>
          <w:i/>
          <w:iCs/>
          <w:sz w:val="22"/>
        </w:rPr>
        <w:t>Religion</w:t>
      </w:r>
      <w:r>
        <w:rPr>
          <w:iCs/>
          <w:sz w:val="22"/>
        </w:rPr>
        <w:t xml:space="preserve">; see, for example, his remark about Christ: “for he would be speaking only of the disposition which he makes the rule of his actions but which, since he cannot make it visible as an example to others in and of itself, he places before their eyes externally through his teachings and actions” (Kant 1996, 108; 6:66).  It should be born in mind, though, that the context of this passage, and the rest of Parts One and Two of </w:t>
      </w:r>
      <w:r w:rsidRPr="00782130">
        <w:rPr>
          <w:i/>
          <w:iCs/>
          <w:sz w:val="22"/>
        </w:rPr>
        <w:t>Religion</w:t>
      </w:r>
      <w:r>
        <w:rPr>
          <w:iCs/>
          <w:sz w:val="22"/>
        </w:rPr>
        <w:t xml:space="preserve"> is Kant’s insistence that we cannot </w:t>
      </w:r>
      <w:r w:rsidRPr="00782130">
        <w:rPr>
          <w:i/>
          <w:iCs/>
          <w:sz w:val="22"/>
        </w:rPr>
        <w:t>know</w:t>
      </w:r>
      <w:r>
        <w:rPr>
          <w:iCs/>
          <w:sz w:val="22"/>
        </w:rPr>
        <w:t xml:space="preserve"> our </w:t>
      </w:r>
      <w:proofErr w:type="spellStart"/>
      <w:r>
        <w:rPr>
          <w:iCs/>
          <w:sz w:val="22"/>
        </w:rPr>
        <w:t>noumenal</w:t>
      </w:r>
      <w:proofErr w:type="spellEnd"/>
      <w:r>
        <w:rPr>
          <w:iCs/>
          <w:sz w:val="22"/>
        </w:rPr>
        <w:t xml:space="preserve"> characters but can at best hope that they are not evil; cf. 6:21, 25, 39n, 48, 63, 67, 68, 71.  The inference Kant discusses from empirical behavior to </w:t>
      </w:r>
      <w:proofErr w:type="spellStart"/>
      <w:r>
        <w:rPr>
          <w:iCs/>
          <w:sz w:val="22"/>
        </w:rPr>
        <w:t>noumenal</w:t>
      </w:r>
      <w:proofErr w:type="spellEnd"/>
      <w:r>
        <w:rPr>
          <w:iCs/>
          <w:sz w:val="22"/>
        </w:rPr>
        <w:t xml:space="preserve"> character, he is at pains to emphasize, is not knowledge-preserving. Nor, it should be noted, does the </w:t>
      </w:r>
      <w:r w:rsidRPr="00782130">
        <w:rPr>
          <w:i/>
          <w:iCs/>
          <w:sz w:val="22"/>
        </w:rPr>
        <w:t>Religion</w:t>
      </w:r>
      <w:r>
        <w:rPr>
          <w:iCs/>
          <w:sz w:val="22"/>
        </w:rPr>
        <w:t xml:space="preserve"> give any comfort to the claim that I can </w:t>
      </w:r>
      <w:r w:rsidRPr="00782130">
        <w:rPr>
          <w:i/>
          <w:iCs/>
          <w:sz w:val="22"/>
        </w:rPr>
        <w:t>know</w:t>
      </w:r>
      <w:r>
        <w:rPr>
          <w:iCs/>
          <w:sz w:val="22"/>
        </w:rPr>
        <w:t xml:space="preserve"> the </w:t>
      </w:r>
      <w:proofErr w:type="spellStart"/>
      <w:r>
        <w:rPr>
          <w:iCs/>
          <w:sz w:val="22"/>
        </w:rPr>
        <w:t>noumenal</w:t>
      </w:r>
      <w:proofErr w:type="spellEnd"/>
      <w:r>
        <w:rPr>
          <w:iCs/>
          <w:sz w:val="22"/>
        </w:rPr>
        <w:t xml:space="preserve"> character of other agents.  </w:t>
      </w:r>
    </w:p>
    <w:p w:rsidR="00971435" w:rsidRPr="00782130" w:rsidRDefault="00971435" w:rsidP="0085747B">
      <w:pPr>
        <w:pStyle w:val="EndnoteText"/>
        <w:spacing w:line="480" w:lineRule="auto"/>
        <w:rPr>
          <w:sz w:val="22"/>
        </w:rPr>
      </w:pPr>
    </w:p>
  </w:endnote>
  <w:endnote w:id="11">
    <w:p w:rsidR="00971435" w:rsidRDefault="00971435" w:rsidP="0085747B">
      <w:pPr>
        <w:pStyle w:val="EndnoteText"/>
        <w:spacing w:line="480" w:lineRule="auto"/>
        <w:rPr>
          <w:sz w:val="22"/>
        </w:rPr>
      </w:pPr>
      <w:r w:rsidRPr="0008314D">
        <w:rPr>
          <w:rStyle w:val="EndnoteReference"/>
          <w:sz w:val="22"/>
        </w:rPr>
        <w:endnoteRef/>
      </w:r>
      <w:r w:rsidRPr="0008314D">
        <w:rPr>
          <w:sz w:val="22"/>
        </w:rPr>
        <w:t xml:space="preserve"> It should also be noted that, even if it were successful, Hogan’s argument would only vindicate the claim that </w:t>
      </w:r>
      <w:proofErr w:type="spellStart"/>
      <w:r w:rsidRPr="0008314D">
        <w:rPr>
          <w:sz w:val="22"/>
        </w:rPr>
        <w:t>noumenal</w:t>
      </w:r>
      <w:proofErr w:type="spellEnd"/>
      <w:r w:rsidRPr="0008314D">
        <w:rPr>
          <w:sz w:val="22"/>
        </w:rPr>
        <w:t xml:space="preserve"> affection is indispensable for experience of other agents’ actions.  But Kant does not qualify the Indispensability claim in this fashion.</w:t>
      </w:r>
    </w:p>
    <w:p w:rsidR="00971435" w:rsidRPr="0008314D" w:rsidRDefault="00971435" w:rsidP="0085747B">
      <w:pPr>
        <w:pStyle w:val="EndnoteText"/>
        <w:spacing w:line="480" w:lineRule="auto"/>
        <w:rPr>
          <w:sz w:val="22"/>
        </w:rPr>
      </w:pPr>
    </w:p>
  </w:endnote>
  <w:endnote w:id="12">
    <w:p w:rsidR="00971435" w:rsidRDefault="00971435" w:rsidP="0085747B">
      <w:pPr>
        <w:pStyle w:val="EndnoteText"/>
        <w:spacing w:line="480" w:lineRule="auto"/>
        <w:rPr>
          <w:sz w:val="22"/>
        </w:rPr>
      </w:pPr>
      <w:r>
        <w:rPr>
          <w:rStyle w:val="EndnoteReference"/>
        </w:rPr>
        <w:endnoteRef/>
      </w:r>
      <w:r>
        <w:t xml:space="preserve"> </w:t>
      </w:r>
      <w:r>
        <w:rPr>
          <w:sz w:val="22"/>
        </w:rPr>
        <w:t xml:space="preserve">Bear in mind how unqualified Kant’s statements of </w:t>
      </w:r>
      <w:proofErr w:type="spellStart"/>
      <w:r>
        <w:rPr>
          <w:sz w:val="22"/>
        </w:rPr>
        <w:t>noumenal</w:t>
      </w:r>
      <w:proofErr w:type="spellEnd"/>
      <w:r>
        <w:rPr>
          <w:sz w:val="22"/>
        </w:rPr>
        <w:t xml:space="preserve"> ignorance typically are, e.g. “objects in themselves are not known to us at all” (Kant 1998, 162; </w:t>
      </w:r>
      <w:r w:rsidRPr="00EC1C80">
        <w:rPr>
          <w:i/>
          <w:sz w:val="22"/>
        </w:rPr>
        <w:t>CPR</w:t>
      </w:r>
      <w:r>
        <w:rPr>
          <w:sz w:val="22"/>
        </w:rPr>
        <w:t>, A30/B45).</w:t>
      </w:r>
    </w:p>
    <w:p w:rsidR="00971435" w:rsidRDefault="00971435">
      <w:pPr>
        <w:pStyle w:val="EndnoteText"/>
        <w:rPr>
          <w:sz w:val="22"/>
        </w:rPr>
      </w:pPr>
    </w:p>
    <w:p w:rsidR="00971435" w:rsidRDefault="00971435" w:rsidP="00F01FEF">
      <w:pPr>
        <w:pStyle w:val="EndnoteText"/>
        <w:spacing w:before="240" w:after="240" w:line="480" w:lineRule="auto"/>
        <w:rPr>
          <w:b/>
          <w:sz w:val="22"/>
        </w:rPr>
      </w:pPr>
      <w:r>
        <w:rPr>
          <w:b/>
          <w:sz w:val="22"/>
        </w:rPr>
        <w:t>References</w:t>
      </w:r>
    </w:p>
    <w:p w:rsidR="00971435" w:rsidRPr="00971435" w:rsidRDefault="00971435" w:rsidP="00F01FEF">
      <w:pPr>
        <w:pStyle w:val="EndnoteText"/>
        <w:spacing w:before="240" w:after="240" w:line="480" w:lineRule="auto"/>
        <w:rPr>
          <w:sz w:val="22"/>
        </w:rPr>
      </w:pPr>
      <w:proofErr w:type="spellStart"/>
      <w:r>
        <w:rPr>
          <w:sz w:val="22"/>
        </w:rPr>
        <w:t>Adickes</w:t>
      </w:r>
      <w:proofErr w:type="spellEnd"/>
      <w:r>
        <w:rPr>
          <w:sz w:val="22"/>
        </w:rPr>
        <w:t xml:space="preserve">, Eric (1924) </w:t>
      </w:r>
      <w:r w:rsidRPr="00971435">
        <w:rPr>
          <w:i/>
          <w:iCs/>
          <w:sz w:val="22"/>
        </w:rPr>
        <w:t xml:space="preserve">Kant und das Ding </w:t>
      </w:r>
      <w:proofErr w:type="gramStart"/>
      <w:r w:rsidRPr="00971435">
        <w:rPr>
          <w:i/>
          <w:iCs/>
          <w:sz w:val="22"/>
        </w:rPr>
        <w:t>an</w:t>
      </w:r>
      <w:proofErr w:type="gramEnd"/>
      <w:r w:rsidRPr="00971435">
        <w:rPr>
          <w:i/>
          <w:iCs/>
          <w:sz w:val="22"/>
        </w:rPr>
        <w:t xml:space="preserve"> </w:t>
      </w:r>
      <w:proofErr w:type="spellStart"/>
      <w:r w:rsidRPr="00971435">
        <w:rPr>
          <w:i/>
          <w:iCs/>
          <w:sz w:val="22"/>
        </w:rPr>
        <w:t>Sich</w:t>
      </w:r>
      <w:proofErr w:type="spellEnd"/>
      <w:r w:rsidR="00B028E7">
        <w:rPr>
          <w:sz w:val="22"/>
        </w:rPr>
        <w:t xml:space="preserve">. Berlin: Pan </w:t>
      </w:r>
      <w:proofErr w:type="spellStart"/>
      <w:r w:rsidR="00B028E7">
        <w:rPr>
          <w:sz w:val="22"/>
        </w:rPr>
        <w:t>Verlag</w:t>
      </w:r>
      <w:proofErr w:type="spellEnd"/>
      <w:r w:rsidR="00B028E7">
        <w:rPr>
          <w:sz w:val="22"/>
        </w:rPr>
        <w:t xml:space="preserve"> Rolf </w:t>
      </w:r>
      <w:proofErr w:type="spellStart"/>
      <w:r w:rsidR="00B028E7">
        <w:rPr>
          <w:sz w:val="22"/>
        </w:rPr>
        <w:t>Heisse</w:t>
      </w:r>
      <w:proofErr w:type="spellEnd"/>
      <w:r w:rsidR="00B028E7">
        <w:rPr>
          <w:sz w:val="22"/>
        </w:rPr>
        <w:t>.</w:t>
      </w:r>
    </w:p>
    <w:p w:rsidR="00971435" w:rsidRPr="00F01FEF" w:rsidRDefault="00971435" w:rsidP="00F01FEF">
      <w:pPr>
        <w:pStyle w:val="EndnoteText"/>
        <w:spacing w:before="240" w:after="240"/>
        <w:rPr>
          <w:sz w:val="22"/>
        </w:rPr>
      </w:pPr>
      <w:proofErr w:type="gramStart"/>
      <w:r w:rsidRPr="00F01FEF">
        <w:rPr>
          <w:sz w:val="22"/>
        </w:rPr>
        <w:t>Hogan, Desmond (2009a) ‘How to Know Unknowable Things in Themselves’.</w:t>
      </w:r>
      <w:proofErr w:type="gramEnd"/>
      <w:r w:rsidRPr="00F01FEF">
        <w:rPr>
          <w:sz w:val="22"/>
        </w:rPr>
        <w:t xml:space="preserve"> </w:t>
      </w:r>
      <w:proofErr w:type="spellStart"/>
      <w:proofErr w:type="gramStart"/>
      <w:r w:rsidRPr="00F01FEF">
        <w:rPr>
          <w:i/>
          <w:sz w:val="22"/>
        </w:rPr>
        <w:t>Noûs</w:t>
      </w:r>
      <w:proofErr w:type="spellEnd"/>
      <w:r w:rsidRPr="00F01FEF">
        <w:rPr>
          <w:sz w:val="22"/>
        </w:rPr>
        <w:t>, 43, 49-63.</w:t>
      </w:r>
      <w:proofErr w:type="gramEnd"/>
    </w:p>
    <w:p w:rsidR="00971435" w:rsidRDefault="00971435" w:rsidP="00F01FEF">
      <w:pPr>
        <w:pStyle w:val="EndnoteText"/>
        <w:spacing w:before="240" w:after="240"/>
        <w:rPr>
          <w:iCs/>
          <w:sz w:val="22"/>
        </w:rPr>
      </w:pPr>
      <w:proofErr w:type="gramStart"/>
      <w:r w:rsidRPr="00F01FEF">
        <w:rPr>
          <w:sz w:val="22"/>
        </w:rPr>
        <w:t>______________ (2009b) ‘</w:t>
      </w:r>
      <w:proofErr w:type="spellStart"/>
      <w:r w:rsidRPr="00F01FEF">
        <w:rPr>
          <w:sz w:val="22"/>
        </w:rPr>
        <w:t>Noumenal</w:t>
      </w:r>
      <w:proofErr w:type="spellEnd"/>
      <w:r w:rsidRPr="00F01FEF">
        <w:rPr>
          <w:sz w:val="22"/>
        </w:rPr>
        <w:t xml:space="preserve"> Affection’.</w:t>
      </w:r>
      <w:proofErr w:type="gramEnd"/>
      <w:r w:rsidRPr="00F01FEF">
        <w:rPr>
          <w:sz w:val="22"/>
        </w:rPr>
        <w:t xml:space="preserve"> </w:t>
      </w:r>
      <w:proofErr w:type="gramStart"/>
      <w:r w:rsidRPr="00F01FEF">
        <w:rPr>
          <w:i/>
          <w:iCs/>
          <w:sz w:val="22"/>
        </w:rPr>
        <w:t>The Philosophical Review</w:t>
      </w:r>
      <w:r w:rsidRPr="00F01FEF">
        <w:rPr>
          <w:iCs/>
          <w:sz w:val="22"/>
        </w:rPr>
        <w:t>,</w:t>
      </w:r>
      <w:r w:rsidRPr="00F01FEF">
        <w:rPr>
          <w:i/>
          <w:iCs/>
          <w:sz w:val="22"/>
        </w:rPr>
        <w:t xml:space="preserve"> </w:t>
      </w:r>
      <w:r w:rsidRPr="00F01FEF">
        <w:rPr>
          <w:iCs/>
          <w:sz w:val="22"/>
        </w:rPr>
        <w:t>118, 501-32.</w:t>
      </w:r>
      <w:proofErr w:type="gramEnd"/>
    </w:p>
    <w:p w:rsidR="00971435" w:rsidRDefault="00971435" w:rsidP="00F01FEF">
      <w:pPr>
        <w:pStyle w:val="EndnoteText"/>
        <w:spacing w:before="240" w:after="240"/>
        <w:rPr>
          <w:iCs/>
          <w:sz w:val="22"/>
        </w:rPr>
      </w:pPr>
      <w:proofErr w:type="gramStart"/>
      <w:r>
        <w:rPr>
          <w:iCs/>
          <w:sz w:val="22"/>
        </w:rPr>
        <w:t xml:space="preserve">Kant, Immanuel (1998) </w:t>
      </w:r>
      <w:r w:rsidRPr="00662411">
        <w:rPr>
          <w:i/>
          <w:iCs/>
          <w:sz w:val="22"/>
        </w:rPr>
        <w:t>Critique of Pure Reason</w:t>
      </w:r>
      <w:r>
        <w:rPr>
          <w:iCs/>
          <w:sz w:val="22"/>
        </w:rPr>
        <w:t>.</w:t>
      </w:r>
      <w:proofErr w:type="gramEnd"/>
      <w:r>
        <w:rPr>
          <w:iCs/>
          <w:sz w:val="22"/>
        </w:rPr>
        <w:t xml:space="preserve"> </w:t>
      </w:r>
      <w:proofErr w:type="gramStart"/>
      <w:r>
        <w:rPr>
          <w:iCs/>
          <w:sz w:val="22"/>
        </w:rPr>
        <w:t xml:space="preserve">Ed. and Trans. Paul </w:t>
      </w:r>
      <w:proofErr w:type="spellStart"/>
      <w:r>
        <w:rPr>
          <w:iCs/>
          <w:sz w:val="22"/>
        </w:rPr>
        <w:t>Guyer</w:t>
      </w:r>
      <w:proofErr w:type="spellEnd"/>
      <w:r>
        <w:rPr>
          <w:iCs/>
          <w:sz w:val="22"/>
        </w:rPr>
        <w:t xml:space="preserve"> and Allen Wood.</w:t>
      </w:r>
      <w:proofErr w:type="gramEnd"/>
      <w:r>
        <w:rPr>
          <w:iCs/>
          <w:sz w:val="22"/>
        </w:rPr>
        <w:t xml:space="preserve"> Cambridge: Cambridge University Press.</w:t>
      </w:r>
    </w:p>
    <w:p w:rsidR="00971435" w:rsidRPr="00F01FEF" w:rsidRDefault="00971435" w:rsidP="00F01FEF">
      <w:pPr>
        <w:pStyle w:val="EndnoteText"/>
        <w:spacing w:before="240" w:after="240"/>
        <w:rPr>
          <w:iCs/>
          <w:sz w:val="22"/>
        </w:rPr>
      </w:pPr>
      <w:r>
        <w:rPr>
          <w:iCs/>
          <w:sz w:val="22"/>
        </w:rPr>
        <w:t xml:space="preserve">-----. (1996) </w:t>
      </w:r>
      <w:r w:rsidRPr="00EC1C80">
        <w:rPr>
          <w:i/>
          <w:iCs/>
          <w:sz w:val="22"/>
        </w:rPr>
        <w:t>Religion and Rational Theology</w:t>
      </w:r>
      <w:r>
        <w:rPr>
          <w:iCs/>
          <w:sz w:val="22"/>
        </w:rPr>
        <w:t>. Ed. Allen Wood. Cambridge: Cambridge University Press.</w:t>
      </w:r>
    </w:p>
    <w:p w:rsidR="00971435" w:rsidRPr="00F01FEF" w:rsidRDefault="00971435" w:rsidP="00F01FEF">
      <w:pPr>
        <w:pStyle w:val="EndnoteText"/>
        <w:spacing w:before="240" w:after="240" w:line="480" w:lineRule="auto"/>
        <w:rPr>
          <w:sz w:val="22"/>
        </w:rPr>
      </w:pPr>
      <w:r w:rsidRPr="00F01FEF">
        <w:rPr>
          <w:iCs/>
          <w:sz w:val="22"/>
        </w:rPr>
        <w:t xml:space="preserve">Van Cleve, James (1999) </w:t>
      </w:r>
      <w:r w:rsidRPr="00F01FEF">
        <w:rPr>
          <w:i/>
          <w:iCs/>
          <w:sz w:val="22"/>
        </w:rPr>
        <w:t>Problems from Kant</w:t>
      </w:r>
      <w:r w:rsidRPr="00F01FEF">
        <w:rPr>
          <w:iCs/>
          <w:sz w:val="22"/>
        </w:rPr>
        <w:t>. New York: Oxford University Press.</w:t>
      </w:r>
    </w:p>
    <w:p w:rsidR="00971435" w:rsidRPr="00F01FEF" w:rsidRDefault="00971435">
      <w:pPr>
        <w:pStyle w:val="EndnoteText"/>
        <w:rPr>
          <w:sz w:val="22"/>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35" w:rsidRDefault="00971435" w:rsidP="00150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1435" w:rsidRDefault="00971435" w:rsidP="0015029A">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35" w:rsidRDefault="00971435" w:rsidP="00150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28E7">
      <w:rPr>
        <w:rStyle w:val="PageNumber"/>
        <w:noProof/>
      </w:rPr>
      <w:t>1</w:t>
    </w:r>
    <w:r>
      <w:rPr>
        <w:rStyle w:val="PageNumber"/>
      </w:rPr>
      <w:fldChar w:fldCharType="end"/>
    </w:r>
  </w:p>
  <w:p w:rsidR="00971435" w:rsidRDefault="00971435" w:rsidP="0015029A">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435" w:rsidRDefault="00971435" w:rsidP="00F66381">
      <w:r>
        <w:separator/>
      </w:r>
    </w:p>
  </w:footnote>
  <w:footnote w:type="continuationSeparator" w:id="0">
    <w:p w:rsidR="00971435" w:rsidRDefault="00971435" w:rsidP="00F6638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23B16"/>
    <w:multiLevelType w:val="hybridMultilevel"/>
    <w:tmpl w:val="59AC79C6"/>
    <w:lvl w:ilvl="0" w:tplc="8B8E686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6A6E6F"/>
    <w:multiLevelType w:val="hybridMultilevel"/>
    <w:tmpl w:val="59AC79C6"/>
    <w:lvl w:ilvl="0" w:tplc="8B8E686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removePersonalInformation/>
  <w:removeDateAndTim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doNotAutofitConstrainedTables/>
    <w:splitPgBreakAndParaMark/>
    <w:doNotVertAlignCellWithSp/>
    <w:doNotBreakConstrainedForcedTable/>
    <w:useAnsiKerningPairs/>
    <w:cachedColBalance/>
  </w:compat>
  <w:rsids>
    <w:rsidRoot w:val="007B5B3D"/>
    <w:rsid w:val="00010428"/>
    <w:rsid w:val="00030650"/>
    <w:rsid w:val="00051D03"/>
    <w:rsid w:val="00080C66"/>
    <w:rsid w:val="0008314D"/>
    <w:rsid w:val="000D3DAA"/>
    <w:rsid w:val="00134ED8"/>
    <w:rsid w:val="0015029A"/>
    <w:rsid w:val="00161AAE"/>
    <w:rsid w:val="001F23DD"/>
    <w:rsid w:val="00201730"/>
    <w:rsid w:val="00215C34"/>
    <w:rsid w:val="00260725"/>
    <w:rsid w:val="00267926"/>
    <w:rsid w:val="002B2989"/>
    <w:rsid w:val="0034574D"/>
    <w:rsid w:val="00364CC1"/>
    <w:rsid w:val="003C19C6"/>
    <w:rsid w:val="00414CDA"/>
    <w:rsid w:val="00420512"/>
    <w:rsid w:val="00432BB1"/>
    <w:rsid w:val="00466087"/>
    <w:rsid w:val="004A4AAD"/>
    <w:rsid w:val="004B78D8"/>
    <w:rsid w:val="004D1CD5"/>
    <w:rsid w:val="00500A30"/>
    <w:rsid w:val="00526568"/>
    <w:rsid w:val="005415EC"/>
    <w:rsid w:val="005603F4"/>
    <w:rsid w:val="005660DF"/>
    <w:rsid w:val="005B5EE9"/>
    <w:rsid w:val="0062369E"/>
    <w:rsid w:val="0063358A"/>
    <w:rsid w:val="00660595"/>
    <w:rsid w:val="00662411"/>
    <w:rsid w:val="00663B74"/>
    <w:rsid w:val="006A6EA1"/>
    <w:rsid w:val="006D3F89"/>
    <w:rsid w:val="006E15CC"/>
    <w:rsid w:val="00722286"/>
    <w:rsid w:val="007505B9"/>
    <w:rsid w:val="00782130"/>
    <w:rsid w:val="007B5B3D"/>
    <w:rsid w:val="007D0298"/>
    <w:rsid w:val="007E507A"/>
    <w:rsid w:val="00827278"/>
    <w:rsid w:val="008353EB"/>
    <w:rsid w:val="00845550"/>
    <w:rsid w:val="0085747B"/>
    <w:rsid w:val="0086432D"/>
    <w:rsid w:val="008715EE"/>
    <w:rsid w:val="0089308F"/>
    <w:rsid w:val="008A11F7"/>
    <w:rsid w:val="008C2F40"/>
    <w:rsid w:val="008E0310"/>
    <w:rsid w:val="00937EFE"/>
    <w:rsid w:val="00960878"/>
    <w:rsid w:val="00971435"/>
    <w:rsid w:val="0099589D"/>
    <w:rsid w:val="00997C7F"/>
    <w:rsid w:val="009C5BF1"/>
    <w:rsid w:val="00A40240"/>
    <w:rsid w:val="00A53D31"/>
    <w:rsid w:val="00B028E7"/>
    <w:rsid w:val="00B265F6"/>
    <w:rsid w:val="00B55CF0"/>
    <w:rsid w:val="00C04378"/>
    <w:rsid w:val="00C1257B"/>
    <w:rsid w:val="00C2216E"/>
    <w:rsid w:val="00C476B7"/>
    <w:rsid w:val="00C72368"/>
    <w:rsid w:val="00D21D90"/>
    <w:rsid w:val="00D5280C"/>
    <w:rsid w:val="00DA46FB"/>
    <w:rsid w:val="00DB2C96"/>
    <w:rsid w:val="00DF7F27"/>
    <w:rsid w:val="00E11896"/>
    <w:rsid w:val="00E26538"/>
    <w:rsid w:val="00E345C9"/>
    <w:rsid w:val="00E43798"/>
    <w:rsid w:val="00EC1C80"/>
    <w:rsid w:val="00F01FEF"/>
    <w:rsid w:val="00F66381"/>
    <w:rsid w:val="00F70CC7"/>
    <w:rsid w:val="00F94DD2"/>
    <w:rsid w:val="00FC3739"/>
    <w:rsid w:val="00FD73AD"/>
  </w:rsids>
  <m:mathPr>
    <m:mathFont m:val="Palatino"/>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B3D"/>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593CB8"/>
    <w:rPr>
      <w:rFonts w:ascii="Lucida Grande" w:hAnsi="Lucida Grande"/>
      <w:sz w:val="18"/>
      <w:szCs w:val="18"/>
    </w:rPr>
  </w:style>
  <w:style w:type="character" w:customStyle="1" w:styleId="BalloonTextChar">
    <w:name w:val="Balloon Text Char"/>
    <w:basedOn w:val="DefaultParagraphFont"/>
    <w:link w:val="BalloonText"/>
    <w:uiPriority w:val="99"/>
    <w:semiHidden/>
    <w:rsid w:val="00C02A12"/>
    <w:rPr>
      <w:rFonts w:ascii="Lucida Grande" w:hAnsi="Lucida Grande"/>
      <w:sz w:val="18"/>
      <w:szCs w:val="18"/>
    </w:rPr>
  </w:style>
  <w:style w:type="character" w:customStyle="1" w:styleId="BalloonTextChar0">
    <w:name w:val="Balloon Text Char"/>
    <w:basedOn w:val="DefaultParagraphFont"/>
    <w:link w:val="BalloonText"/>
    <w:uiPriority w:val="99"/>
    <w:semiHidden/>
    <w:rsid w:val="00C02A12"/>
    <w:rPr>
      <w:rFonts w:ascii="Lucida Grande" w:hAnsi="Lucida Grande"/>
      <w:sz w:val="18"/>
      <w:szCs w:val="18"/>
    </w:rPr>
  </w:style>
  <w:style w:type="character" w:customStyle="1" w:styleId="BalloonTextChar2">
    <w:name w:val="Balloon Text Char"/>
    <w:basedOn w:val="DefaultParagraphFont"/>
    <w:link w:val="BalloonText"/>
    <w:uiPriority w:val="99"/>
    <w:semiHidden/>
    <w:rsid w:val="00950B74"/>
    <w:rPr>
      <w:rFonts w:ascii="Lucida Grande" w:hAnsi="Lucida Grande"/>
      <w:sz w:val="18"/>
      <w:szCs w:val="18"/>
    </w:rPr>
  </w:style>
  <w:style w:type="character" w:customStyle="1" w:styleId="BalloonTextChar3">
    <w:name w:val="Balloon Text Char"/>
    <w:basedOn w:val="DefaultParagraphFont"/>
    <w:link w:val="BalloonText"/>
    <w:uiPriority w:val="99"/>
    <w:semiHidden/>
    <w:rsid w:val="00950B74"/>
    <w:rPr>
      <w:rFonts w:ascii="Lucida Grande" w:hAnsi="Lucida Grande"/>
      <w:sz w:val="18"/>
      <w:szCs w:val="18"/>
    </w:rPr>
  </w:style>
  <w:style w:type="character" w:customStyle="1" w:styleId="BalloonTextChar1">
    <w:name w:val="Balloon Text Char1"/>
    <w:basedOn w:val="DefaultParagraphFont"/>
    <w:link w:val="BalloonText"/>
    <w:uiPriority w:val="99"/>
    <w:semiHidden/>
    <w:rsid w:val="00593CB8"/>
    <w:rPr>
      <w:rFonts w:ascii="Lucida Grande" w:hAnsi="Lucida Grande"/>
      <w:sz w:val="18"/>
      <w:szCs w:val="18"/>
    </w:rPr>
  </w:style>
  <w:style w:type="paragraph" w:customStyle="1" w:styleId="Style1">
    <w:name w:val="Style1"/>
    <w:basedOn w:val="Normal"/>
    <w:qFormat/>
    <w:rsid w:val="004A299C"/>
  </w:style>
  <w:style w:type="paragraph" w:styleId="EndnoteText">
    <w:name w:val="endnote text"/>
    <w:basedOn w:val="Normal"/>
    <w:link w:val="EndnoteTextChar"/>
    <w:uiPriority w:val="99"/>
    <w:semiHidden/>
    <w:unhideWhenUsed/>
    <w:rsid w:val="00F70CC7"/>
  </w:style>
  <w:style w:type="character" w:customStyle="1" w:styleId="EndnoteTextChar">
    <w:name w:val="Endnote Text Char"/>
    <w:basedOn w:val="DefaultParagraphFont"/>
    <w:link w:val="EndnoteText"/>
    <w:uiPriority w:val="99"/>
    <w:semiHidden/>
    <w:rsid w:val="00F70CC7"/>
    <w:rPr>
      <w:rFonts w:ascii="Times New Roman" w:hAnsi="Times New Roman"/>
    </w:rPr>
  </w:style>
  <w:style w:type="character" w:styleId="EndnoteReference">
    <w:name w:val="endnote reference"/>
    <w:basedOn w:val="DefaultParagraphFont"/>
    <w:uiPriority w:val="99"/>
    <w:semiHidden/>
    <w:unhideWhenUsed/>
    <w:rsid w:val="00F70CC7"/>
    <w:rPr>
      <w:vertAlign w:val="superscript"/>
    </w:rPr>
  </w:style>
  <w:style w:type="character" w:styleId="Emphasis">
    <w:name w:val="Emphasis"/>
    <w:basedOn w:val="DefaultParagraphFont"/>
    <w:uiPriority w:val="20"/>
    <w:qFormat/>
    <w:rsid w:val="00F70CC7"/>
    <w:rPr>
      <w:i/>
      <w:iCs/>
    </w:rPr>
  </w:style>
  <w:style w:type="paragraph" w:styleId="ListParagraph">
    <w:name w:val="List Paragraph"/>
    <w:basedOn w:val="Normal"/>
    <w:uiPriority w:val="34"/>
    <w:qFormat/>
    <w:rsid w:val="00215C34"/>
    <w:pPr>
      <w:ind w:left="720"/>
      <w:contextualSpacing/>
    </w:pPr>
  </w:style>
  <w:style w:type="character" w:styleId="CommentReference">
    <w:name w:val="annotation reference"/>
    <w:basedOn w:val="DefaultParagraphFont"/>
    <w:uiPriority w:val="99"/>
    <w:semiHidden/>
    <w:unhideWhenUsed/>
    <w:rsid w:val="00420512"/>
    <w:rPr>
      <w:sz w:val="18"/>
      <w:szCs w:val="18"/>
    </w:rPr>
  </w:style>
  <w:style w:type="paragraph" w:styleId="CommentText">
    <w:name w:val="annotation text"/>
    <w:basedOn w:val="Normal"/>
    <w:link w:val="CommentTextChar"/>
    <w:uiPriority w:val="99"/>
    <w:semiHidden/>
    <w:unhideWhenUsed/>
    <w:rsid w:val="00420512"/>
  </w:style>
  <w:style w:type="character" w:customStyle="1" w:styleId="CommentTextChar">
    <w:name w:val="Comment Text Char"/>
    <w:basedOn w:val="DefaultParagraphFont"/>
    <w:link w:val="CommentText"/>
    <w:uiPriority w:val="99"/>
    <w:semiHidden/>
    <w:rsid w:val="0042051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20512"/>
    <w:rPr>
      <w:b/>
      <w:bCs/>
      <w:sz w:val="20"/>
      <w:szCs w:val="20"/>
    </w:rPr>
  </w:style>
  <w:style w:type="character" w:customStyle="1" w:styleId="CommentSubjectChar">
    <w:name w:val="Comment Subject Char"/>
    <w:basedOn w:val="CommentTextChar"/>
    <w:link w:val="CommentSubject"/>
    <w:uiPriority w:val="99"/>
    <w:semiHidden/>
    <w:rsid w:val="00420512"/>
    <w:rPr>
      <w:b/>
      <w:bCs/>
      <w:sz w:val="20"/>
      <w:szCs w:val="20"/>
    </w:rPr>
  </w:style>
  <w:style w:type="paragraph" w:styleId="Footer">
    <w:name w:val="footer"/>
    <w:basedOn w:val="Normal"/>
    <w:link w:val="FooterChar"/>
    <w:uiPriority w:val="99"/>
    <w:semiHidden/>
    <w:unhideWhenUsed/>
    <w:rsid w:val="0015029A"/>
    <w:pPr>
      <w:tabs>
        <w:tab w:val="center" w:pos="4320"/>
        <w:tab w:val="right" w:pos="8640"/>
      </w:tabs>
    </w:pPr>
  </w:style>
  <w:style w:type="character" w:customStyle="1" w:styleId="FooterChar">
    <w:name w:val="Footer Char"/>
    <w:basedOn w:val="DefaultParagraphFont"/>
    <w:link w:val="Footer"/>
    <w:uiPriority w:val="99"/>
    <w:semiHidden/>
    <w:rsid w:val="0015029A"/>
    <w:rPr>
      <w:rFonts w:ascii="Times New Roman" w:hAnsi="Times New Roman"/>
    </w:rPr>
  </w:style>
  <w:style w:type="character" w:styleId="PageNumber">
    <w:name w:val="page number"/>
    <w:basedOn w:val="DefaultParagraphFont"/>
    <w:uiPriority w:val="99"/>
    <w:semiHidden/>
    <w:unhideWhenUsed/>
    <w:rsid w:val="0015029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settings" Target="settings.xml"/><Relationship Id="rId10" Type="http://schemas.openxmlformats.org/officeDocument/2006/relationships/fontTable" Target="fontTable.xml"/><Relationship Id="rId5" Type="http://schemas.openxmlformats.org/officeDocument/2006/relationships/webSettings" Target="webSettings.xml"/><Relationship Id="rId7"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2.xml"/><Relationship Id="rId3" Type="http://schemas.openxmlformats.org/officeDocument/2006/relationships/styles" Target="style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9301D-0058-D74E-8B5E-BBE629C8D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2072</Words>
  <Characters>11816</Characters>
  <Application>Microsoft Macintosh Word</Application>
  <DocSecurity>0</DocSecurity>
  <Lines>98</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Nick Stang</cp:lastModifiedBy>
  <cp:revision>3</cp:revision>
  <cp:lastPrinted>2010-10-01T18:38:00Z</cp:lastPrinted>
  <dcterms:created xsi:type="dcterms:W3CDTF">2012-07-18T17:06:00Z</dcterms:created>
  <dcterms:modified xsi:type="dcterms:W3CDTF">2012-07-18T17:20:00Z</dcterms:modified>
</cp:coreProperties>
</file>