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C6DC" w14:textId="6D41009D" w:rsidR="00C306EC" w:rsidRDefault="00C306EC" w:rsidP="00C306EC">
      <w:r>
        <w:t xml:space="preserve">Draft. Please cite the published version in International Journal for the Study of Skepticism, doi: </w:t>
      </w:r>
      <w:hyperlink r:id="rId8" w:history="1">
        <w:r w:rsidR="00240BD4">
          <w:rPr>
            <w:rStyle w:val="Hyperlink"/>
            <w:rFonts w:ascii="Arial" w:hAnsi="Arial" w:cs="Arial"/>
            <w:color w:val="074BA9"/>
            <w:sz w:val="21"/>
            <w:szCs w:val="21"/>
            <w:shd w:val="clear" w:color="auto" w:fill="FFFFFF"/>
          </w:rPr>
          <w:t>10.1163/22105700-bja10024</w:t>
        </w:r>
      </w:hyperlink>
    </w:p>
    <w:p w14:paraId="08A659C3" w14:textId="51FCDB95" w:rsidR="006D748C" w:rsidRDefault="00B0403D" w:rsidP="006D748C">
      <w:pPr>
        <w:jc w:val="center"/>
      </w:pPr>
      <w:r>
        <w:t xml:space="preserve">Concessive Knowledge Attributions Cannot </w:t>
      </w:r>
      <w:r w:rsidR="00B31B05">
        <w:t>B</w:t>
      </w:r>
      <w:r>
        <w:t>e Explained Pragmatically</w:t>
      </w:r>
    </w:p>
    <w:p w14:paraId="06BB48FF" w14:textId="7F0AAAFC" w:rsidR="00240BD4" w:rsidRDefault="00240BD4" w:rsidP="006D748C">
      <w:pPr>
        <w:jc w:val="center"/>
      </w:pPr>
      <w:r>
        <w:t>Gregory Stoutenburg</w:t>
      </w:r>
    </w:p>
    <w:p w14:paraId="780D43D3" w14:textId="1A470268" w:rsidR="006F3409" w:rsidRDefault="006F3409" w:rsidP="006F3409">
      <w:pPr>
        <w:spacing w:line="240" w:lineRule="auto"/>
      </w:pPr>
      <w:r>
        <w:t xml:space="preserve">ABSTRACT: “I know that p but it is possible that not-p” sounds contradictory. Some philosophers, notably David Lewis, have taken this as evidence that knowledge requires infallibility. Others have attempted to undermine that inference by arguing that there is a plausible pragmatic explanation of why such sentences sound odd, and thus do not undermine fallibilism. I argue that </w:t>
      </w:r>
      <w:r w:rsidR="001D1078">
        <w:t xml:space="preserve">the </w:t>
      </w:r>
      <w:r w:rsidR="005B3B87">
        <w:t xml:space="preserve">proffered </w:t>
      </w:r>
      <w:r w:rsidR="001D1078">
        <w:t>pragmatic explanations fail</w:t>
      </w:r>
      <w:r w:rsidR="009C5725">
        <w:t xml:space="preserve">, and thus </w:t>
      </w:r>
      <w:r w:rsidR="00332BD4">
        <w:t>it is reasonable to conclude that</w:t>
      </w:r>
      <w:r w:rsidR="00AD583D">
        <w:t xml:space="preserve"> concessive knowledge attributions are </w:t>
      </w:r>
      <w:r w:rsidR="00632213">
        <w:t xml:space="preserve">genuine </w:t>
      </w:r>
      <w:r w:rsidR="00AD583D">
        <w:t>contradictions.</w:t>
      </w:r>
    </w:p>
    <w:p w14:paraId="7464FFDB" w14:textId="22102F45" w:rsidR="00987424" w:rsidRDefault="00987424" w:rsidP="006F3409">
      <w:pPr>
        <w:spacing w:line="240" w:lineRule="auto"/>
      </w:pPr>
      <w:r>
        <w:t>Keywords: concessive knowledge attributions; semantics of knowledge attributions</w:t>
      </w:r>
      <w:r w:rsidR="00AA4C26">
        <w:t>;</w:t>
      </w:r>
      <w:r>
        <w:t xml:space="preserve"> pragmatics of knowledge attributions; infallibilism</w:t>
      </w:r>
    </w:p>
    <w:p w14:paraId="2469A869" w14:textId="77894676" w:rsidR="006F3409" w:rsidRDefault="006F3409" w:rsidP="006F3409">
      <w:pPr>
        <w:spacing w:line="240" w:lineRule="auto"/>
        <w:jc w:val="center"/>
      </w:pPr>
      <w:r>
        <w:t xml:space="preserve">* * * </w:t>
      </w:r>
    </w:p>
    <w:p w14:paraId="6F240FE5" w14:textId="38325E9B" w:rsidR="00B336FD" w:rsidRPr="0008032D" w:rsidRDefault="00B336FD" w:rsidP="00B336FD">
      <w:r>
        <w:t>Here is an argument that k</w:t>
      </w:r>
      <w:r w:rsidRPr="0008032D">
        <w:t>nowledge requires the elimination of every possibility of error.</w:t>
      </w:r>
      <w:r w:rsidR="00511AD3">
        <w:t xml:space="preserve">  </w:t>
      </w:r>
    </w:p>
    <w:p w14:paraId="5582B3AF" w14:textId="25A20D24" w:rsidR="00B336FD" w:rsidRPr="0008032D" w:rsidRDefault="00B336FD" w:rsidP="00B336FD">
      <w:pPr>
        <w:spacing w:after="240" w:line="240" w:lineRule="auto"/>
        <w:ind w:left="720" w:right="864"/>
        <w:rPr>
          <w:iCs/>
          <w:color w:val="000000" w:themeColor="text1"/>
        </w:rPr>
      </w:pPr>
      <w:r w:rsidRPr="0008032D">
        <w:rPr>
          <w:iCs/>
          <w:color w:val="000000" w:themeColor="text1"/>
        </w:rPr>
        <w:t>(</w:t>
      </w:r>
      <w:r w:rsidR="00FD68CD">
        <w:rPr>
          <w:iCs/>
          <w:color w:val="000000" w:themeColor="text1"/>
        </w:rPr>
        <w:t>P</w:t>
      </w:r>
      <w:r w:rsidRPr="0008032D">
        <w:rPr>
          <w:iCs/>
          <w:color w:val="000000" w:themeColor="text1"/>
        </w:rPr>
        <w:t xml:space="preserve">1) </w:t>
      </w:r>
      <w:r w:rsidR="00DD6EED">
        <w:rPr>
          <w:iCs/>
          <w:color w:val="000000" w:themeColor="text1"/>
        </w:rPr>
        <w:t>Overt expressions that one knows that a proposition is true while conceding that it may be false strike us as contradictory</w:t>
      </w:r>
      <w:r w:rsidRPr="0008032D">
        <w:rPr>
          <w:iCs/>
          <w:color w:val="000000" w:themeColor="text1"/>
        </w:rPr>
        <w:t>.</w:t>
      </w:r>
      <w:r w:rsidR="00511AD3">
        <w:rPr>
          <w:iCs/>
          <w:color w:val="000000" w:themeColor="text1"/>
        </w:rPr>
        <w:t xml:space="preserve"> </w:t>
      </w:r>
    </w:p>
    <w:p w14:paraId="12342535" w14:textId="079D9246" w:rsidR="00B336FD" w:rsidRPr="0008032D" w:rsidRDefault="00B336FD" w:rsidP="00B336FD">
      <w:pPr>
        <w:spacing w:after="240" w:line="240" w:lineRule="auto"/>
        <w:ind w:left="720" w:right="864"/>
        <w:rPr>
          <w:iCs/>
          <w:color w:val="000000" w:themeColor="text1"/>
        </w:rPr>
      </w:pPr>
      <w:r w:rsidRPr="0008032D">
        <w:rPr>
          <w:iCs/>
          <w:color w:val="000000" w:themeColor="text1"/>
        </w:rPr>
        <w:t>(</w:t>
      </w:r>
      <w:r w:rsidR="00FD68CD">
        <w:rPr>
          <w:iCs/>
          <w:color w:val="000000" w:themeColor="text1"/>
        </w:rPr>
        <w:t>P</w:t>
      </w:r>
      <w:r w:rsidRPr="0008032D">
        <w:rPr>
          <w:iCs/>
          <w:color w:val="000000" w:themeColor="text1"/>
        </w:rPr>
        <w:t>2) If (</w:t>
      </w:r>
      <w:r w:rsidR="00FD68CD">
        <w:rPr>
          <w:iCs/>
          <w:color w:val="000000" w:themeColor="text1"/>
        </w:rPr>
        <w:t>P</w:t>
      </w:r>
      <w:r w:rsidRPr="0008032D">
        <w:rPr>
          <w:iCs/>
          <w:color w:val="000000" w:themeColor="text1"/>
        </w:rPr>
        <w:t>1), then</w:t>
      </w:r>
      <w:r w:rsidR="006B56B0">
        <w:rPr>
          <w:iCs/>
          <w:color w:val="000000" w:themeColor="text1"/>
        </w:rPr>
        <w:t xml:space="preserve"> </w:t>
      </w:r>
      <w:r w:rsidR="00F94E65">
        <w:rPr>
          <w:iCs/>
          <w:color w:val="000000" w:themeColor="text1"/>
        </w:rPr>
        <w:t>(</w:t>
      </w:r>
      <w:r w:rsidR="006B56B0">
        <w:rPr>
          <w:iCs/>
          <w:color w:val="000000" w:themeColor="text1"/>
        </w:rPr>
        <w:t>by our standards</w:t>
      </w:r>
      <w:r w:rsidR="00F94E65">
        <w:rPr>
          <w:iCs/>
          <w:color w:val="000000" w:themeColor="text1"/>
        </w:rPr>
        <w:t>)</w:t>
      </w:r>
      <w:r w:rsidRPr="0008032D">
        <w:rPr>
          <w:iCs/>
          <w:color w:val="000000" w:themeColor="text1"/>
        </w:rPr>
        <w:t xml:space="preserve"> to know that a proposition is true, one must be able to eliminate the possibility that the proposition is false.</w:t>
      </w:r>
      <w:r w:rsidR="00511AD3">
        <w:rPr>
          <w:iCs/>
          <w:color w:val="000000" w:themeColor="text1"/>
        </w:rPr>
        <w:t xml:space="preserve"> </w:t>
      </w:r>
    </w:p>
    <w:p w14:paraId="7584138E" w14:textId="201E34E3" w:rsidR="00B336FD" w:rsidRPr="0008032D" w:rsidRDefault="00B336FD" w:rsidP="00B336FD">
      <w:pPr>
        <w:spacing w:after="240" w:line="240" w:lineRule="auto"/>
        <w:ind w:left="720" w:right="864"/>
        <w:rPr>
          <w:iCs/>
          <w:color w:val="000000" w:themeColor="text1"/>
        </w:rPr>
      </w:pPr>
      <w:r w:rsidRPr="0008032D">
        <w:rPr>
          <w:iCs/>
          <w:color w:val="000000" w:themeColor="text1"/>
        </w:rPr>
        <w:t>(</w:t>
      </w:r>
      <w:r w:rsidR="00FD68CD">
        <w:rPr>
          <w:iCs/>
          <w:color w:val="000000" w:themeColor="text1"/>
        </w:rPr>
        <w:t>C</w:t>
      </w:r>
      <w:r w:rsidRPr="0008032D">
        <w:rPr>
          <w:iCs/>
          <w:color w:val="000000" w:themeColor="text1"/>
        </w:rPr>
        <w:t xml:space="preserve">) Therefore, </w:t>
      </w:r>
      <w:r w:rsidR="00F94E65">
        <w:rPr>
          <w:iCs/>
          <w:color w:val="000000" w:themeColor="text1"/>
        </w:rPr>
        <w:t xml:space="preserve">(by our standards) </w:t>
      </w:r>
      <w:r w:rsidRPr="0008032D">
        <w:rPr>
          <w:iCs/>
          <w:color w:val="000000" w:themeColor="text1"/>
        </w:rPr>
        <w:t>to know that a proposition is true, one must be able to eliminate the possibility that the proposition is false.</w:t>
      </w:r>
    </w:p>
    <w:p w14:paraId="2B0FA6CD" w14:textId="3D1A1254" w:rsidR="00E521D1" w:rsidRDefault="00B336FD" w:rsidP="00AC4F84">
      <w:r w:rsidRPr="0008032D">
        <w:t xml:space="preserve">The argument is </w:t>
      </w:r>
      <w:r w:rsidR="00F94E65">
        <w:t>clearly</w:t>
      </w:r>
      <w:r w:rsidRPr="0008032D">
        <w:t xml:space="preserve"> valid.</w:t>
      </w:r>
      <w:r w:rsidR="00511AD3">
        <w:t xml:space="preserve"> </w:t>
      </w:r>
      <w:r>
        <w:t>One might</w:t>
      </w:r>
      <w:r w:rsidRPr="0008032D">
        <w:t xml:space="preserve"> challenge the argument </w:t>
      </w:r>
      <w:r w:rsidR="00E521D1">
        <w:t>by arguing that one of its premises is false. In this paper I defend both premises</w:t>
      </w:r>
      <w:r w:rsidR="005E58E5">
        <w:t xml:space="preserve">. </w:t>
      </w:r>
      <w:r w:rsidR="00294241">
        <w:t>A standard way of objecting to (</w:t>
      </w:r>
      <w:r w:rsidR="00FD68CD">
        <w:t>P</w:t>
      </w:r>
      <w:r w:rsidR="00294241">
        <w:t xml:space="preserve">2) is to </w:t>
      </w:r>
      <w:r w:rsidR="001A44EC">
        <w:t>offer a pragmatic explanation of why concessive knowledge attributions</w:t>
      </w:r>
      <w:r w:rsidR="00404E3A">
        <w:t xml:space="preserve"> </w:t>
      </w:r>
      <w:r w:rsidR="00EC679A">
        <w:t>(as in (</w:t>
      </w:r>
      <w:r w:rsidR="00FD68CD">
        <w:t>P</w:t>
      </w:r>
      <w:r w:rsidR="00EC679A">
        <w:t>1))</w:t>
      </w:r>
      <w:r w:rsidR="001A44EC">
        <w:t xml:space="preserve"> sound false </w:t>
      </w:r>
      <w:r w:rsidR="00AF6E8D">
        <w:t>if they are often true</w:t>
      </w:r>
      <w:r w:rsidR="009A5CBF">
        <w:t>, so I focus attention on that kind of defense of (</w:t>
      </w:r>
      <w:r w:rsidR="00B10108">
        <w:t>P</w:t>
      </w:r>
      <w:r w:rsidR="009A5CBF">
        <w:t>2)</w:t>
      </w:r>
      <w:r w:rsidR="00AF6E8D">
        <w:t xml:space="preserve">. </w:t>
      </w:r>
      <w:r w:rsidR="00587379">
        <w:t>Pragmatic explanations of why concessive knowledge attributions sound false</w:t>
      </w:r>
      <w:r w:rsidR="00AF6E8D">
        <w:t xml:space="preserve"> have been defended by</w:t>
      </w:r>
      <w:r w:rsidR="002B517F">
        <w:t xml:space="preserve"> Rysiew (2001), later developed in</w:t>
      </w:r>
      <w:r w:rsidR="00AF6E8D">
        <w:t xml:space="preserve"> Dougherty and Rysiew </w:t>
      </w:r>
      <w:r w:rsidR="00F646D4">
        <w:t>(2009)</w:t>
      </w:r>
      <w:r w:rsidR="002B517F">
        <w:t>,</w:t>
      </w:r>
      <w:r w:rsidR="00F646D4">
        <w:t xml:space="preserve"> and </w:t>
      </w:r>
      <w:r w:rsidR="00DE01E9">
        <w:t>offered by</w:t>
      </w:r>
      <w:r w:rsidR="002B517F">
        <w:t xml:space="preserve"> </w:t>
      </w:r>
      <w:r w:rsidR="00F646D4">
        <w:t>Brown (2018).</w:t>
      </w:r>
      <w:r w:rsidR="007A1A50">
        <w:t xml:space="preserve"> These philosophers argue that knowledge is fallible</w:t>
      </w:r>
      <w:r w:rsidR="00AC4F84">
        <w:t xml:space="preserve"> and that psychological and conversational factors explain why we often mistakenly think concessive knowledge attributions sound false even </w:t>
      </w:r>
      <w:r w:rsidR="00AC4F84">
        <w:lastRenderedPageBreak/>
        <w:t>though they are often true.</w:t>
      </w:r>
      <w:r w:rsidR="008E7B39">
        <w:t xml:space="preserve"> I will argue that these pragmatic accounts fail to explain the infelicity of concessive knowledge attributions, and thus</w:t>
      </w:r>
      <w:r w:rsidR="004E1C41">
        <w:t xml:space="preserve"> </w:t>
      </w:r>
      <w:r w:rsidR="00AB4AFC">
        <w:t>a</w:t>
      </w:r>
      <w:r w:rsidR="00663409">
        <w:t xml:space="preserve"> semantic solution is </w:t>
      </w:r>
      <w:r w:rsidR="00AB4AFC">
        <w:t>the most</w:t>
      </w:r>
      <w:r w:rsidR="007E143D">
        <w:t xml:space="preserve"> plausible</w:t>
      </w:r>
      <w:r w:rsidR="00AB4AFC">
        <w:t xml:space="preserve"> explanation</w:t>
      </w:r>
      <w:r w:rsidR="007E143D">
        <w:t>.</w:t>
      </w:r>
      <w:r w:rsidR="007641FD">
        <w:t xml:space="preserve"> </w:t>
      </w:r>
    </w:p>
    <w:p w14:paraId="7E1FACF1" w14:textId="62089EF0" w:rsidR="00B336FD" w:rsidRPr="0008032D" w:rsidRDefault="00DD4E35" w:rsidP="00B336FD">
      <w:pPr>
        <w:ind w:firstLine="720"/>
      </w:pPr>
      <w:r>
        <w:t>First, let us examine (</w:t>
      </w:r>
      <w:r w:rsidR="00DE01E9">
        <w:t>P</w:t>
      </w:r>
      <w:r>
        <w:t>1).</w:t>
      </w:r>
      <w:r w:rsidR="00E521D1">
        <w:t xml:space="preserve"> </w:t>
      </w:r>
      <w:r w:rsidR="00B336FD" w:rsidRPr="0008032D">
        <w:t xml:space="preserve">David Lewis said, </w:t>
      </w:r>
    </w:p>
    <w:p w14:paraId="203A8A3F" w14:textId="33E0A3FD" w:rsidR="00B336FD" w:rsidRPr="0008032D" w:rsidRDefault="00B336FD" w:rsidP="00B336FD">
      <w:pPr>
        <w:spacing w:after="240" w:line="240" w:lineRule="auto"/>
        <w:ind w:left="720" w:right="864"/>
        <w:rPr>
          <w:iCs/>
          <w:color w:val="000000" w:themeColor="text1"/>
        </w:rPr>
      </w:pPr>
      <w:r w:rsidRPr="0008032D">
        <w:rPr>
          <w:iCs/>
          <w:color w:val="000000" w:themeColor="text1"/>
        </w:rPr>
        <w:t>[I]t seems as if knowledge must be by definition infallible.</w:t>
      </w:r>
      <w:r w:rsidR="00511AD3">
        <w:rPr>
          <w:iCs/>
          <w:color w:val="000000" w:themeColor="text1"/>
        </w:rPr>
        <w:t xml:space="preserve"> </w:t>
      </w:r>
      <w:r w:rsidRPr="0008032D">
        <w:rPr>
          <w:iCs/>
          <w:color w:val="000000" w:themeColor="text1"/>
        </w:rPr>
        <w:t>If you claim that S knows that p, and yet you grant that S cannot eliminate a certain possibility in which not-p, it certainly seems as if you have granted that S does not after all know that p.</w:t>
      </w:r>
      <w:r w:rsidR="00511AD3">
        <w:rPr>
          <w:iCs/>
          <w:color w:val="000000" w:themeColor="text1"/>
        </w:rPr>
        <w:t xml:space="preserve"> </w:t>
      </w:r>
      <w:r w:rsidRPr="0008032D">
        <w:rPr>
          <w:iCs/>
          <w:color w:val="000000" w:themeColor="text1"/>
        </w:rPr>
        <w:t xml:space="preserve">To speak of fallible knowledge, of knowledge despite uneliminated possibilities of error, just </w:t>
      </w:r>
      <w:r w:rsidRPr="0008032D">
        <w:rPr>
          <w:i/>
          <w:iCs/>
          <w:color w:val="000000" w:themeColor="text1"/>
        </w:rPr>
        <w:t>sounds</w:t>
      </w:r>
      <w:r w:rsidR="00202601">
        <w:rPr>
          <w:iCs/>
          <w:color w:val="000000" w:themeColor="text1"/>
        </w:rPr>
        <w:t xml:space="preserve"> </w:t>
      </w:r>
      <w:r w:rsidR="00C35616">
        <w:rPr>
          <w:iCs/>
          <w:color w:val="000000" w:themeColor="text1"/>
        </w:rPr>
        <w:t>contradictory (1996, p. 549).</w:t>
      </w:r>
    </w:p>
    <w:p w14:paraId="00D64D8F" w14:textId="452B8FFC" w:rsidR="00B336FD" w:rsidRPr="0008032D" w:rsidRDefault="00B336FD" w:rsidP="004031F8">
      <w:pPr>
        <w:spacing w:after="0"/>
      </w:pPr>
      <w:r w:rsidRPr="0008032D">
        <w:t xml:space="preserve">Lewis goes on to present a view that </w:t>
      </w:r>
      <w:r w:rsidR="0051758F">
        <w:t>attempts to incorporate the</w:t>
      </w:r>
      <w:r w:rsidRPr="0008032D">
        <w:t xml:space="preserve"> idea that knowing requires </w:t>
      </w:r>
      <w:r w:rsidR="0051758F">
        <w:t>impossibility of error</w:t>
      </w:r>
      <w:r w:rsidRPr="0008032D">
        <w:t xml:space="preserve">: specifically, he devises a set of rules that </w:t>
      </w:r>
      <w:r w:rsidR="004200F9">
        <w:t>determine</w:t>
      </w:r>
      <w:r w:rsidRPr="0008032D">
        <w:t xml:space="preserve"> what does and does not count as possible </w:t>
      </w:r>
      <w:r w:rsidR="004200F9">
        <w:rPr>
          <w:i/>
        </w:rPr>
        <w:t>within a</w:t>
      </w:r>
      <w:r w:rsidRPr="0008032D">
        <w:rPr>
          <w:i/>
        </w:rPr>
        <w:t xml:space="preserve"> context</w:t>
      </w:r>
      <w:r w:rsidRPr="0008032D">
        <w:t>.</w:t>
      </w:r>
      <w:r w:rsidR="00511AD3">
        <w:t xml:space="preserve"> H</w:t>
      </w:r>
      <w:r w:rsidRPr="0008032D">
        <w:t>e goes on to say,</w:t>
      </w:r>
    </w:p>
    <w:p w14:paraId="386A230B" w14:textId="0E83095A" w:rsidR="00B336FD" w:rsidRPr="0008032D" w:rsidRDefault="00B336FD" w:rsidP="00B336FD">
      <w:pPr>
        <w:spacing w:after="240" w:line="240" w:lineRule="auto"/>
        <w:ind w:left="720" w:right="864"/>
        <w:rPr>
          <w:iCs/>
          <w:color w:val="000000" w:themeColor="text1"/>
        </w:rPr>
      </w:pPr>
      <w:r w:rsidRPr="0008032D">
        <w:rPr>
          <w:iCs/>
          <w:color w:val="000000" w:themeColor="text1"/>
        </w:rPr>
        <w:t>I may properly ignore some uneliminated possibilities; I may not properly ignore others.</w:t>
      </w:r>
      <w:r w:rsidR="00511AD3">
        <w:rPr>
          <w:iCs/>
          <w:color w:val="000000" w:themeColor="text1"/>
        </w:rPr>
        <w:t xml:space="preserve"> </w:t>
      </w:r>
      <w:r w:rsidRPr="0008032D">
        <w:rPr>
          <w:iCs/>
          <w:color w:val="000000" w:themeColor="text1"/>
        </w:rPr>
        <w:t xml:space="preserve">Our definition of knowledge requires a </w:t>
      </w:r>
      <w:r w:rsidRPr="0008032D">
        <w:rPr>
          <w:i/>
          <w:iCs/>
          <w:color w:val="000000" w:themeColor="text1"/>
        </w:rPr>
        <w:t>sotto voce</w:t>
      </w:r>
      <w:r w:rsidRPr="0008032D">
        <w:rPr>
          <w:iCs/>
          <w:color w:val="000000" w:themeColor="text1"/>
        </w:rPr>
        <w:t xml:space="preserve"> proviso.</w:t>
      </w:r>
      <w:r w:rsidR="00511AD3">
        <w:rPr>
          <w:iCs/>
          <w:color w:val="000000" w:themeColor="text1"/>
        </w:rPr>
        <w:t xml:space="preserve"> </w:t>
      </w:r>
      <w:r w:rsidRPr="0008032D">
        <w:rPr>
          <w:iCs/>
          <w:color w:val="000000" w:themeColor="text1"/>
        </w:rPr>
        <w:t>S knows that p iff S’s evidence eliminates every possibility in which not-p—Psst!—except for those possibilities that we are properly ignoring (554).</w:t>
      </w:r>
    </w:p>
    <w:p w14:paraId="5ACF2A66" w14:textId="6332979A" w:rsidR="00B336FD" w:rsidRPr="0008032D" w:rsidRDefault="00B336FD" w:rsidP="00B336FD">
      <w:r w:rsidRPr="0008032D">
        <w:t xml:space="preserve">That Lewis found himself led to adopt this </w:t>
      </w:r>
      <w:r w:rsidR="0051758F">
        <w:t xml:space="preserve">awkward </w:t>
      </w:r>
      <w:r w:rsidRPr="0008032D">
        <w:t xml:space="preserve">position shows how forcefully </w:t>
      </w:r>
      <w:r w:rsidR="00021AE9">
        <w:t xml:space="preserve">the intuition that knowledge is infallible pulls on even a staunch anti-skeptic. </w:t>
      </w:r>
    </w:p>
    <w:p w14:paraId="589A6258" w14:textId="76652059" w:rsidR="00B336FD" w:rsidRPr="0008032D" w:rsidRDefault="00B336FD" w:rsidP="00B336FD">
      <w:r w:rsidRPr="0008032D">
        <w:tab/>
      </w:r>
      <w:r w:rsidR="00786289">
        <w:t>Sentences of the</w:t>
      </w:r>
      <w:r w:rsidR="0051758F">
        <w:t xml:space="preserve"> form that motivated Lewis toward a kind of infallibilist view of knowledge –“</w:t>
      </w:r>
      <w:r w:rsidRPr="0008032D">
        <w:t>S knows that p but there is some q that is incompatible wi</w:t>
      </w:r>
      <w:r w:rsidR="0051758F">
        <w:t>th p that S cannot eliminate</w:t>
      </w:r>
      <w:r>
        <w:t>”</w:t>
      </w:r>
      <w:r w:rsidR="0051758F">
        <w:t>–</w:t>
      </w:r>
      <w:r w:rsidR="00E521D1">
        <w:t xml:space="preserve"> are</w:t>
      </w:r>
      <w:r w:rsidR="00786289">
        <w:t xml:space="preserve"> now known as concessive knowledge attribution</w:t>
      </w:r>
      <w:r w:rsidR="00E521D1">
        <w:t>s</w:t>
      </w:r>
      <w:r w:rsidRPr="0008032D">
        <w:t>.</w:t>
      </w:r>
      <w:r w:rsidRPr="0008032D">
        <w:rPr>
          <w:vertAlign w:val="superscript"/>
        </w:rPr>
        <w:footnoteReference w:id="2"/>
      </w:r>
      <w:r w:rsidR="00511AD3">
        <w:t xml:space="preserve"> </w:t>
      </w:r>
      <w:r w:rsidR="003E0A7B">
        <w:t>In the unlikely event that a reader d</w:t>
      </w:r>
      <w:r w:rsidRPr="0008032D">
        <w:t>oes</w:t>
      </w:r>
      <w:r w:rsidR="003E0A7B">
        <w:t xml:space="preserve"> not</w:t>
      </w:r>
      <w:r w:rsidRPr="0008032D">
        <w:t xml:space="preserve"> hear the </w:t>
      </w:r>
      <w:r w:rsidR="00E521D1">
        <w:t>contradictory</w:t>
      </w:r>
      <w:r w:rsidRPr="0008032D">
        <w:t xml:space="preserve"> sound</w:t>
      </w:r>
      <w:r w:rsidR="00E521D1">
        <w:t xml:space="preserve"> when saying or thinking of a concessive knowledge attribution</w:t>
      </w:r>
      <w:r w:rsidRPr="0008032D">
        <w:t xml:space="preserve">, try </w:t>
      </w:r>
      <w:r w:rsidR="003E0A7B">
        <w:t>one of these</w:t>
      </w:r>
      <w:r w:rsidRPr="0008032D">
        <w:t xml:space="preserve"> example </w:t>
      </w:r>
      <w:r w:rsidR="00E521D1">
        <w:t>concessive knowledge attributions</w:t>
      </w:r>
      <w:r w:rsidR="003E0A7B">
        <w:t>:</w:t>
      </w:r>
    </w:p>
    <w:p w14:paraId="35BBBB43" w14:textId="4E4E3BCD" w:rsidR="00B336FD" w:rsidRPr="0008032D" w:rsidRDefault="00916289" w:rsidP="00916289">
      <w:pPr>
        <w:ind w:left="720"/>
      </w:pPr>
      <w:r>
        <w:lastRenderedPageBreak/>
        <w:t xml:space="preserve">(1) </w:t>
      </w:r>
      <w:r w:rsidR="00B336FD" w:rsidRPr="0008032D">
        <w:t>I know that the bank will be open on my way home from work tonight, but it might close before I get there.</w:t>
      </w:r>
    </w:p>
    <w:p w14:paraId="7E0BC563" w14:textId="53BFA860" w:rsidR="00B336FD" w:rsidRPr="0008032D" w:rsidRDefault="00916289" w:rsidP="00916289">
      <w:pPr>
        <w:ind w:left="720"/>
      </w:pPr>
      <w:r>
        <w:t xml:space="preserve">(2) </w:t>
      </w:r>
      <w:r w:rsidR="00B336FD" w:rsidRPr="0008032D">
        <w:t>You know the bank will be open on your way home from work tonight, but it might close before you get there.</w:t>
      </w:r>
    </w:p>
    <w:p w14:paraId="24A0752E" w14:textId="25E5D83E" w:rsidR="00B336FD" w:rsidRPr="0008032D" w:rsidRDefault="00916289" w:rsidP="00916289">
      <w:pPr>
        <w:ind w:left="720"/>
      </w:pPr>
      <w:r>
        <w:t xml:space="preserve">(3) </w:t>
      </w:r>
      <w:r w:rsidR="00B336FD" w:rsidRPr="0008032D">
        <w:t>I know my car is parked</w:t>
      </w:r>
      <w:r w:rsidR="00E521D1">
        <w:t xml:space="preserve"> in the l</w:t>
      </w:r>
      <w:r w:rsidR="00B336FD" w:rsidRPr="0008032D">
        <w:t>ibrary lot, but someone might have stolen it already.</w:t>
      </w:r>
    </w:p>
    <w:p w14:paraId="3ABC3642" w14:textId="57FB369D" w:rsidR="00B336FD" w:rsidRPr="0008032D" w:rsidRDefault="00916289" w:rsidP="00916289">
      <w:pPr>
        <w:ind w:left="720"/>
      </w:pPr>
      <w:r>
        <w:t xml:space="preserve">(4) </w:t>
      </w:r>
      <w:r w:rsidR="00B336FD" w:rsidRPr="0008032D">
        <w:t xml:space="preserve">You know your car is parked in the </w:t>
      </w:r>
      <w:r w:rsidR="00E521D1">
        <w:t>l</w:t>
      </w:r>
      <w:r w:rsidR="00B336FD" w:rsidRPr="0008032D">
        <w:t>ibrary lot, but someone might have stolen it already.</w:t>
      </w:r>
    </w:p>
    <w:p w14:paraId="617A65EE" w14:textId="1BEC0A4B" w:rsidR="00B336FD" w:rsidRPr="0008032D" w:rsidRDefault="00916289" w:rsidP="00916289">
      <w:pPr>
        <w:ind w:left="720"/>
      </w:pPr>
      <w:r>
        <w:t xml:space="preserve">(5) </w:t>
      </w:r>
      <w:r w:rsidR="00B336FD" w:rsidRPr="0008032D">
        <w:t xml:space="preserve">Steve knows </w:t>
      </w:r>
      <w:r w:rsidR="00E521D1">
        <w:t>that he is</w:t>
      </w:r>
      <w:r w:rsidR="00B336FD" w:rsidRPr="0008032D">
        <w:t xml:space="preserve"> looking at a zebra, but he </w:t>
      </w:r>
      <w:r w:rsidR="00E521D1">
        <w:t>cannot</w:t>
      </w:r>
      <w:r w:rsidR="00B336FD" w:rsidRPr="0008032D">
        <w:t xml:space="preserve"> be sure </w:t>
      </w:r>
      <w:r w:rsidR="00E521D1">
        <w:t>it is</w:t>
      </w:r>
      <w:r w:rsidR="00B336FD" w:rsidRPr="0008032D">
        <w:t xml:space="preserve"> not a disguised mule.</w:t>
      </w:r>
      <w:r w:rsidR="00B336FD" w:rsidRPr="0008032D">
        <w:rPr>
          <w:vertAlign w:val="superscript"/>
        </w:rPr>
        <w:footnoteReference w:id="3"/>
      </w:r>
    </w:p>
    <w:p w14:paraId="2F575A8F" w14:textId="7DA593F8" w:rsidR="00E521D1" w:rsidRDefault="00B336FD" w:rsidP="00B336FD">
      <w:r w:rsidRPr="0008032D">
        <w:t xml:space="preserve">These </w:t>
      </w:r>
      <w:r w:rsidR="00331C46">
        <w:t>utterances</w:t>
      </w:r>
      <w:r w:rsidRPr="0008032D">
        <w:t xml:space="preserve"> all sound contradictory, just as Lewis claimed.</w:t>
      </w:r>
      <w:r w:rsidR="00511AD3">
        <w:t xml:space="preserve"> </w:t>
      </w:r>
      <w:r w:rsidR="00CA741C">
        <w:t xml:space="preserve">Premise </w:t>
      </w:r>
      <w:r w:rsidR="00E521D1">
        <w:t>(</w:t>
      </w:r>
      <w:r w:rsidR="00916289">
        <w:t>P</w:t>
      </w:r>
      <w:r w:rsidR="00E521D1">
        <w:t xml:space="preserve">1) is plausible. </w:t>
      </w:r>
      <w:r w:rsidR="00440232">
        <w:rPr>
          <w:rStyle w:val="FootnoteReference"/>
        </w:rPr>
        <w:footnoteReference w:id="4"/>
      </w:r>
    </w:p>
    <w:p w14:paraId="37182710" w14:textId="7CE1A749" w:rsidR="00B13985" w:rsidRDefault="004031F8" w:rsidP="00E521D1">
      <w:pPr>
        <w:ind w:firstLine="720"/>
      </w:pPr>
      <w:r>
        <w:t>Now to (</w:t>
      </w:r>
      <w:r w:rsidR="00916289">
        <w:t>P</w:t>
      </w:r>
      <w:r>
        <w:t xml:space="preserve">2). </w:t>
      </w:r>
      <w:r w:rsidR="00457053">
        <w:t xml:space="preserve">There are two straightforward ways of </w:t>
      </w:r>
      <w:r w:rsidR="005370C4">
        <w:t>explaining why concessive knowledge attributions sound contradictory. Either they are contradictory, or they are not (and some further facts explain why they sound contradictory</w:t>
      </w:r>
      <w:r w:rsidR="00883402">
        <w:t xml:space="preserve">.) </w:t>
      </w:r>
      <w:r w:rsidR="00E521D1">
        <w:t xml:space="preserve">Determining which </w:t>
      </w:r>
      <w:r w:rsidR="00883402">
        <w:t>explanation</w:t>
      </w:r>
      <w:r w:rsidR="00E521D1">
        <w:t xml:space="preserve"> of the phenomenon is correct is more difficult. </w:t>
      </w:r>
      <w:r>
        <w:t xml:space="preserve">Initial plausibility falls to the </w:t>
      </w:r>
      <w:r w:rsidR="00883402">
        <w:t>explanation</w:t>
      </w:r>
      <w:r>
        <w:t xml:space="preserve"> that concessive knowledge attributions sound contradictory because they are, just as Lewis </w:t>
      </w:r>
      <w:r w:rsidR="00DF479E">
        <w:t>claimed</w:t>
      </w:r>
      <w:r>
        <w:t xml:space="preserve">. </w:t>
      </w:r>
      <w:r w:rsidR="00883402">
        <w:t>Initial plausibility goes that way because the explanation is obviously simpler.</w:t>
      </w:r>
      <w:r w:rsidR="00715AF0">
        <w:rPr>
          <w:rStyle w:val="FootnoteReference"/>
        </w:rPr>
        <w:footnoteReference w:id="5"/>
      </w:r>
      <w:r w:rsidR="00883402">
        <w:t xml:space="preserve"> </w:t>
      </w:r>
      <w:r>
        <w:t>But</w:t>
      </w:r>
      <w:r w:rsidR="005911C4">
        <w:t xml:space="preserve"> simplicity aside,</w:t>
      </w:r>
      <w:r w:rsidR="0075579A">
        <w:t xml:space="preserve"> </w:t>
      </w:r>
      <w:r>
        <w:t>t</w:t>
      </w:r>
      <w:r w:rsidR="00B336FD" w:rsidRPr="0008032D">
        <w:t xml:space="preserve">he fact that concessive knowledge attributions </w:t>
      </w:r>
      <w:r w:rsidR="00B336FD" w:rsidRPr="0008032D">
        <w:rPr>
          <w:i/>
        </w:rPr>
        <w:t>sound</w:t>
      </w:r>
      <w:r w:rsidR="00B336FD" w:rsidRPr="0008032D">
        <w:t xml:space="preserve"> contradictory does not entail that </w:t>
      </w:r>
      <w:r w:rsidR="00B336FD" w:rsidRPr="0008032D">
        <w:lastRenderedPageBreak/>
        <w:t xml:space="preserve">they </w:t>
      </w:r>
      <w:r w:rsidR="00B336FD" w:rsidRPr="0008032D">
        <w:rPr>
          <w:i/>
        </w:rPr>
        <w:t>are</w:t>
      </w:r>
      <w:r>
        <w:t xml:space="preserve"> contradictory</w:t>
      </w:r>
      <w:r w:rsidR="00B336FD" w:rsidRPr="0008032D">
        <w:t>.</w:t>
      </w:r>
      <w:r w:rsidR="00511AD3">
        <w:t xml:space="preserve"> </w:t>
      </w:r>
      <w:r w:rsidR="00DF01AF">
        <w:t>So, w</w:t>
      </w:r>
      <w:r w:rsidR="00B336FD" w:rsidRPr="0008032D">
        <w:t xml:space="preserve">e need to consider different hypotheses about </w:t>
      </w:r>
      <w:r w:rsidR="00B336FD" w:rsidRPr="0008032D">
        <w:rPr>
          <w:i/>
        </w:rPr>
        <w:t>why</w:t>
      </w:r>
      <w:r w:rsidR="00B336FD" w:rsidRPr="0008032D">
        <w:t xml:space="preserve"> these sentences sound contradictory.</w:t>
      </w:r>
      <w:r w:rsidR="00511AD3">
        <w:t xml:space="preserve"> </w:t>
      </w:r>
    </w:p>
    <w:p w14:paraId="71C0C835" w14:textId="66CC209C" w:rsidR="00B336FD" w:rsidRPr="0008032D" w:rsidRDefault="006C42E3" w:rsidP="00E521D1">
      <w:pPr>
        <w:ind w:firstLine="720"/>
      </w:pPr>
      <w:r>
        <w:t>An</w:t>
      </w:r>
      <w:r w:rsidR="00A20EDA">
        <w:t xml:space="preserve"> alternative view is that there is an explanation for why concessive knowledge attributions sound contradictory </w:t>
      </w:r>
      <w:r w:rsidR="00D336A6">
        <w:t xml:space="preserve">that </w:t>
      </w:r>
      <w:r w:rsidR="0077671D">
        <w:t>is compatible with such claims being true</w:t>
      </w:r>
      <w:r w:rsidR="00B336FD" w:rsidRPr="0008032D">
        <w:t>.</w:t>
      </w:r>
      <w:r w:rsidR="00511AD3">
        <w:t xml:space="preserve"> </w:t>
      </w:r>
      <w:r w:rsidR="00D336A6">
        <w:t xml:space="preserve">The </w:t>
      </w:r>
      <w:r w:rsidR="0077671D">
        <w:t>explanation</w:t>
      </w:r>
      <w:r w:rsidR="00D336A6">
        <w:t xml:space="preserve"> is</w:t>
      </w:r>
      <w:r w:rsidR="00B336FD" w:rsidRPr="0008032D">
        <w:t xml:space="preserve"> that there is something </w:t>
      </w:r>
      <w:r w:rsidR="00B336FD" w:rsidRPr="0008032D">
        <w:rPr>
          <w:i/>
        </w:rPr>
        <w:t>pragmatically</w:t>
      </w:r>
      <w:r w:rsidR="00B336FD" w:rsidRPr="0008032D">
        <w:t xml:space="preserve"> defective about </w:t>
      </w:r>
      <w:r w:rsidR="00402426">
        <w:t>uttering</w:t>
      </w:r>
      <w:r w:rsidR="00B336FD" w:rsidRPr="0008032D">
        <w:t xml:space="preserve"> concessive knowledge attributions: while concessive knowledge attributions are often true, conversational norms </w:t>
      </w:r>
      <w:r w:rsidR="00402426">
        <w:t xml:space="preserve">that govern </w:t>
      </w:r>
      <w:r w:rsidR="00CD6C2D">
        <w:t xml:space="preserve">our practice of </w:t>
      </w:r>
      <w:r w:rsidR="00402426">
        <w:t xml:space="preserve">knowledge </w:t>
      </w:r>
      <w:r w:rsidR="00CD6C2D">
        <w:t>attribution</w:t>
      </w:r>
      <w:r w:rsidR="00402426">
        <w:t xml:space="preserve"> </w:t>
      </w:r>
      <w:r w:rsidR="00B336FD" w:rsidRPr="0008032D">
        <w:t xml:space="preserve">give rise to a kind of infelicity that makes </w:t>
      </w:r>
      <w:r w:rsidR="00CD6C2D">
        <w:rPr>
          <w:i/>
          <w:iCs/>
        </w:rPr>
        <w:t xml:space="preserve">uttering </w:t>
      </w:r>
      <w:r w:rsidR="00CD6C2D">
        <w:t xml:space="preserve">a </w:t>
      </w:r>
      <w:r w:rsidR="0013366E">
        <w:t>concessive knowledge attribution</w:t>
      </w:r>
      <w:r w:rsidR="00B336FD" w:rsidRPr="0008032D">
        <w:t xml:space="preserve"> </w:t>
      </w:r>
      <w:r w:rsidR="0079463D">
        <w:t xml:space="preserve">seem </w:t>
      </w:r>
      <w:r>
        <w:t xml:space="preserve">(falsely) </w:t>
      </w:r>
      <w:r w:rsidR="0079463D">
        <w:t xml:space="preserve">as though the content of one’s </w:t>
      </w:r>
      <w:r>
        <w:t>utterance</w:t>
      </w:r>
      <w:r w:rsidR="0079463D">
        <w:t xml:space="preserve"> is necessarily false</w:t>
      </w:r>
      <w:r w:rsidR="00B336FD" w:rsidRPr="0008032D">
        <w:t>.</w:t>
      </w:r>
      <w:r w:rsidR="008A3072">
        <w:rPr>
          <w:rStyle w:val="FootnoteReference"/>
        </w:rPr>
        <w:footnoteReference w:id="6"/>
      </w:r>
      <w:r w:rsidR="00B336FD" w:rsidRPr="0008032D">
        <w:t xml:space="preserve"> </w:t>
      </w:r>
    </w:p>
    <w:p w14:paraId="0BCD9A0F" w14:textId="1D225600" w:rsidR="00B336FD" w:rsidRPr="0008032D" w:rsidRDefault="00B336FD" w:rsidP="00B336FD">
      <w:r w:rsidRPr="0008032D">
        <w:tab/>
      </w:r>
      <w:r w:rsidR="00BB0B87">
        <w:t>Such a</w:t>
      </w:r>
      <w:r w:rsidRPr="0008032D">
        <w:t xml:space="preserve"> pragmatic solution to this problem</w:t>
      </w:r>
      <w:r w:rsidR="00E521D1">
        <w:t xml:space="preserve"> has </w:t>
      </w:r>
      <w:r w:rsidR="00BB0B87">
        <w:t>been proposed</w:t>
      </w:r>
      <w:r w:rsidR="00C35616">
        <w:t xml:space="preserve"> (Rysiew 2001, Dougher</w:t>
      </w:r>
      <w:r w:rsidR="00A71DD2">
        <w:t>t</w:t>
      </w:r>
      <w:r w:rsidR="00C35616">
        <w:t>y and Rysiew 2009, 2011).</w:t>
      </w:r>
      <w:r w:rsidR="00631B79">
        <w:rPr>
          <w:rStyle w:val="FootnoteReference"/>
        </w:rPr>
        <w:footnoteReference w:id="7"/>
      </w:r>
      <w:r w:rsidR="00D66FE7">
        <w:t xml:space="preserve"> </w:t>
      </w:r>
      <w:r w:rsidRPr="0008032D">
        <w:t xml:space="preserve">They </w:t>
      </w:r>
      <w:r w:rsidR="00D62335">
        <w:t>argue that although</w:t>
      </w:r>
      <w:r w:rsidRPr="0008032D">
        <w:t xml:space="preserve"> concessive knowledge attributions sound contradictor</w:t>
      </w:r>
      <w:r w:rsidR="00D62335">
        <w:t>y</w:t>
      </w:r>
      <w:r w:rsidRPr="0008032D">
        <w:t xml:space="preserve">, </w:t>
      </w:r>
      <w:r w:rsidR="00D62335">
        <w:t>they are not actually contradictory</w:t>
      </w:r>
      <w:r w:rsidRPr="0008032D">
        <w:t>.</w:t>
      </w:r>
      <w:r w:rsidR="00511AD3">
        <w:t xml:space="preserve"> </w:t>
      </w:r>
      <w:r w:rsidR="00BA2484">
        <w:t>Dougherty and Rysiew’s proposed solution is this</w:t>
      </w:r>
      <w:r w:rsidRPr="0008032D">
        <w:t>.</w:t>
      </w:r>
      <w:r w:rsidR="00511AD3">
        <w:t xml:space="preserve"> </w:t>
      </w:r>
      <w:r w:rsidRPr="0008032D">
        <w:t>In normal circumstances, saying, “It is possible that p,” conveys to one’s audience that one does not know that p.</w:t>
      </w:r>
      <w:r w:rsidR="00511AD3">
        <w:t xml:space="preserve"> </w:t>
      </w:r>
      <w:r w:rsidRPr="0008032D">
        <w:t>That is because, in normal circumstances, if we are wondering whether or not p is true and we ask someone whether or not p is true, the subject should answer</w:t>
      </w:r>
      <w:r w:rsidR="00252C9B">
        <w:t xml:space="preserve"> as follows</w:t>
      </w:r>
      <w:r w:rsidRPr="0008032D">
        <w:t xml:space="preserve">: if </w:t>
      </w:r>
      <w:r w:rsidR="007F65C4">
        <w:t>S</w:t>
      </w:r>
      <w:r w:rsidRPr="0008032D">
        <w:t xml:space="preserve"> </w:t>
      </w:r>
      <w:r w:rsidR="00252C9B">
        <w:t xml:space="preserve">knows that p, </w:t>
      </w:r>
      <w:r w:rsidR="007F65C4">
        <w:t>S</w:t>
      </w:r>
      <w:r w:rsidR="00252C9B">
        <w:t xml:space="preserve"> should say, “p</w:t>
      </w:r>
      <w:r w:rsidRPr="0008032D">
        <w:t xml:space="preserve">”; if </w:t>
      </w:r>
      <w:r w:rsidR="007F65C4">
        <w:t>S</w:t>
      </w:r>
      <w:r w:rsidRPr="0008032D">
        <w:t xml:space="preserve"> knows that not-p, </w:t>
      </w:r>
      <w:r w:rsidR="007F65C4">
        <w:t>S</w:t>
      </w:r>
      <w:r w:rsidRPr="0008032D">
        <w:t xml:space="preserve"> should say, “not-p.”</w:t>
      </w:r>
      <w:r w:rsidR="00511AD3">
        <w:t xml:space="preserve"> </w:t>
      </w:r>
      <w:r w:rsidRPr="0008032D">
        <w:t>As a rule of conversation, we expect speakers to answer questions with a</w:t>
      </w:r>
      <w:r w:rsidR="0075579A">
        <w:t xml:space="preserve">s much information as possible </w:t>
      </w:r>
      <w:r w:rsidRPr="0008032D">
        <w:t xml:space="preserve">without going overboard with detail </w:t>
      </w:r>
      <w:r w:rsidRPr="0008032D">
        <w:fldChar w:fldCharType="begin"/>
      </w:r>
      <w:r w:rsidRPr="0008032D">
        <w:instrText xml:space="preserve"> ADDIN EN.CITE &lt;EndNote&gt;&lt;Cite&gt;&lt;Author&gt;Grice&lt;/Author&gt;&lt;Year&gt;1975&lt;/Year&gt;&lt;RecNum&gt;584&lt;/RecNum&gt;&lt;DisplayText&gt;(Grice 1975)&lt;/DisplayText&gt;&lt;record&gt;&lt;rec-number&gt;584&lt;/rec-number&gt;&lt;foreign-keys&gt;&lt;key app="EN" db-id="fdfxp9d5i5rvabetvd055ar3wafrxaz9evr2" timestamp="1419026843"&gt;584&lt;/key&gt;&lt;/foreign-keys&gt;&lt;ref-type name="Book Section"&gt;5&lt;/ref-type&gt;&lt;contributors&gt;&lt;authors&gt;&lt;author&gt;Grice, H.P.&lt;/author&gt;&lt;/authors&gt;&lt;secondary-authors&gt;&lt;author&gt;Peter Cole&lt;/author&gt;&lt;author&gt;Jerry Morgan&lt;/author&gt;&lt;/secondary-authors&gt;&lt;/contributors&gt;&lt;titles&gt;&lt;title&gt;Logic and Conversation&lt;/title&gt;&lt;secondary-title&gt;Syntax and Semantics, vol. 3: Speech Acts&lt;/secondary-title&gt;&lt;/titles&gt;&lt;dates&gt;&lt;year&gt;1975&lt;/year&gt;&lt;/dates&gt;&lt;pub-location&gt;New York&lt;/pub-location&gt;&lt;publisher&gt;Academic Press&lt;/publisher&gt;&lt;urls&gt;&lt;/urls&gt;&lt;/record&gt;&lt;/Cite&gt;&lt;/EndNote&gt;</w:instrText>
      </w:r>
      <w:r w:rsidRPr="0008032D">
        <w:fldChar w:fldCharType="separate"/>
      </w:r>
      <w:r w:rsidRPr="0008032D">
        <w:rPr>
          <w:noProof/>
        </w:rPr>
        <w:t>(Grice 1975)</w:t>
      </w:r>
      <w:r w:rsidRPr="0008032D">
        <w:fldChar w:fldCharType="end"/>
      </w:r>
      <w:r w:rsidRPr="0008032D">
        <w:t>.</w:t>
      </w:r>
      <w:r w:rsidR="00846D0E">
        <w:fldChar w:fldCharType="begin"/>
      </w:r>
      <w:r w:rsidR="00846D0E">
        <w:instrText xml:space="preserve"> ADDIN EN.CITE &lt;EndNote&gt;&lt;Cite ExcludeAuth="1" ExcludeYear="1" Hidden="1"&gt;&lt;Author&gt;Grice&lt;/Author&gt;&lt;Year&gt;1975&lt;/Year&gt;&lt;RecNum&gt;584&lt;/RecNum&gt;&lt;record&gt;&lt;rec-number&gt;584&lt;/rec-number&gt;&lt;foreign-keys&gt;&lt;key app="EN" db-id="fdfxp9d5i5rvabetvd055ar3wafrxaz9evr2" timestamp="1419026843"&gt;584&lt;/key&gt;&lt;/foreign-keys&gt;&lt;ref-type name="Book Section"&gt;5&lt;/ref-type&gt;&lt;contributors&gt;&lt;authors&gt;&lt;author&gt;Grice, H.P.&lt;/author&gt;&lt;/authors&gt;&lt;secondary-authors&gt;&lt;author&gt;Peter Cole&lt;/author&gt;&lt;author&gt;Jerry Morgan&lt;/author&gt;&lt;/secondary-authors&gt;&lt;/contributors&gt;&lt;titles&gt;&lt;title&gt;Logic and Conversation&lt;/title&gt;&lt;secondary-title&gt;Syntax and Semantics, vol. 3: Speech Acts&lt;/secondary-title&gt;&lt;/titles&gt;&lt;dates&gt;&lt;year&gt;1975&lt;/year&gt;&lt;/dates&gt;&lt;pub-location&gt;New York&lt;/pub-location&gt;&lt;publisher&gt;Academic Press&lt;/publisher&gt;&lt;urls&gt;&lt;/urls&gt;&lt;/record&gt;&lt;/Cite&gt;&lt;/EndNote&gt;</w:instrText>
      </w:r>
      <w:r w:rsidR="00846D0E">
        <w:fldChar w:fldCharType="end"/>
      </w:r>
      <w:r w:rsidR="006F3409">
        <w:rPr>
          <w:rStyle w:val="FootnoteReference"/>
        </w:rPr>
        <w:footnoteReference w:id="8"/>
      </w:r>
      <w:r w:rsidR="00511AD3">
        <w:t xml:space="preserve"> </w:t>
      </w:r>
      <w:r w:rsidRPr="0008032D">
        <w:t xml:space="preserve">Because that maxim is true, if our speaker answers our question about p with “It is possible that p,” we will infer that </w:t>
      </w:r>
      <w:r w:rsidR="007F65C4">
        <w:t>the speaker</w:t>
      </w:r>
      <w:r w:rsidRPr="0008032D">
        <w:t xml:space="preserve"> does not </w:t>
      </w:r>
      <w:r w:rsidRPr="0008032D">
        <w:lastRenderedPageBreak/>
        <w:t xml:space="preserve">know that p and </w:t>
      </w:r>
      <w:r w:rsidR="007F65C4">
        <w:t>the speaker</w:t>
      </w:r>
      <w:r w:rsidRPr="0008032D">
        <w:t xml:space="preserve"> does not know that not</w:t>
      </w:r>
      <w:r w:rsidR="005F3BE8">
        <w:t>-</w:t>
      </w:r>
      <w:r w:rsidRPr="0008032D">
        <w:t xml:space="preserve">p: for, if </w:t>
      </w:r>
      <w:r w:rsidR="007F65C4">
        <w:t>the speaker</w:t>
      </w:r>
      <w:r w:rsidRPr="0008032D">
        <w:t xml:space="preserve"> did know one of those things, we would be reasonable in thinking that </w:t>
      </w:r>
      <w:r w:rsidR="00392DC9">
        <w:t>the speaker</w:t>
      </w:r>
      <w:r w:rsidRPr="0008032D">
        <w:t xml:space="preserve"> would have said as much.</w:t>
      </w:r>
      <w:r w:rsidR="00511AD3">
        <w:t xml:space="preserve"> </w:t>
      </w:r>
      <w:r w:rsidRPr="0008032D">
        <w:t xml:space="preserve">So, what is strange about “S knows that p but it is possible for S that not-p” is that the second conjunct </w:t>
      </w:r>
      <w:r w:rsidRPr="0008032D">
        <w:rPr>
          <w:i/>
        </w:rPr>
        <w:t>pragmatically implicates</w:t>
      </w:r>
      <w:r w:rsidRPr="0008032D">
        <w:t xml:space="preserve"> that the first conjunct is false, although the second conjunct does not </w:t>
      </w:r>
      <w:r w:rsidRPr="0008032D">
        <w:rPr>
          <w:i/>
        </w:rPr>
        <w:t xml:space="preserve">logically entail </w:t>
      </w:r>
      <w:r w:rsidRPr="0008032D">
        <w:t>that the first conjunct is false.</w:t>
      </w:r>
      <w:r w:rsidR="00511AD3">
        <w:t xml:space="preserve"> </w:t>
      </w:r>
    </w:p>
    <w:p w14:paraId="699BEE37" w14:textId="658703FC" w:rsidR="00B336FD" w:rsidRPr="0008032D" w:rsidRDefault="00B336FD" w:rsidP="00B336FD">
      <w:r w:rsidRPr="0008032D">
        <w:tab/>
        <w:t xml:space="preserve">The </w:t>
      </w:r>
      <w:r w:rsidR="000A06B5">
        <w:t>pragmatic</w:t>
      </w:r>
      <w:r w:rsidRPr="0008032D">
        <w:t xml:space="preserve"> </w:t>
      </w:r>
      <w:r w:rsidR="00E521D1">
        <w:t>account initially appears compelling</w:t>
      </w:r>
      <w:r w:rsidRPr="0008032D">
        <w:t>.</w:t>
      </w:r>
      <w:r w:rsidR="00511AD3">
        <w:t xml:space="preserve"> </w:t>
      </w:r>
      <w:r w:rsidRPr="0008032D">
        <w:t xml:space="preserve">Dougherty and Rysiew are right about how </w:t>
      </w:r>
      <w:r w:rsidR="0075579A">
        <w:t>an anti-knowledge implicature could arise</w:t>
      </w:r>
      <w:r w:rsidRPr="0008032D">
        <w:t>.</w:t>
      </w:r>
      <w:r w:rsidR="00511AD3">
        <w:t xml:space="preserve"> </w:t>
      </w:r>
      <w:r w:rsidR="0075579A">
        <w:t>I</w:t>
      </w:r>
      <w:r w:rsidRPr="0008032D">
        <w:t xml:space="preserve">f I say, “I don’t like </w:t>
      </w:r>
      <w:r w:rsidR="0075579A">
        <w:t>Zeke</w:t>
      </w:r>
      <w:r w:rsidRPr="0008032D">
        <w:t xml:space="preserve">,” my audience will at first understand me as having </w:t>
      </w:r>
      <w:r w:rsidR="00E521D1" w:rsidRPr="00E521D1">
        <w:t>expressed</w:t>
      </w:r>
      <w:r w:rsidRPr="0008032D">
        <w:t xml:space="preserve"> that I </w:t>
      </w:r>
      <w:r w:rsidRPr="0008032D">
        <w:rPr>
          <w:i/>
        </w:rPr>
        <w:t>dis</w:t>
      </w:r>
      <w:r w:rsidRPr="0008032D">
        <w:t xml:space="preserve">like </w:t>
      </w:r>
      <w:r w:rsidR="0075579A">
        <w:t>Zeke</w:t>
      </w:r>
      <w:r w:rsidRPr="0008032D">
        <w:t>.</w:t>
      </w:r>
      <w:r w:rsidR="00E521D1">
        <w:t xml:space="preserve"> But</w:t>
      </w:r>
      <w:r w:rsidR="00511AD3">
        <w:t xml:space="preserve"> </w:t>
      </w:r>
      <w:r w:rsidRPr="0008032D">
        <w:t xml:space="preserve">I </w:t>
      </w:r>
      <w:r w:rsidR="00C9465D">
        <w:t>did not</w:t>
      </w:r>
      <w:r w:rsidRPr="0008032D">
        <w:t xml:space="preserve"> say</w:t>
      </w:r>
      <w:r w:rsidR="008E06A3">
        <w:t xml:space="preserve"> exactly</w:t>
      </w:r>
      <w:r w:rsidRPr="0008032D">
        <w:t xml:space="preserve"> that: I merely claimed not to </w:t>
      </w:r>
      <w:r w:rsidRPr="0008032D">
        <w:rPr>
          <w:i/>
        </w:rPr>
        <w:t>like</w:t>
      </w:r>
      <w:r w:rsidRPr="0008032D">
        <w:t xml:space="preserve"> </w:t>
      </w:r>
      <w:r w:rsidR="0075579A">
        <w:t>Zeke</w:t>
      </w:r>
      <w:r w:rsidR="008B72D0">
        <w:t xml:space="preserve">. </w:t>
      </w:r>
      <w:r w:rsidR="00C95FA6">
        <w:t>(</w:t>
      </w:r>
      <w:r w:rsidR="008B72D0">
        <w:t>Perhaps I am ambivalent about Zeke.)</w:t>
      </w:r>
      <w:r w:rsidR="00C95FA6">
        <w:rPr>
          <w:rStyle w:val="FootnoteReference"/>
        </w:rPr>
        <w:footnoteReference w:id="9"/>
      </w:r>
      <w:r w:rsidR="00511AD3">
        <w:t xml:space="preserve"> </w:t>
      </w:r>
      <w:r w:rsidR="00E521D1">
        <w:t>I</w:t>
      </w:r>
      <w:r w:rsidRPr="0008032D">
        <w:t xml:space="preserve">n normal contexts </w:t>
      </w:r>
      <w:r w:rsidRPr="0008032D">
        <w:rPr>
          <w:i/>
        </w:rPr>
        <w:t xml:space="preserve">I dislike </w:t>
      </w:r>
      <w:r w:rsidR="0075579A" w:rsidRPr="0075579A">
        <w:rPr>
          <w:i/>
        </w:rPr>
        <w:t>Zeke</w:t>
      </w:r>
      <w:r w:rsidR="0075579A" w:rsidRPr="0008032D">
        <w:t xml:space="preserve"> </w:t>
      </w:r>
      <w:r w:rsidRPr="0008032D">
        <w:t xml:space="preserve">is what speakers </w:t>
      </w:r>
      <w:r w:rsidRPr="000059ED">
        <w:rPr>
          <w:iCs/>
        </w:rPr>
        <w:t>intend</w:t>
      </w:r>
      <w:r w:rsidRPr="0008032D">
        <w:t xml:space="preserve"> for their audience to hear from “I don’t like </w:t>
      </w:r>
      <w:r w:rsidR="0075579A">
        <w:t>Zeke</w:t>
      </w:r>
      <w:r w:rsidRPr="0008032D">
        <w:t>,” and in general our communicative intentions are successful</w:t>
      </w:r>
      <w:r w:rsidR="0075579A">
        <w:t>, because our hearers understand them</w:t>
      </w:r>
      <w:r w:rsidRPr="0008032D">
        <w:t>.</w:t>
      </w:r>
      <w:r w:rsidR="00511AD3">
        <w:t xml:space="preserve"> </w:t>
      </w:r>
      <w:r w:rsidRPr="0008032D">
        <w:t xml:space="preserve">That explains why “I don’t like </w:t>
      </w:r>
      <w:r w:rsidR="0075579A">
        <w:t>Zeke</w:t>
      </w:r>
      <w:r w:rsidRPr="0008032D">
        <w:t xml:space="preserve">” would be </w:t>
      </w:r>
      <w:r w:rsidR="008E06A3">
        <w:t>understood</w:t>
      </w:r>
      <w:r w:rsidRPr="0008032D">
        <w:t xml:space="preserve">, in a normal conversation, as </w:t>
      </w:r>
      <w:r w:rsidRPr="005D0B92">
        <w:rPr>
          <w:i/>
          <w:iCs/>
        </w:rPr>
        <w:t xml:space="preserve">I dislike </w:t>
      </w:r>
      <w:r w:rsidR="0075579A" w:rsidRPr="005D0B92">
        <w:rPr>
          <w:i/>
          <w:iCs/>
        </w:rPr>
        <w:t>Zeke</w:t>
      </w:r>
      <w:r w:rsidRPr="0008032D">
        <w:t>.</w:t>
      </w:r>
      <w:r w:rsidR="00511AD3">
        <w:t xml:space="preserve"> </w:t>
      </w:r>
      <w:r w:rsidRPr="0008032D">
        <w:t xml:space="preserve">It also explains why “It is possible that not-p” would be heard as </w:t>
      </w:r>
      <w:r w:rsidRPr="0008032D">
        <w:rPr>
          <w:i/>
        </w:rPr>
        <w:t xml:space="preserve">I </w:t>
      </w:r>
      <w:r w:rsidR="00C9465D">
        <w:rPr>
          <w:i/>
        </w:rPr>
        <w:t>do not</w:t>
      </w:r>
      <w:r w:rsidRPr="0008032D">
        <w:rPr>
          <w:i/>
        </w:rPr>
        <w:t xml:space="preserve"> know that p</w:t>
      </w:r>
      <w:r w:rsidRPr="0008032D">
        <w:t xml:space="preserve">: because, in normal contexts, </w:t>
      </w:r>
      <w:r w:rsidRPr="0008032D">
        <w:rPr>
          <w:i/>
        </w:rPr>
        <w:t xml:space="preserve">I </w:t>
      </w:r>
      <w:r w:rsidR="00C9465D">
        <w:rPr>
          <w:i/>
        </w:rPr>
        <w:t>do not</w:t>
      </w:r>
      <w:r w:rsidRPr="0008032D">
        <w:rPr>
          <w:i/>
        </w:rPr>
        <w:t xml:space="preserve"> know that p</w:t>
      </w:r>
      <w:r w:rsidRPr="0008032D">
        <w:t xml:space="preserve"> is what a speaker would </w:t>
      </w:r>
      <w:r w:rsidR="00812607">
        <w:t xml:space="preserve">typically </w:t>
      </w:r>
      <w:r w:rsidRPr="0008032D">
        <w:t>try to convey with “It is possible that p”.</w:t>
      </w:r>
      <w:r w:rsidR="00511AD3">
        <w:t xml:space="preserve"> </w:t>
      </w:r>
      <w:r w:rsidRPr="0008032D">
        <w:t>For, again, if I am playing by the normal rules of conversation and I know that p, I ought to ‘assert the stronger’</w:t>
      </w:r>
      <w:r w:rsidR="00081564">
        <w:rPr>
          <w:rStyle w:val="FootnoteReference"/>
        </w:rPr>
        <w:footnoteReference w:id="10"/>
      </w:r>
      <w:r w:rsidRPr="0008032D">
        <w:t xml:space="preserve"> and say “p” when asked about p,</w:t>
      </w:r>
      <w:r w:rsidR="00511AD3">
        <w:t xml:space="preserve"> </w:t>
      </w:r>
      <w:r w:rsidRPr="0008032D">
        <w:t>just as Dougherty and Rysiew argue.</w:t>
      </w:r>
    </w:p>
    <w:p w14:paraId="39C90313" w14:textId="3294858C" w:rsidR="00BF404C" w:rsidRDefault="00B336FD" w:rsidP="00B336FD">
      <w:pPr>
        <w:ind w:firstLine="720"/>
      </w:pPr>
      <w:r w:rsidRPr="0008032D">
        <w:t>So, the pragmatic exp</w:t>
      </w:r>
      <w:r w:rsidR="00E521D1">
        <w:t xml:space="preserve">lanation successfully explains </w:t>
      </w:r>
      <w:r w:rsidRPr="0008032D">
        <w:t xml:space="preserve">why we would </w:t>
      </w:r>
      <w:r w:rsidRPr="0075579A">
        <w:rPr>
          <w:i/>
        </w:rPr>
        <w:t>initially</w:t>
      </w:r>
      <w:r w:rsidRPr="0008032D">
        <w:t xml:space="preserve">, </w:t>
      </w:r>
      <w:r w:rsidRPr="0075579A">
        <w:rPr>
          <w:i/>
        </w:rPr>
        <w:t>uncritically</w:t>
      </w:r>
      <w:r w:rsidRPr="0008032D">
        <w:t xml:space="preserve"> hear the second conjunct in a concessive knowledge attribution as contradicting the first.</w:t>
      </w:r>
      <w:r w:rsidR="00511AD3">
        <w:t xml:space="preserve"> </w:t>
      </w:r>
      <w:r w:rsidRPr="0008032D">
        <w:t xml:space="preserve">But, concessive knowledge attributions </w:t>
      </w:r>
      <w:r w:rsidRPr="0008032D">
        <w:rPr>
          <w:i/>
        </w:rPr>
        <w:t>continue</w:t>
      </w:r>
      <w:r w:rsidRPr="0008032D">
        <w:t xml:space="preserve"> to sound contradictory even after the pragmatic explanation is offered</w:t>
      </w:r>
      <w:r w:rsidR="00E521D1">
        <w:t>, contrary to the normal pattern for implicature</w:t>
      </w:r>
      <w:r w:rsidRPr="0008032D">
        <w:t>.</w:t>
      </w:r>
      <w:r w:rsidR="00511AD3">
        <w:t xml:space="preserve"> </w:t>
      </w:r>
      <w:r w:rsidRPr="0008032D">
        <w:t xml:space="preserve">It only takes a little </w:t>
      </w:r>
      <w:r w:rsidR="005710FD">
        <w:lastRenderedPageBreak/>
        <w:t>emphasis</w:t>
      </w:r>
      <w:r w:rsidRPr="0008032D">
        <w:t xml:space="preserve"> to convince my audience that I </w:t>
      </w:r>
      <w:r w:rsidR="0075579A">
        <w:t>did not</w:t>
      </w:r>
      <w:r w:rsidRPr="0008032D">
        <w:t xml:space="preserve"> literally </w:t>
      </w:r>
      <w:r w:rsidRPr="0008032D">
        <w:rPr>
          <w:i/>
        </w:rPr>
        <w:t>say</w:t>
      </w:r>
      <w:r w:rsidRPr="0008032D">
        <w:t xml:space="preserve"> I dislike </w:t>
      </w:r>
      <w:r w:rsidR="0075579A">
        <w:t>Zeke</w:t>
      </w:r>
      <w:r w:rsidRPr="0008032D">
        <w:t>.</w:t>
      </w:r>
      <w:r w:rsidR="00511AD3">
        <w:t xml:space="preserve"> </w:t>
      </w:r>
      <w:r w:rsidR="00E521D1">
        <w:t>It takes little effort</w:t>
      </w:r>
      <w:r w:rsidRPr="0008032D">
        <w:t xml:space="preserve"> to see the difference between the semantic content of the utterance and the implicature, even if </w:t>
      </w:r>
      <w:r w:rsidR="00E521D1">
        <w:t>the hearer</w:t>
      </w:r>
      <w:r w:rsidRPr="0008032D">
        <w:t xml:space="preserve"> missed it </w:t>
      </w:r>
      <w:r w:rsidR="00EF7188">
        <w:t>initially</w:t>
      </w:r>
      <w:r w:rsidRPr="0008032D">
        <w:t>.</w:t>
      </w:r>
      <w:r w:rsidR="00511AD3">
        <w:t xml:space="preserve"> </w:t>
      </w:r>
      <w:r w:rsidRPr="0008032D">
        <w:t xml:space="preserve">Through this sort of clarifying procedure (“I didn’t really </w:t>
      </w:r>
      <w:r w:rsidRPr="0008032D">
        <w:rPr>
          <w:i/>
        </w:rPr>
        <w:t>say</w:t>
      </w:r>
      <w:r w:rsidRPr="0008032D">
        <w:t xml:space="preserve"> that p, I only </w:t>
      </w:r>
      <w:r w:rsidRPr="0008032D">
        <w:rPr>
          <w:i/>
        </w:rPr>
        <w:t>said</w:t>
      </w:r>
      <w:r w:rsidRPr="0008032D">
        <w:t xml:space="preserve"> that q…” etc.) we distinguish, in actual cases, what is said from what is implicated.</w:t>
      </w:r>
      <w:r w:rsidR="00511AD3">
        <w:t xml:space="preserve"> </w:t>
      </w:r>
    </w:p>
    <w:p w14:paraId="52F29BD2" w14:textId="6988AAF2" w:rsidR="003844A4" w:rsidRDefault="00B336FD" w:rsidP="003844A4">
      <w:pPr>
        <w:ind w:firstLine="720"/>
      </w:pPr>
      <w:r w:rsidRPr="0008032D">
        <w:t xml:space="preserve">However, concessive knowledge attributions </w:t>
      </w:r>
      <w:r w:rsidRPr="00E521D1">
        <w:rPr>
          <w:i/>
        </w:rPr>
        <w:t>continue</w:t>
      </w:r>
      <w:r w:rsidRPr="0008032D">
        <w:t xml:space="preserve"> to sound contradictory</w:t>
      </w:r>
      <w:r w:rsidR="0087276A">
        <w:t xml:space="preserve"> even after a speaker attempts to cancel the implicature.</w:t>
      </w:r>
      <w:r w:rsidR="00670B77">
        <w:rPr>
          <w:rStyle w:val="FootnoteReference"/>
        </w:rPr>
        <w:footnoteReference w:id="11"/>
      </w:r>
      <w:r w:rsidR="00BF404C">
        <w:t xml:space="preserve"> </w:t>
      </w:r>
      <w:r w:rsidRPr="0008032D">
        <w:t xml:space="preserve">Consider how a </w:t>
      </w:r>
      <w:r w:rsidR="00DC530F">
        <w:t>clarifying</w:t>
      </w:r>
      <w:r w:rsidRPr="0008032D">
        <w:t xml:space="preserve"> speech would be </w:t>
      </w:r>
      <w:r w:rsidR="00DC530F">
        <w:t>heard</w:t>
      </w:r>
      <w:r w:rsidRPr="0008032D">
        <w:t xml:space="preserve"> after making a concessive knowledge attribution</w:t>
      </w:r>
      <w:r w:rsidR="000C6A0E">
        <w:t>. After saying, “I know that p, but I might be wrong as to whether p”, I say:</w:t>
      </w:r>
      <w:r w:rsidRPr="0008032D">
        <w:t xml:space="preserve"> “I didn’t </w:t>
      </w:r>
      <w:r w:rsidRPr="0008032D">
        <w:rPr>
          <w:i/>
        </w:rPr>
        <w:t>say</w:t>
      </w:r>
      <w:r w:rsidRPr="0008032D">
        <w:t xml:space="preserve"> I don’t know that p: I just </w:t>
      </w:r>
      <w:r w:rsidRPr="00535B98">
        <w:rPr>
          <w:i/>
          <w:iCs/>
        </w:rPr>
        <w:t>said</w:t>
      </w:r>
      <w:r w:rsidRPr="0008032D">
        <w:t xml:space="preserve"> that I might be wrong about p.</w:t>
      </w:r>
      <w:r w:rsidR="00511AD3">
        <w:t xml:space="preserve"> </w:t>
      </w:r>
      <w:r w:rsidRPr="0008032D">
        <w:t>In fact, I do know that p.”</w:t>
      </w:r>
      <w:r w:rsidR="00511AD3">
        <w:t xml:space="preserve"> </w:t>
      </w:r>
      <w:r w:rsidRPr="0008032D">
        <w:t xml:space="preserve">The grating sound </w:t>
      </w:r>
      <w:r w:rsidR="002D456F">
        <w:t>gets worse, not better</w:t>
      </w:r>
      <w:r w:rsidRPr="0008032D">
        <w:t>.</w:t>
      </w:r>
    </w:p>
    <w:p w14:paraId="1938827D" w14:textId="2179697F" w:rsidR="003844A4" w:rsidRDefault="003844A4" w:rsidP="003844A4">
      <w:pPr>
        <w:ind w:firstLine="720"/>
      </w:pPr>
      <w:r>
        <w:t>Consider some examples from earlier</w:t>
      </w:r>
      <w:r w:rsidR="008218AC">
        <w:t xml:space="preserve">, with implicature-cancelling </w:t>
      </w:r>
      <w:r w:rsidR="00155D33">
        <w:t>clauses</w:t>
      </w:r>
      <w:r w:rsidR="008218AC">
        <w:t xml:space="preserve"> added</w:t>
      </w:r>
      <w:r>
        <w:t>:</w:t>
      </w:r>
    </w:p>
    <w:p w14:paraId="424FB96C" w14:textId="1297A86E" w:rsidR="003844A4" w:rsidRDefault="00535B98" w:rsidP="003844A4">
      <w:pPr>
        <w:ind w:left="360"/>
      </w:pPr>
      <w:r>
        <w:t>(</w:t>
      </w:r>
      <w:r w:rsidR="000B2F28">
        <w:t>1</w:t>
      </w:r>
      <w:r>
        <w:t>)</w:t>
      </w:r>
      <w:r w:rsidR="003844A4">
        <w:t xml:space="preserve">* </w:t>
      </w:r>
      <w:r w:rsidR="005A0DEC">
        <w:t>“</w:t>
      </w:r>
      <w:r w:rsidR="003844A4" w:rsidRPr="0008032D">
        <w:t>I know that the bank will be open on my way home from work tonight, but it might close before I get there.</w:t>
      </w:r>
      <w:r w:rsidR="005A0DEC">
        <w:t xml:space="preserve"> </w:t>
      </w:r>
      <w:r w:rsidR="009A2C9A" w:rsidRPr="000C6A0E">
        <w:rPr>
          <w:i/>
          <w:iCs/>
        </w:rPr>
        <w:t>And I really do know that the bank will be open</w:t>
      </w:r>
      <w:r w:rsidR="000B2F28">
        <w:t>.”</w:t>
      </w:r>
    </w:p>
    <w:p w14:paraId="1D4FC6C6" w14:textId="34A3D4A4" w:rsidR="000B2F28" w:rsidRDefault="00535B98" w:rsidP="003844A4">
      <w:pPr>
        <w:ind w:left="360"/>
      </w:pPr>
      <w:r>
        <w:t>(</w:t>
      </w:r>
      <w:r w:rsidR="000B2F28">
        <w:t>3</w:t>
      </w:r>
      <w:r>
        <w:t>)</w:t>
      </w:r>
      <w:r w:rsidR="00731E20">
        <w:t>* “</w:t>
      </w:r>
      <w:r w:rsidR="00731E20" w:rsidRPr="0008032D">
        <w:t>I know my car is parked</w:t>
      </w:r>
      <w:r w:rsidR="00731E20">
        <w:t xml:space="preserve"> in the l</w:t>
      </w:r>
      <w:r w:rsidR="00731E20" w:rsidRPr="0008032D">
        <w:t>ibrary lot, but someone might have stolen it already</w:t>
      </w:r>
      <w:r w:rsidR="00731E20">
        <w:t xml:space="preserve">. </w:t>
      </w:r>
      <w:r w:rsidR="00731E20" w:rsidRPr="000C6A0E">
        <w:rPr>
          <w:i/>
          <w:iCs/>
        </w:rPr>
        <w:t>And I really do know that it is still parked in the library lot</w:t>
      </w:r>
      <w:r w:rsidR="00731E20">
        <w:t>.”</w:t>
      </w:r>
    </w:p>
    <w:p w14:paraId="2D0B48B3" w14:textId="78F21416" w:rsidR="00C1602A" w:rsidRDefault="00535B98" w:rsidP="003844A4">
      <w:pPr>
        <w:ind w:left="360"/>
      </w:pPr>
      <w:r>
        <w:t>(</w:t>
      </w:r>
      <w:r w:rsidR="00C1602A">
        <w:t>5</w:t>
      </w:r>
      <w:r>
        <w:t>)</w:t>
      </w:r>
      <w:r w:rsidR="00C1602A">
        <w:t>* “</w:t>
      </w:r>
      <w:r w:rsidR="00C1602A" w:rsidRPr="0008032D">
        <w:t xml:space="preserve">Steve knows </w:t>
      </w:r>
      <w:r w:rsidR="00C1602A">
        <w:t>that he is</w:t>
      </w:r>
      <w:r w:rsidR="00C1602A" w:rsidRPr="0008032D">
        <w:t xml:space="preserve"> looking at a zebra, but he </w:t>
      </w:r>
      <w:r w:rsidR="00C1602A">
        <w:t>cannot</w:t>
      </w:r>
      <w:r w:rsidR="00C1602A" w:rsidRPr="0008032D">
        <w:t xml:space="preserve"> be sure </w:t>
      </w:r>
      <w:r w:rsidR="00C1602A">
        <w:t>it is</w:t>
      </w:r>
      <w:r w:rsidR="00C1602A" w:rsidRPr="0008032D">
        <w:t xml:space="preserve"> not a disguised mule</w:t>
      </w:r>
      <w:r w:rsidR="00C1602A">
        <w:t xml:space="preserve">. </w:t>
      </w:r>
      <w:r w:rsidR="00ED725D">
        <w:rPr>
          <w:i/>
          <w:iCs/>
        </w:rPr>
        <w:t xml:space="preserve">In fact, </w:t>
      </w:r>
      <w:r w:rsidR="00C1602A">
        <w:rPr>
          <w:i/>
          <w:iCs/>
        </w:rPr>
        <w:t>Steve knows that it is a zebra</w:t>
      </w:r>
      <w:r w:rsidR="00C1602A">
        <w:t>.”</w:t>
      </w:r>
    </w:p>
    <w:p w14:paraId="5448EE48" w14:textId="7A9A0F15" w:rsidR="00D50EA4" w:rsidRDefault="002041CB" w:rsidP="00A216EC">
      <w:r>
        <w:t xml:space="preserve">In each case, the attempt to cancel the implicature </w:t>
      </w:r>
      <w:r w:rsidR="00A216EC" w:rsidRPr="00E46467">
        <w:rPr>
          <w:i/>
          <w:iCs/>
        </w:rPr>
        <w:t>intensifies</w:t>
      </w:r>
      <w:r w:rsidR="00A216EC">
        <w:t xml:space="preserve"> the contradictory character of the concessive knowledge attribution. </w:t>
      </w:r>
      <w:r w:rsidR="00E249E7">
        <w:t>The demand for an explanation of the contradictory character of concessive knowledge attributions has not been satisfied</w:t>
      </w:r>
      <w:r w:rsidR="00622ABC">
        <w:t xml:space="preserve"> </w:t>
      </w:r>
      <w:r w:rsidR="0098712B">
        <w:t>but strengthened</w:t>
      </w:r>
      <w:r w:rsidR="00545666">
        <w:t>, as the post-</w:t>
      </w:r>
      <w:r w:rsidR="00545666">
        <w:lastRenderedPageBreak/>
        <w:t xml:space="preserve">cancellation sentences </w:t>
      </w:r>
      <w:r w:rsidR="00535B98">
        <w:t>(</w:t>
      </w:r>
      <w:r w:rsidR="00545666">
        <w:t>1</w:t>
      </w:r>
      <w:r w:rsidR="00535B98">
        <w:t>)</w:t>
      </w:r>
      <w:r w:rsidR="00545666">
        <w:t>*-</w:t>
      </w:r>
      <w:r w:rsidR="00535B98">
        <w:t>(</w:t>
      </w:r>
      <w:r w:rsidR="00545666">
        <w:t>5</w:t>
      </w:r>
      <w:r w:rsidR="00535B98">
        <w:t>)</w:t>
      </w:r>
      <w:r w:rsidR="00545666">
        <w:t xml:space="preserve">* </w:t>
      </w:r>
      <w:r w:rsidR="001A4AEE">
        <w:t xml:space="preserve">are all themselves concessive knowledge attributions that sound </w:t>
      </w:r>
      <w:r w:rsidR="00910CA8">
        <w:t xml:space="preserve">even more clearly </w:t>
      </w:r>
      <w:r w:rsidR="00295277">
        <w:t>contradictory</w:t>
      </w:r>
      <w:r w:rsidR="00910CA8">
        <w:t xml:space="preserve"> than those they are </w:t>
      </w:r>
      <w:r w:rsidR="0024337A">
        <w:t>intended</w:t>
      </w:r>
      <w:r w:rsidR="00910CA8">
        <w:t xml:space="preserve"> to correct</w:t>
      </w:r>
      <w:r w:rsidR="00295277">
        <w:t>.</w:t>
      </w:r>
    </w:p>
    <w:p w14:paraId="1E0E99BC" w14:textId="6E2C60C0" w:rsidR="00B336FD" w:rsidRDefault="00EB4291" w:rsidP="00A216EC">
      <w:r>
        <w:tab/>
      </w:r>
      <w:r w:rsidR="00B336FD" w:rsidRPr="0008032D">
        <w:t xml:space="preserve">As a result, while the </w:t>
      </w:r>
      <w:r w:rsidR="00A216EC">
        <w:t xml:space="preserve">Dougherty-Rysiew </w:t>
      </w:r>
      <w:r w:rsidR="00B336FD" w:rsidRPr="0008032D">
        <w:t xml:space="preserve">pragmatic explanation suffices to explain how </w:t>
      </w:r>
      <w:r w:rsidR="0075579A">
        <w:t>an implicature of</w:t>
      </w:r>
      <w:r w:rsidR="00B336FD" w:rsidRPr="0008032D">
        <w:t xml:space="preserve"> “I don’t know that p” could be generated from “It is possible that not-p,” it fails as an explanation of why concessive knowledge attributions sound contradictory.</w:t>
      </w:r>
      <w:r w:rsidR="00511AD3">
        <w:t xml:space="preserve"> </w:t>
      </w:r>
      <w:r w:rsidR="00B336FD" w:rsidRPr="0008032D">
        <w:t xml:space="preserve">That is because it cannot account for the contradictory sound of a concessive knowledge attribution </w:t>
      </w:r>
      <w:r w:rsidR="002602AF">
        <w:t>uttered</w:t>
      </w:r>
      <w:r w:rsidR="00B336FD" w:rsidRPr="0008032D">
        <w:t xml:space="preserve"> in the context of </w:t>
      </w:r>
      <w:r w:rsidR="002602AF">
        <w:t>a corrective explanation</w:t>
      </w:r>
      <w:r w:rsidR="00B336FD" w:rsidRPr="0008032D">
        <w:t xml:space="preserve"> </w:t>
      </w:r>
      <w:r w:rsidR="002602AF">
        <w:t>as to</w:t>
      </w:r>
      <w:r w:rsidR="00B336FD" w:rsidRPr="0008032D">
        <w:t xml:space="preserve"> why a previous concessive knowledge attribution was not contradictory.</w:t>
      </w:r>
      <w:r w:rsidR="00511AD3">
        <w:t xml:space="preserve"> </w:t>
      </w:r>
      <w:r w:rsidR="00B336FD" w:rsidRPr="0008032D">
        <w:t>It cannot do all of that in a way consistent with</w:t>
      </w:r>
      <w:r w:rsidR="0075579A">
        <w:t xml:space="preserve"> how implicature normally works</w:t>
      </w:r>
      <w:r w:rsidR="00CE6BB0">
        <w:t>, and more specifically with how cancellation normally works</w:t>
      </w:r>
      <w:r w:rsidR="00B336FD" w:rsidRPr="0008032D">
        <w:t>.</w:t>
      </w:r>
      <w:r w:rsidR="00E521D1">
        <w:t xml:space="preserve"> So, </w:t>
      </w:r>
      <w:r w:rsidR="008305C1">
        <w:t>the pragmatic</w:t>
      </w:r>
      <w:r w:rsidR="00E521D1">
        <w:t xml:space="preserve"> account</w:t>
      </w:r>
      <w:r w:rsidR="008305C1">
        <w:t xml:space="preserve"> defended by Dougherty and Rysiew</w:t>
      </w:r>
      <w:r w:rsidR="00E521D1">
        <w:t xml:space="preserve"> is false or special pleading.</w:t>
      </w:r>
    </w:p>
    <w:p w14:paraId="38444BE7" w14:textId="4E9B2236" w:rsidR="00BC672F" w:rsidRDefault="006E2317" w:rsidP="007700C4">
      <w:pPr>
        <w:ind w:firstLine="720"/>
      </w:pPr>
      <w:r>
        <w:t>An alternative pragmatic account is defended by Brown (2018).</w:t>
      </w:r>
      <w:r w:rsidR="00C804A9">
        <w:rPr>
          <w:rStyle w:val="FootnoteReference"/>
        </w:rPr>
        <w:footnoteReference w:id="12"/>
      </w:r>
      <w:r w:rsidR="00285931">
        <w:t xml:space="preserve"> Brown suggests that </w:t>
      </w:r>
      <w:r w:rsidR="00BE1B05">
        <w:t xml:space="preserve">knowledge attributions </w:t>
      </w:r>
      <w:r w:rsidR="00F812D7">
        <w:t>serve as a heuristic for signaling that, for practical purposes, very unlikely possibilities of error can be ignored</w:t>
      </w:r>
      <w:r w:rsidR="006E071F">
        <w:t xml:space="preserve"> (pp. 179-181)</w:t>
      </w:r>
      <w:r w:rsidR="00E05CFD">
        <w:t>.</w:t>
      </w:r>
      <w:r w:rsidR="006F4DDC">
        <w:rPr>
          <w:rStyle w:val="FootnoteReference"/>
        </w:rPr>
        <w:footnoteReference w:id="13"/>
      </w:r>
      <w:r w:rsidR="00E05CFD">
        <w:t xml:space="preserve"> When a </w:t>
      </w:r>
      <w:r w:rsidR="00C614F9">
        <w:t>speaker</w:t>
      </w:r>
      <w:r w:rsidR="00E05CFD">
        <w:t xml:space="preserve"> attributes knowledge, then, the speaker </w:t>
      </w:r>
      <w:r w:rsidR="00442AA3">
        <w:t xml:space="preserve">thereby urges </w:t>
      </w:r>
      <w:r w:rsidR="0029739E">
        <w:t>hearers</w:t>
      </w:r>
      <w:r w:rsidR="001831E1">
        <w:t xml:space="preserve"> to</w:t>
      </w:r>
      <w:r w:rsidR="0029739E">
        <w:t xml:space="preserve"> discount certain error possibilities for practical purposes. </w:t>
      </w:r>
      <w:r w:rsidR="00C614F9">
        <w:t xml:space="preserve">As a result, </w:t>
      </w:r>
      <w:r w:rsidR="00E12FEC">
        <w:t xml:space="preserve">if </w:t>
      </w:r>
      <w:r w:rsidR="00AD50B8">
        <w:t xml:space="preserve">one </w:t>
      </w:r>
      <w:r w:rsidR="00E12FEC">
        <w:t>attributes knowledge that p to S,</w:t>
      </w:r>
      <w:r w:rsidR="005E5994">
        <w:t xml:space="preserve"> and then </w:t>
      </w:r>
      <w:r w:rsidR="00AD50B8">
        <w:t>one</w:t>
      </w:r>
      <w:r w:rsidR="005E5994">
        <w:t xml:space="preserve"> add</w:t>
      </w:r>
      <w:r w:rsidR="00AD50B8">
        <w:t>s</w:t>
      </w:r>
      <w:r w:rsidR="005E5994">
        <w:t xml:space="preserve"> that some not-p possibility remains a live possibility</w:t>
      </w:r>
      <w:r w:rsidR="00AD50B8">
        <w:t>,</w:t>
      </w:r>
      <w:r w:rsidR="005E5994">
        <w:t xml:space="preserve"> </w:t>
      </w:r>
      <w:r w:rsidR="001758A1">
        <w:t xml:space="preserve">what is implicated by “S knows that p” </w:t>
      </w:r>
      <w:r w:rsidR="00D9047C">
        <w:t xml:space="preserve">is that </w:t>
      </w:r>
      <w:r w:rsidR="00F63633">
        <w:t xml:space="preserve">very unlikely possibilities relevant to p can be ignored, while what is stated in the concessive clause </w:t>
      </w:r>
      <w:r w:rsidR="00705C35">
        <w:t>makes salient a possibility that is relevant to p.</w:t>
      </w:r>
      <w:r w:rsidR="005B2F31">
        <w:t xml:space="preserve"> Brown notes that </w:t>
      </w:r>
      <w:r w:rsidR="006704DD">
        <w:t xml:space="preserve">this account </w:t>
      </w:r>
      <w:r w:rsidR="000574C0">
        <w:t>is compatible with concessive knowledge attributions</w:t>
      </w:r>
      <w:r w:rsidR="00893B22">
        <w:t xml:space="preserve"> being </w:t>
      </w:r>
      <w:r w:rsidR="00CD394F">
        <w:t xml:space="preserve">either </w:t>
      </w:r>
      <w:r w:rsidR="00893B22">
        <w:t xml:space="preserve">infelicitous (the normal case) or </w:t>
      </w:r>
      <w:r w:rsidR="00893B22">
        <w:lastRenderedPageBreak/>
        <w:t xml:space="preserve">felicitous. A concessive knowledge attribution </w:t>
      </w:r>
      <w:r w:rsidR="005E02A0">
        <w:t>will</w:t>
      </w:r>
      <w:r w:rsidR="005117C4">
        <w:t xml:space="preserve"> be infelicitous </w:t>
      </w:r>
      <w:r w:rsidR="00B643D3">
        <w:t xml:space="preserve">and true </w:t>
      </w:r>
      <w:r w:rsidR="005117C4">
        <w:t xml:space="preserve">when a subject’s epistemic position </w:t>
      </w:r>
      <w:r w:rsidR="00426E2E">
        <w:t>is good e</w:t>
      </w:r>
      <w:r w:rsidR="00D76EFA">
        <w:t xml:space="preserve">nough to </w:t>
      </w:r>
      <w:r w:rsidR="00126C38">
        <w:t xml:space="preserve">count </w:t>
      </w:r>
      <w:r w:rsidR="00322841">
        <w:t>for knowledge</w:t>
      </w:r>
      <w:r w:rsidR="00126C38">
        <w:t xml:space="preserve">, </w:t>
      </w:r>
      <w:r w:rsidR="00BF7033">
        <w:t xml:space="preserve">so that a knowledge attribution </w:t>
      </w:r>
      <w:r w:rsidR="00837EAA">
        <w:t>signals</w:t>
      </w:r>
      <w:r w:rsidR="00BF7033">
        <w:t xml:space="preserve"> that a range of error-possibilities may be ignored, </w:t>
      </w:r>
      <w:r w:rsidR="00126C38">
        <w:t xml:space="preserve">but </w:t>
      </w:r>
      <w:r w:rsidR="00791358">
        <w:t xml:space="preserve">practical matters make the </w:t>
      </w:r>
      <w:r w:rsidR="00AD14E6">
        <w:t xml:space="preserve">mentioned </w:t>
      </w:r>
      <w:r w:rsidR="00791358">
        <w:t xml:space="preserve">chance of not-p </w:t>
      </w:r>
      <w:r w:rsidR="00B643D3">
        <w:t xml:space="preserve">practically </w:t>
      </w:r>
      <w:r w:rsidR="00791358">
        <w:t>relevant</w:t>
      </w:r>
      <w:r w:rsidR="00733F98">
        <w:t xml:space="preserve"> </w:t>
      </w:r>
      <w:r w:rsidR="004969FB">
        <w:t>(p. 180)</w:t>
      </w:r>
      <w:r w:rsidR="00733F98">
        <w:t>.</w:t>
      </w:r>
      <w:r w:rsidR="00B67ED8">
        <w:rPr>
          <w:rStyle w:val="FootnoteReference"/>
        </w:rPr>
        <w:footnoteReference w:id="14"/>
      </w:r>
      <w:r w:rsidR="00733F98">
        <w:t xml:space="preserve"> </w:t>
      </w:r>
      <w:r w:rsidR="00D42348">
        <w:t>Of more interest</w:t>
      </w:r>
      <w:r w:rsidR="006704DD">
        <w:t xml:space="preserve"> </w:t>
      </w:r>
      <w:r w:rsidR="00353740">
        <w:t xml:space="preserve">here is that the account implies that </w:t>
      </w:r>
      <w:r w:rsidR="00353740" w:rsidRPr="00AD14E6">
        <w:rPr>
          <w:i/>
          <w:iCs/>
        </w:rPr>
        <w:t>felicitous</w:t>
      </w:r>
      <w:r w:rsidR="00353740">
        <w:t xml:space="preserve"> concessive knowledge attributions are possible</w:t>
      </w:r>
      <w:r w:rsidR="00EB2419">
        <w:t xml:space="preserve"> </w:t>
      </w:r>
      <w:r w:rsidR="003D473B">
        <w:t>when a subject’s</w:t>
      </w:r>
      <w:r w:rsidR="003E0D04">
        <w:t xml:space="preserve"> epistemic position is good enough to rely upon for normal practical purposes</w:t>
      </w:r>
      <w:r w:rsidR="003D473B">
        <w:t xml:space="preserve"> and</w:t>
      </w:r>
      <w:r w:rsidR="00AA04BD">
        <w:t xml:space="preserve"> when the possibilities of error mentioned </w:t>
      </w:r>
      <w:r w:rsidR="003D473B">
        <w:t xml:space="preserve">in a knowledge attribution </w:t>
      </w:r>
      <w:r w:rsidR="00AA04BD">
        <w:t xml:space="preserve">are </w:t>
      </w:r>
      <w:r w:rsidR="00AA04BD">
        <w:rPr>
          <w:i/>
          <w:iCs/>
        </w:rPr>
        <w:t xml:space="preserve">not </w:t>
      </w:r>
      <w:r w:rsidR="00AA04BD">
        <w:t>ones that are likely</w:t>
      </w:r>
      <w:r w:rsidR="00025DAB">
        <w:t xml:space="preserve"> </w:t>
      </w:r>
      <w:r w:rsidR="00AA04BD">
        <w:t>to interfere with normal practical purposes</w:t>
      </w:r>
      <w:r w:rsidR="001B2F3E">
        <w:t xml:space="preserve">: </w:t>
      </w:r>
      <w:r w:rsidR="007700C4">
        <w:t>“</w:t>
      </w:r>
      <w:r w:rsidR="001B2F3E">
        <w:t>When the possibility of error is really remote, it may well be possible to felicitously combine an acknowledgement of that error possibility and yet claim to know” (181).</w:t>
      </w:r>
    </w:p>
    <w:p w14:paraId="42898754" w14:textId="2EABCB21" w:rsidR="000C4474" w:rsidRDefault="00BC672F" w:rsidP="00C30FCC">
      <w:pPr>
        <w:ind w:firstLine="720"/>
      </w:pPr>
      <w:r>
        <w:t>Brown</w:t>
      </w:r>
      <w:r w:rsidR="002E61C2">
        <w:t xml:space="preserve"> offers </w:t>
      </w:r>
      <w:r w:rsidR="00A95CBE">
        <w:t>the following</w:t>
      </w:r>
      <w:r w:rsidR="002E61C2">
        <w:t xml:space="preserve"> example</w:t>
      </w:r>
      <w:r w:rsidR="002C6425">
        <w:t>s</w:t>
      </w:r>
      <w:r w:rsidR="002E61C2">
        <w:t>. T</w:t>
      </w:r>
      <w:r w:rsidR="001B2F3E">
        <w:t xml:space="preserve">wo </w:t>
      </w:r>
      <w:r w:rsidR="00F86C1C">
        <w:t>theatergoers</w:t>
      </w:r>
      <w:r w:rsidR="001B2F3E">
        <w:t>, Alice and Belinda, are waiting for a third, Charlie, to arrive. Alice claims to know that Charlie will be on time, and Belinda replies that Charlie may have been kidnapped or abducted by extraterrestrials</w:t>
      </w:r>
      <w:r w:rsidR="00E77044">
        <w:t xml:space="preserve">: </w:t>
      </w:r>
      <w:r w:rsidR="003264D9">
        <w:t>“[Belinda]</w:t>
      </w:r>
      <w:r w:rsidR="007E17AF">
        <w:t xml:space="preserve"> </w:t>
      </w:r>
      <w:r w:rsidR="001E39B6">
        <w:t xml:space="preserve">might raise the possibility that Charlie has been kidnapped, or that aliens have landed and abducted Charlie in their spaceship” (181). </w:t>
      </w:r>
      <w:r w:rsidR="00BF04ED">
        <w:t xml:space="preserve">Alice may then go on to claim to know that Charlie will be on time while acknowledging that she is unable to rule out those possibilities. </w:t>
      </w:r>
      <w:r w:rsidR="00732A63">
        <w:t>Brown’s</w:t>
      </w:r>
      <w:r w:rsidR="006C02F1">
        <w:t xml:space="preserve"> account of </w:t>
      </w:r>
      <w:r w:rsidR="00366CEA">
        <w:t xml:space="preserve">how concessive knowledge attributions can be felicitous </w:t>
      </w:r>
      <w:r w:rsidR="001F32A8">
        <w:t>implies that</w:t>
      </w:r>
      <w:r w:rsidR="00366CEA">
        <w:t xml:space="preserve"> </w:t>
      </w:r>
      <w:r w:rsidR="00A95CBE">
        <w:t>knowledge attributions</w:t>
      </w:r>
      <w:r w:rsidR="00A20717">
        <w:t xml:space="preserve"> with possibility-clauses like “…but he may have been abducted by aliens” or “…but he may have been kidnapped” are</w:t>
      </w:r>
      <w:r w:rsidR="00A95CBE">
        <w:t xml:space="preserve"> genuinely </w:t>
      </w:r>
      <w:r w:rsidR="00366CEA">
        <w:rPr>
          <w:i/>
          <w:iCs/>
        </w:rPr>
        <w:t>concessive</w:t>
      </w:r>
      <w:r w:rsidR="00366CEA">
        <w:t xml:space="preserve">. </w:t>
      </w:r>
      <w:r w:rsidR="00B10D91">
        <w:t xml:space="preserve">But </w:t>
      </w:r>
      <w:r w:rsidR="003A0BAF">
        <w:t xml:space="preserve">I </w:t>
      </w:r>
      <w:r w:rsidR="000E49BD">
        <w:t xml:space="preserve">will </w:t>
      </w:r>
      <w:r w:rsidR="003A0BAF">
        <w:t xml:space="preserve">argue </w:t>
      </w:r>
      <w:r w:rsidR="00111E71">
        <w:t xml:space="preserve">that </w:t>
      </w:r>
      <w:r w:rsidR="00B10D91">
        <w:t>i</w:t>
      </w:r>
      <w:r w:rsidR="00C957CD">
        <w:t xml:space="preserve">t is not clear </w:t>
      </w:r>
      <w:r w:rsidR="00366CEA">
        <w:t xml:space="preserve">that </w:t>
      </w:r>
      <w:r w:rsidR="001953AF">
        <w:t>knowledge attributions with possibility-</w:t>
      </w:r>
      <w:r w:rsidR="001953AF" w:rsidRPr="001953AF">
        <w:t>clauses</w:t>
      </w:r>
      <w:r w:rsidR="001953AF">
        <w:t xml:space="preserve"> like those </w:t>
      </w:r>
      <w:r w:rsidR="00E55502">
        <w:t>really are examples of concessive knowledge attributions</w:t>
      </w:r>
      <w:r w:rsidR="00C957CD">
        <w:t xml:space="preserve">, because </w:t>
      </w:r>
      <w:r w:rsidR="009738B9">
        <w:t xml:space="preserve">it is not clear that the </w:t>
      </w:r>
      <w:r w:rsidR="009506A8">
        <w:t xml:space="preserve">mentioned </w:t>
      </w:r>
      <w:r w:rsidR="009A6A17">
        <w:t>‘</w:t>
      </w:r>
      <w:r w:rsidR="009506A8">
        <w:t>p</w:t>
      </w:r>
      <w:r w:rsidR="009A6A17">
        <w:t>ossibilities’</w:t>
      </w:r>
      <w:r w:rsidR="00376745">
        <w:t xml:space="preserve"> </w:t>
      </w:r>
      <w:r w:rsidR="009738B9">
        <w:t>are</w:t>
      </w:r>
      <w:r w:rsidR="00E601C5">
        <w:t xml:space="preserve"> being treated</w:t>
      </w:r>
      <w:r w:rsidR="002F72E0">
        <w:t xml:space="preserve"> as</w:t>
      </w:r>
      <w:r w:rsidR="009738B9">
        <w:t xml:space="preserve"> genuine </w:t>
      </w:r>
      <w:r w:rsidR="009738B9">
        <w:lastRenderedPageBreak/>
        <w:t>possibilities.</w:t>
      </w:r>
      <w:r w:rsidR="00F14A6C">
        <w:rPr>
          <w:rStyle w:val="FootnoteReference"/>
        </w:rPr>
        <w:footnoteReference w:id="15"/>
      </w:r>
      <w:r w:rsidR="009738B9">
        <w:t xml:space="preserve"> </w:t>
      </w:r>
      <w:r w:rsidR="007C0A83">
        <w:t xml:space="preserve">Because </w:t>
      </w:r>
      <w:r w:rsidR="003A0BAF">
        <w:t>it</w:t>
      </w:r>
      <w:r w:rsidR="007C0A83">
        <w:t xml:space="preserve"> is not clear</w:t>
      </w:r>
      <w:r w:rsidR="006F0E44">
        <w:t xml:space="preserve"> that </w:t>
      </w:r>
      <w:r w:rsidR="00C47491">
        <w:t xml:space="preserve">genuine possibilities are expressed by </w:t>
      </w:r>
      <w:r w:rsidR="006F0E44">
        <w:t>the possibility-</w:t>
      </w:r>
      <w:r w:rsidR="00155D33">
        <w:t>clauses</w:t>
      </w:r>
      <w:r w:rsidR="006F0E44">
        <w:t xml:space="preserve"> in these </w:t>
      </w:r>
      <w:r w:rsidR="003A0BAF">
        <w:t xml:space="preserve">examples of </w:t>
      </w:r>
      <w:r w:rsidR="00C47491">
        <w:t xml:space="preserve">supposed concessive knowledge attributions, there is </w:t>
      </w:r>
      <w:r w:rsidR="008D7968">
        <w:t>no reason to abandon the simpler account defended above, according to which concessive knowledge attributions are contradictory.</w:t>
      </w:r>
      <w:r w:rsidR="009B752B">
        <w:t xml:space="preserve"> I will describe some plausible criteria for concessive knowledge attributions before returning to Brown’s examples.</w:t>
      </w:r>
      <w:r w:rsidR="007351DA">
        <w:rPr>
          <w:rStyle w:val="FootnoteReference"/>
        </w:rPr>
        <w:footnoteReference w:id="16"/>
      </w:r>
      <w:r w:rsidR="00C47491">
        <w:t xml:space="preserve"> </w:t>
      </w:r>
    </w:p>
    <w:p w14:paraId="46272A57" w14:textId="5F842819" w:rsidR="003759A6" w:rsidRDefault="00DE1E82" w:rsidP="007700C4">
      <w:pPr>
        <w:ind w:firstLine="720"/>
      </w:pPr>
      <w:r>
        <w:t>T</w:t>
      </w:r>
      <w:r w:rsidR="00B73721">
        <w:t xml:space="preserve">o show that there can be felicitous concessive knowledge attributions, </w:t>
      </w:r>
      <w:r w:rsidR="006318D6">
        <w:t xml:space="preserve">it is not enough </w:t>
      </w:r>
      <w:r>
        <w:t xml:space="preserve">to </w:t>
      </w:r>
      <w:r w:rsidR="00A97165">
        <w:t xml:space="preserve">quote </w:t>
      </w:r>
      <w:r w:rsidR="006318D6">
        <w:t xml:space="preserve">an utterance </w:t>
      </w:r>
      <w:r>
        <w:t xml:space="preserve">that </w:t>
      </w:r>
      <w:r w:rsidR="006318D6">
        <w:t xml:space="preserve">may </w:t>
      </w:r>
      <w:r w:rsidR="00490DF0">
        <w:t>sound</w:t>
      </w:r>
      <w:r w:rsidR="006318D6">
        <w:t xml:space="preserve"> acceptable </w:t>
      </w:r>
      <w:r w:rsidR="00BA0C4E">
        <w:t>to an u</w:t>
      </w:r>
      <w:r w:rsidR="00490DF0">
        <w:t xml:space="preserve">ncritical hearer </w:t>
      </w:r>
      <w:r w:rsidR="00B73721">
        <w:t xml:space="preserve">while </w:t>
      </w:r>
      <w:r w:rsidR="006C6CD0">
        <w:t>having</w:t>
      </w:r>
      <w:r w:rsidR="00B73721">
        <w:t xml:space="preserve"> the </w:t>
      </w:r>
      <w:r w:rsidR="006F675A">
        <w:t xml:space="preserve">standard </w:t>
      </w:r>
      <w:r w:rsidR="00B73721">
        <w:t>grammatical structure of a concessive knowledge attribution</w:t>
      </w:r>
      <w:r w:rsidR="008030A7">
        <w:t>: “S knows that p but maybe q (where it is clear that q undermines S’s knowing that p)”.</w:t>
      </w:r>
      <w:r>
        <w:t xml:space="preserve"> </w:t>
      </w:r>
      <w:r w:rsidR="0012294C">
        <w:t xml:space="preserve">The following are plausible requirements for an utterance to be a concessive knowledge attribution, as will be made clear shortly. A concessive knowledge attribution </w:t>
      </w:r>
      <w:r w:rsidR="00CF1FA7">
        <w:t>must</w:t>
      </w:r>
      <w:r w:rsidR="00C24467">
        <w:t xml:space="preserve"> be</w:t>
      </w:r>
      <w:r>
        <w:t xml:space="preserve"> </w:t>
      </w:r>
    </w:p>
    <w:p w14:paraId="1EFC6378" w14:textId="402E14A4" w:rsidR="003759A6" w:rsidRDefault="00DE1E82" w:rsidP="00CF1FA7">
      <w:pPr>
        <w:pStyle w:val="ListParagraph"/>
        <w:numPr>
          <w:ilvl w:val="0"/>
          <w:numId w:val="4"/>
        </w:numPr>
      </w:pPr>
      <w:r>
        <w:t>a knowledge attribution</w:t>
      </w:r>
      <w:r w:rsidR="00C24467">
        <w:t>, that</w:t>
      </w:r>
    </w:p>
    <w:p w14:paraId="2DB82446" w14:textId="0011D311" w:rsidR="003759A6" w:rsidRDefault="00C51A3C" w:rsidP="00061E65">
      <w:pPr>
        <w:pStyle w:val="ListParagraph"/>
        <w:numPr>
          <w:ilvl w:val="0"/>
          <w:numId w:val="4"/>
        </w:numPr>
      </w:pPr>
      <w:r>
        <w:t>include</w:t>
      </w:r>
      <w:r w:rsidR="00C24467">
        <w:t>s</w:t>
      </w:r>
      <w:r>
        <w:t xml:space="preserve"> a possibility-clause that </w:t>
      </w:r>
      <w:r w:rsidR="003C6F26">
        <w:t>is asserted</w:t>
      </w:r>
      <w:r>
        <w:t xml:space="preserve"> as </w:t>
      </w:r>
      <w:r w:rsidR="00763802">
        <w:t xml:space="preserve">expressing a genuine possibility </w:t>
      </w:r>
      <w:r w:rsidR="007C7881">
        <w:t>the truth of which would</w:t>
      </w:r>
      <w:r w:rsidR="00763802">
        <w:t xml:space="preserve"> </w:t>
      </w:r>
      <w:r w:rsidR="00C25909">
        <w:t xml:space="preserve">undermine </w:t>
      </w:r>
      <w:r w:rsidR="008972A8">
        <w:t xml:space="preserve">the knowledge attribution, and </w:t>
      </w:r>
    </w:p>
    <w:p w14:paraId="24CC7B5C" w14:textId="64583CA2" w:rsidR="003759A6" w:rsidRDefault="0058057B" w:rsidP="00061E65">
      <w:pPr>
        <w:pStyle w:val="ListParagraph"/>
        <w:numPr>
          <w:ilvl w:val="0"/>
          <w:numId w:val="4"/>
        </w:numPr>
      </w:pPr>
      <w:r>
        <w:t>continue</w:t>
      </w:r>
      <w:r w:rsidR="00451DE4">
        <w:t>s</w:t>
      </w:r>
      <w:r>
        <w:t xml:space="preserve"> to satisfy (i) and (ii) when </w:t>
      </w:r>
      <w:r w:rsidR="00490DF0">
        <w:t xml:space="preserve">hearers </w:t>
      </w:r>
      <w:r>
        <w:t xml:space="preserve">pay </w:t>
      </w:r>
      <w:r w:rsidR="00490DF0">
        <w:t>careful attention</w:t>
      </w:r>
      <w:r w:rsidR="00252429">
        <w:t xml:space="preserve"> to the utterance</w:t>
      </w:r>
      <w:r w:rsidR="00451DE4">
        <w:t xml:space="preserve"> (including by</w:t>
      </w:r>
      <w:r w:rsidR="00BF7CF3">
        <w:t xml:space="preserve"> </w:t>
      </w:r>
      <w:r w:rsidR="00C81AB7">
        <w:t>thinking clearly about the meaning of the utterance, raising</w:t>
      </w:r>
      <w:r w:rsidR="00BF7CF3">
        <w:t xml:space="preserve"> doubts about its cogency, and so on</w:t>
      </w:r>
      <w:r w:rsidR="00C81AB7">
        <w:t>)</w:t>
      </w:r>
      <w:r w:rsidR="00B73721">
        <w:t>.</w:t>
      </w:r>
      <w:r w:rsidR="0007337B">
        <w:rPr>
          <w:rStyle w:val="FootnoteReference"/>
        </w:rPr>
        <w:footnoteReference w:id="17"/>
      </w:r>
      <w:r w:rsidR="006C6CD0">
        <w:t xml:space="preserve"> </w:t>
      </w:r>
    </w:p>
    <w:p w14:paraId="3BCE5496" w14:textId="512DBA8B" w:rsidR="003607B5" w:rsidRDefault="009738B9" w:rsidP="00504166">
      <w:r>
        <w:t xml:space="preserve">To see </w:t>
      </w:r>
      <w:r w:rsidR="00490DF0">
        <w:t>that Brown’s examples do not meet this standard</w:t>
      </w:r>
      <w:r w:rsidR="00252429">
        <w:t>, particularly (ii)</w:t>
      </w:r>
      <w:r>
        <w:t xml:space="preserve">, let us contrast the </w:t>
      </w:r>
      <w:r w:rsidR="006B3294">
        <w:t xml:space="preserve">two </w:t>
      </w:r>
      <w:r w:rsidR="004760AD">
        <w:t xml:space="preserve">mentioned </w:t>
      </w:r>
      <w:r w:rsidR="006B3294">
        <w:t>possibilities in the possibility-clause</w:t>
      </w:r>
      <w:r w:rsidR="009506A8">
        <w:t xml:space="preserve"> </w:t>
      </w:r>
      <w:r w:rsidR="006B3294">
        <w:t>used in her example</w:t>
      </w:r>
      <w:r w:rsidR="00667113">
        <w:t xml:space="preserve">, making explicit their role in </w:t>
      </w:r>
      <w:r w:rsidR="00667113">
        <w:lastRenderedPageBreak/>
        <w:t>allegedly concessive knowledge attributions.</w:t>
      </w:r>
      <w:r w:rsidR="00DC3E0A">
        <w:t xml:space="preserve"> (6)</w:t>
      </w:r>
      <w:r w:rsidR="00832579">
        <w:t>, below,</w:t>
      </w:r>
      <w:r w:rsidR="00DC3E0A">
        <w:t xml:space="preserve"> is </w:t>
      </w:r>
      <w:r w:rsidR="00C373B2">
        <w:t xml:space="preserve">the </w:t>
      </w:r>
      <w:r w:rsidR="00B11834">
        <w:t xml:space="preserve">closest </w:t>
      </w:r>
      <w:r w:rsidR="0020518F">
        <w:t>utterance</w:t>
      </w:r>
      <w:r w:rsidR="00B11834">
        <w:t xml:space="preserve"> </w:t>
      </w:r>
      <w:r w:rsidR="00F70E76">
        <w:t>deriv</w:t>
      </w:r>
      <w:r w:rsidR="00BF7CF3">
        <w:t>abl</w:t>
      </w:r>
      <w:r w:rsidR="00F70E76">
        <w:t>e from Brown’s example</w:t>
      </w:r>
      <w:r w:rsidR="00DC3E0A">
        <w:t xml:space="preserve"> </w:t>
      </w:r>
      <w:r w:rsidR="00FB2810">
        <w:t>that fits the structure of a concessive knowledge attribution.</w:t>
      </w:r>
    </w:p>
    <w:p w14:paraId="61C0F430" w14:textId="69DA396F" w:rsidR="00DC3E0A" w:rsidRDefault="00667113" w:rsidP="003B0380">
      <w:pPr>
        <w:ind w:left="360"/>
      </w:pPr>
      <w:r>
        <w:t>(</w:t>
      </w:r>
      <w:r w:rsidR="00DC3E0A">
        <w:t>6</w:t>
      </w:r>
      <w:r>
        <w:t xml:space="preserve">) </w:t>
      </w:r>
      <w:r w:rsidR="00B11834">
        <w:t>I know that Charlie will be on time, but it is possible that</w:t>
      </w:r>
      <w:r w:rsidR="00310158">
        <w:t xml:space="preserve"> [Brown’s words:]</w:t>
      </w:r>
      <w:r w:rsidR="00B11834">
        <w:t xml:space="preserve"> ‘Charlie has been kidnapped, or that aliens have landed and abducted Charlie in their spaceship’</w:t>
      </w:r>
      <w:r w:rsidR="003B0380">
        <w:t>.</w:t>
      </w:r>
    </w:p>
    <w:p w14:paraId="5DE79BF3" w14:textId="5DA57D9D" w:rsidR="00B11834" w:rsidRDefault="00EB7DA6" w:rsidP="00310158">
      <w:r>
        <w:t>Let us unpack (6)</w:t>
      </w:r>
      <w:r w:rsidR="00F86D5A">
        <w:t xml:space="preserve"> because</w:t>
      </w:r>
      <w:r w:rsidR="00E963C1">
        <w:t xml:space="preserve"> </w:t>
      </w:r>
      <w:r w:rsidR="00F86D5A">
        <w:t>the two mentioned ‘possibilities’ require separate treatment</w:t>
      </w:r>
      <w:r>
        <w:t>:</w:t>
      </w:r>
    </w:p>
    <w:p w14:paraId="23F125CA" w14:textId="0B0DD175" w:rsidR="00EB7DA6" w:rsidRDefault="00EB7DA6" w:rsidP="003B0380">
      <w:pPr>
        <w:ind w:left="360"/>
      </w:pPr>
      <w:r>
        <w:t>(6.1) I know that Charlie will be on time, but it is possible that Charlie has been kidnapped.</w:t>
      </w:r>
    </w:p>
    <w:p w14:paraId="55C2BA66" w14:textId="2C2922B0" w:rsidR="00EB7DA6" w:rsidRDefault="00EB7DA6" w:rsidP="003B0380">
      <w:pPr>
        <w:ind w:left="360"/>
      </w:pPr>
      <w:r>
        <w:t>(6.2) I know that Charlie will be on time, but it is possible that Charlie has been abducted by aliens.</w:t>
      </w:r>
    </w:p>
    <w:p w14:paraId="2943EE83" w14:textId="293DB4C3" w:rsidR="00C14EB5" w:rsidRDefault="0043376B" w:rsidP="00B11834">
      <w:r>
        <w:t xml:space="preserve">(6.1) and (6.2) </w:t>
      </w:r>
      <w:r w:rsidR="00F10476">
        <w:t>now clearly fit</w:t>
      </w:r>
      <w:r>
        <w:t xml:space="preserve"> the grammatical structure of concessive knowledge attributions.</w:t>
      </w:r>
      <w:r w:rsidR="00283870">
        <w:t xml:space="preserve"> </w:t>
      </w:r>
      <w:r w:rsidR="00F10476">
        <w:t>But i</w:t>
      </w:r>
      <w:r w:rsidR="00283870">
        <w:t xml:space="preserve">t is hard to know </w:t>
      </w:r>
      <w:r w:rsidR="00F10476">
        <w:t>if those examples express possibilities taken to be genuine by the speaker</w:t>
      </w:r>
      <w:r w:rsidR="00283870">
        <w:t>.</w:t>
      </w:r>
      <w:r w:rsidR="00035F70">
        <w:rPr>
          <w:rStyle w:val="FootnoteReference"/>
        </w:rPr>
        <w:footnoteReference w:id="18"/>
      </w:r>
      <w:r w:rsidR="00283870">
        <w:t xml:space="preserve"> </w:t>
      </w:r>
      <w:r w:rsidR="00F10476">
        <w:t>Who would kidnap</w:t>
      </w:r>
      <w:r w:rsidR="00283870">
        <w:t xml:space="preserve"> </w:t>
      </w:r>
      <w:r w:rsidR="0043484C">
        <w:t>Charlie</w:t>
      </w:r>
      <w:r w:rsidR="00F10476">
        <w:t>?</w:t>
      </w:r>
      <w:r w:rsidR="0043484C">
        <w:t xml:space="preserve"> </w:t>
      </w:r>
      <w:r w:rsidR="00F10476">
        <w:t xml:space="preserve">Is anyone ever </w:t>
      </w:r>
      <w:r w:rsidR="0043484C">
        <w:t>abducted by aliens?</w:t>
      </w:r>
      <w:r w:rsidR="00F10476">
        <w:t xml:space="preserve"> Let</w:t>
      </w:r>
      <w:r w:rsidR="007E69A9">
        <w:t xml:space="preserve"> us try to make clearer </w:t>
      </w:r>
      <w:r w:rsidR="0087429D">
        <w:t>how</w:t>
      </w:r>
      <w:r w:rsidR="007E69A9">
        <w:t xml:space="preserve"> the possibility-clauses </w:t>
      </w:r>
      <w:r w:rsidR="007B3495">
        <w:t>could</w:t>
      </w:r>
      <w:r w:rsidR="0087429D">
        <w:t xml:space="preserve"> be</w:t>
      </w:r>
      <w:r w:rsidR="007E69A9">
        <w:t xml:space="preserve"> intended to express genuine possibilities.</w:t>
      </w:r>
      <w:r w:rsidR="006D7412">
        <w:t xml:space="preserve"> </w:t>
      </w:r>
      <w:r w:rsidR="00D61C44">
        <w:t xml:space="preserve">For each case, I </w:t>
      </w:r>
      <w:r w:rsidR="00CE5475">
        <w:t>make</w:t>
      </w:r>
      <w:r w:rsidR="00D61C44">
        <w:t xml:space="preserve"> clear what a speaker might have in mind if the speaker intends for the possibility-</w:t>
      </w:r>
      <w:r w:rsidR="00317127">
        <w:t>clause</w:t>
      </w:r>
      <w:r w:rsidR="00D61C44">
        <w:t xml:space="preserve"> to express a possibility</w:t>
      </w:r>
      <w:r w:rsidR="0074066E">
        <w:t>.</w:t>
      </w:r>
    </w:p>
    <w:p w14:paraId="1C6E1173" w14:textId="1DABBF71" w:rsidR="002A1F60" w:rsidRDefault="002A1F60" w:rsidP="003B0380">
      <w:pPr>
        <w:ind w:left="360"/>
      </w:pPr>
      <w:r>
        <w:t>(6.1)</w:t>
      </w:r>
      <w:r w:rsidR="000A7B9D">
        <w:t xml:space="preserve">* I know that Charlie will be on time, but he </w:t>
      </w:r>
      <w:r w:rsidR="007E69A9">
        <w:t xml:space="preserve">may have been kidnapped by his bookie. (Assumption: Charlie may </w:t>
      </w:r>
      <w:r w:rsidR="008D3CB9">
        <w:t>be a gambler, but we lack evidence either way.)</w:t>
      </w:r>
    </w:p>
    <w:p w14:paraId="2D8B53E2" w14:textId="60DC1D81" w:rsidR="008D3CB9" w:rsidRDefault="008D3CB9" w:rsidP="003B0380">
      <w:pPr>
        <w:ind w:left="360"/>
      </w:pPr>
      <w:r>
        <w:t>(6.2)* I know that Charlie will be on time, but he may have been abducted by aliens. (Assumption: there may be aliens that abduct humans from time to time.)</w:t>
      </w:r>
    </w:p>
    <w:p w14:paraId="3CD9006A" w14:textId="30864D9B" w:rsidR="00710F93" w:rsidRDefault="003E56EA" w:rsidP="00B11834">
      <w:r>
        <w:lastRenderedPageBreak/>
        <w:t xml:space="preserve">With </w:t>
      </w:r>
      <w:r w:rsidR="00E963C1">
        <w:t>the</w:t>
      </w:r>
      <w:r>
        <w:t xml:space="preserve"> example unpacked more carefully, it seems clear that </w:t>
      </w:r>
      <w:r w:rsidR="00E27C10">
        <w:t xml:space="preserve">the possibility-clause in </w:t>
      </w:r>
      <w:r>
        <w:t>(6.1)* expresses a genuine possibility</w:t>
      </w:r>
      <w:r w:rsidR="00E27C10">
        <w:t xml:space="preserve">, </w:t>
      </w:r>
      <w:r w:rsidR="005F6F20">
        <w:t>but it is unclear whether the possibility-cl</w:t>
      </w:r>
      <w:r w:rsidR="00E27C10">
        <w:t xml:space="preserve">ause in (6.2)* </w:t>
      </w:r>
      <w:r w:rsidR="005F6F20">
        <w:t>does</w:t>
      </w:r>
      <w:r w:rsidR="00E27C10">
        <w:t xml:space="preserve">. </w:t>
      </w:r>
      <w:r w:rsidR="00F52BBF">
        <w:t>Regarding (6.1)*, b</w:t>
      </w:r>
      <w:r w:rsidR="00A81C88">
        <w:t>ecause we do not know anything about Charlie’s possible gambling habit, or to whom he may owe money, it really is possible that Charlie, late to arrive, might not make it because</w:t>
      </w:r>
      <w:r w:rsidR="00F52BBF">
        <w:t xml:space="preserve"> he has been kidnapped. So, (6.1)* is a genuine concessive knowledge attribution. </w:t>
      </w:r>
      <w:r w:rsidR="00427386">
        <w:t>Regarding (6.2)*</w:t>
      </w:r>
      <w:r w:rsidR="000343C2">
        <w:t xml:space="preserve">, it is unclear that the speaker regards the abduction possibility as genuine, and thus it is unclear if (6.2)* is a </w:t>
      </w:r>
      <w:r w:rsidR="00CE34BF">
        <w:t xml:space="preserve">concessive knowledge attribution. </w:t>
      </w:r>
      <w:r w:rsidR="004310C5">
        <w:t>If the possibility-clause is not a genuine assertion about an event that the speaker takes to be possible</w:t>
      </w:r>
      <w:r w:rsidR="00CE34BF">
        <w:t xml:space="preserve">, then (6.2)* is not a concessive knowledge attribution, because it does not </w:t>
      </w:r>
      <w:r w:rsidR="00CE34BF" w:rsidRPr="00E057A3">
        <w:t>concede</w:t>
      </w:r>
      <w:r w:rsidR="00CE34BF">
        <w:rPr>
          <w:i/>
          <w:iCs/>
        </w:rPr>
        <w:t xml:space="preserve"> </w:t>
      </w:r>
      <w:r w:rsidR="00CE34BF">
        <w:t>anything</w:t>
      </w:r>
      <w:r w:rsidR="006776BD">
        <w:t xml:space="preserve">: it simply uses words as though they express a </w:t>
      </w:r>
      <w:r w:rsidR="00F82F27">
        <w:t>‘</w:t>
      </w:r>
      <w:r w:rsidR="006776BD">
        <w:t>possibility</w:t>
      </w:r>
      <w:r w:rsidR="00F82F27">
        <w:t>’</w:t>
      </w:r>
      <w:r w:rsidR="006776BD">
        <w:t xml:space="preserve"> </w:t>
      </w:r>
      <w:r w:rsidR="00F82F27">
        <w:t xml:space="preserve">that is not taken to be a possibility at all. </w:t>
      </w:r>
    </w:p>
    <w:p w14:paraId="73DEB6DD" w14:textId="3C91B4FC" w:rsidR="008D3CB9" w:rsidRDefault="00F907D2" w:rsidP="00710F93">
      <w:pPr>
        <w:ind w:firstLine="720"/>
      </w:pPr>
      <w:r>
        <w:t>Looking just at the possibility-clauses, is</w:t>
      </w:r>
      <w:r w:rsidR="005E01E1">
        <w:t xml:space="preserve"> (6.2)* </w:t>
      </w:r>
      <w:r>
        <w:t>like or unlike the following?</w:t>
      </w:r>
    </w:p>
    <w:p w14:paraId="743470DB" w14:textId="7DA52393" w:rsidR="00F907D2" w:rsidRDefault="00F907D2" w:rsidP="003B0380">
      <w:pPr>
        <w:ind w:left="360"/>
      </w:pPr>
      <w:r>
        <w:t xml:space="preserve">(7) I know that </w:t>
      </w:r>
      <w:r w:rsidR="00672B0F">
        <w:t xml:space="preserve">Charlie will be on time, but he may have been </w:t>
      </w:r>
      <w:r w:rsidR="001970D2">
        <w:t>crushed</w:t>
      </w:r>
      <w:r w:rsidR="00672B0F">
        <w:t xml:space="preserve"> by a </w:t>
      </w:r>
      <w:r w:rsidR="00063D19">
        <w:t xml:space="preserve">very heavy object that was simultaneously both </w:t>
      </w:r>
      <w:r w:rsidR="00AB00D1">
        <w:t>perfectly cubical and perfectly spherical</w:t>
      </w:r>
      <w:r w:rsidR="00672B0F">
        <w:t>.</w:t>
      </w:r>
    </w:p>
    <w:p w14:paraId="70D7EB76" w14:textId="6DD7C46C" w:rsidR="00C14ACA" w:rsidRDefault="00672B0F" w:rsidP="003B0380">
      <w:pPr>
        <w:ind w:left="360"/>
      </w:pPr>
      <w:r>
        <w:t xml:space="preserve">(8) I know that Charlie will be on time, </w:t>
      </w:r>
      <w:r w:rsidR="00C14ACA">
        <w:t>but he may have been distracted by his successful proof that 1=0.</w:t>
      </w:r>
    </w:p>
    <w:p w14:paraId="2C60DF83" w14:textId="38D6BE66" w:rsidR="00C14ACA" w:rsidRDefault="00C14ACA" w:rsidP="003B0380">
      <w:pPr>
        <w:ind w:left="360"/>
      </w:pPr>
      <w:r>
        <w:t xml:space="preserve">(9) I know that Charlie will be on time, </w:t>
      </w:r>
      <w:r w:rsidR="00672B0F">
        <w:t xml:space="preserve">but </w:t>
      </w:r>
      <w:r w:rsidR="002811AD">
        <w:t xml:space="preserve">he may have been </w:t>
      </w:r>
      <w:r w:rsidR="00FA457E">
        <w:t>thrown from a bridge</w:t>
      </w:r>
      <w:r w:rsidR="002811AD">
        <w:t xml:space="preserve"> by </w:t>
      </w:r>
      <w:r w:rsidR="001D6E05">
        <w:t xml:space="preserve">the legendary </w:t>
      </w:r>
      <w:r w:rsidR="002811AD">
        <w:t>Bigfoot</w:t>
      </w:r>
      <w:r w:rsidR="00666EBD">
        <w:t>.</w:t>
      </w:r>
    </w:p>
    <w:p w14:paraId="04D9CCBB" w14:textId="599526BC" w:rsidR="006F15FB" w:rsidRDefault="006F15FB" w:rsidP="003B0380">
      <w:pPr>
        <w:ind w:left="360"/>
      </w:pPr>
      <w:r>
        <w:t>(10) I know that Charlie will be on time, but he may have become a victim of spontaneous human combustion.</w:t>
      </w:r>
    </w:p>
    <w:p w14:paraId="4C6EAF7B" w14:textId="2562D78D" w:rsidR="003D6274" w:rsidRDefault="00C14ACA" w:rsidP="00BA2367">
      <w:r>
        <w:lastRenderedPageBreak/>
        <w:t>In each of (7)-(</w:t>
      </w:r>
      <w:r w:rsidR="00E13B89">
        <w:t>10</w:t>
      </w:r>
      <w:r>
        <w:t>), the possibility-clause does not express a genuine possibility</w:t>
      </w:r>
      <w:r w:rsidR="000A12AB">
        <w:t>, but all three fit the grammatical structure of a concessive knowledge attribution.</w:t>
      </w:r>
      <w:r w:rsidR="007F1CA5">
        <w:rPr>
          <w:rStyle w:val="FootnoteReference"/>
        </w:rPr>
        <w:footnoteReference w:id="19"/>
      </w:r>
      <w:r w:rsidR="002811AD">
        <w:t xml:space="preserve"> </w:t>
      </w:r>
      <w:r w:rsidR="0058340F">
        <w:t xml:space="preserve">So, the mere fact that (6.2)* </w:t>
      </w:r>
      <w:r w:rsidR="000D5AAA">
        <w:t xml:space="preserve">contains a possibility-clause does not establish that </w:t>
      </w:r>
      <w:r w:rsidR="00C16036">
        <w:t>the possibility-clause in (6.2)* mentions a genuine possibility.</w:t>
      </w:r>
      <w:r w:rsidR="00354896">
        <w:t xml:space="preserve"> </w:t>
      </w:r>
      <w:r w:rsidR="00A35948">
        <w:t>However, i</w:t>
      </w:r>
      <w:r w:rsidR="00354896">
        <w:t xml:space="preserve">t is also not clear that it does </w:t>
      </w:r>
      <w:r w:rsidR="00354896" w:rsidRPr="00485A95">
        <w:rPr>
          <w:i/>
          <w:iCs/>
        </w:rPr>
        <w:t>not</w:t>
      </w:r>
      <w:r w:rsidR="00354896">
        <w:t xml:space="preserve"> express a genuine possibility, but the burden here lies with Brown to show that </w:t>
      </w:r>
      <w:r w:rsidR="00882816">
        <w:t xml:space="preserve">speakers uttering apparent concessive knowledge attributions with </w:t>
      </w:r>
      <w:r w:rsidR="00C91099">
        <w:t>possibility-clauses that mention</w:t>
      </w:r>
      <w:r w:rsidR="00F95F95">
        <w:t xml:space="preserve"> what are </w:t>
      </w:r>
      <w:r w:rsidR="00485A95">
        <w:t>(</w:t>
      </w:r>
      <w:r w:rsidR="00F95F95">
        <w:t>at least</w:t>
      </w:r>
      <w:r w:rsidR="00485A95">
        <w:t>)</w:t>
      </w:r>
      <w:r w:rsidR="00C91099">
        <w:t xml:space="preserve"> </w:t>
      </w:r>
      <w:r w:rsidR="00C91099" w:rsidRPr="004C70B1">
        <w:rPr>
          <w:i/>
          <w:iCs/>
        </w:rPr>
        <w:t>extremely</w:t>
      </w:r>
      <w:r w:rsidR="00C91099">
        <w:t xml:space="preserve"> improbable states of affairs </w:t>
      </w:r>
      <w:r w:rsidR="00F95F95">
        <w:t xml:space="preserve">sincerely and reflectively </w:t>
      </w:r>
      <w:r w:rsidR="00FD1D4E">
        <w:t xml:space="preserve">regard those clauses as </w:t>
      </w:r>
      <w:r w:rsidR="00C91099">
        <w:t>express</w:t>
      </w:r>
      <w:r w:rsidR="00FD1D4E">
        <w:t>ing</w:t>
      </w:r>
      <w:r w:rsidR="00C91099">
        <w:t xml:space="preserve"> genuine possibilities and </w:t>
      </w:r>
      <w:r w:rsidR="00F6523D">
        <w:t>are not casually</w:t>
      </w:r>
      <w:r w:rsidR="00100061">
        <w:t xml:space="preserve"> </w:t>
      </w:r>
      <w:r w:rsidR="00F6523D">
        <w:t>treating</w:t>
      </w:r>
      <w:r w:rsidR="00100061">
        <w:t xml:space="preserve"> impossibilities as though they are </w:t>
      </w:r>
      <w:r w:rsidR="00266A67">
        <w:t xml:space="preserve">genuine </w:t>
      </w:r>
      <w:r w:rsidR="00100061">
        <w:t>possibilities.</w:t>
      </w:r>
      <w:r w:rsidR="00D775E4">
        <w:t xml:space="preserve"> </w:t>
      </w:r>
      <w:r w:rsidR="00485A95">
        <w:t xml:space="preserve">Would you mean it if </w:t>
      </w:r>
      <w:r w:rsidR="00485A95" w:rsidRPr="0058793D">
        <w:rPr>
          <w:i/>
          <w:iCs/>
        </w:rPr>
        <w:t>you</w:t>
      </w:r>
      <w:r w:rsidR="00485A95">
        <w:t xml:space="preserve"> said Charlie might be late because he could have burst into flames for no reason?</w:t>
      </w:r>
    </w:p>
    <w:p w14:paraId="171B7C31" w14:textId="666F84A7" w:rsidR="00CE2DEC" w:rsidRDefault="006117B4" w:rsidP="006C4128">
      <w:r>
        <w:tab/>
        <w:t xml:space="preserve">We thus have two categories of </w:t>
      </w:r>
      <w:r w:rsidR="00F95F95">
        <w:t>apparent c</w:t>
      </w:r>
      <w:r>
        <w:t>oncessive knowledge attributions</w:t>
      </w:r>
      <w:r w:rsidR="0059077A">
        <w:t>: that is, of utterances that fit the grammatical structure of concessive knowledge attributions</w:t>
      </w:r>
      <w:r w:rsidR="00A40F72">
        <w:t xml:space="preserve">. </w:t>
      </w:r>
      <w:r w:rsidR="0059077A">
        <w:t xml:space="preserve">In the first category belong </w:t>
      </w:r>
      <w:r w:rsidR="002E2AFA">
        <w:t xml:space="preserve">those utterances that juxtapose a knowledge attribution with a </w:t>
      </w:r>
      <w:r w:rsidR="002E2AFA">
        <w:rPr>
          <w:i/>
          <w:iCs/>
        </w:rPr>
        <w:t xml:space="preserve">genuine </w:t>
      </w:r>
      <w:r w:rsidR="002E2AFA">
        <w:t xml:space="preserve">possibility </w:t>
      </w:r>
      <w:r w:rsidR="00EB6DC1">
        <w:t>that appears to undermine the knowledge attribution in question. All of the examples of (1)-(5) earlier in the paper fall into this category, and (6.1)* certainly seems to as well. These examples are definitely concessive knowledge attributions, and they all sound contradictory</w:t>
      </w:r>
      <w:r w:rsidR="00C17582">
        <w:t xml:space="preserve">, including (6.1)*: if we think that Charlie really </w:t>
      </w:r>
      <w:r w:rsidR="00C17582">
        <w:rPr>
          <w:i/>
          <w:iCs/>
        </w:rPr>
        <w:t xml:space="preserve">might </w:t>
      </w:r>
      <w:r w:rsidR="00C17582">
        <w:t xml:space="preserve">have placed a secret bet, lost on it, and failed to pay up on time—if we are taking this idea </w:t>
      </w:r>
      <w:r w:rsidR="00C17582" w:rsidRPr="00C17582">
        <w:rPr>
          <w:i/>
          <w:iCs/>
        </w:rPr>
        <w:t>seriously</w:t>
      </w:r>
      <w:r w:rsidR="00C17582">
        <w:t xml:space="preserve">, seriously enough that we think he </w:t>
      </w:r>
      <w:r w:rsidR="00C17582" w:rsidRPr="00C17582">
        <w:rPr>
          <w:i/>
          <w:iCs/>
        </w:rPr>
        <w:t>actually might</w:t>
      </w:r>
      <w:r w:rsidR="00C17582">
        <w:t xml:space="preserve"> have been kidnapped by the bookie that he failed to pay—then we plainly cannot think</w:t>
      </w:r>
      <w:r w:rsidR="00AA5C94">
        <w:t xml:space="preserve"> consistently with </w:t>
      </w:r>
      <w:r w:rsidR="00A160A3">
        <w:t xml:space="preserve">the acknowledgement of </w:t>
      </w:r>
      <w:r w:rsidR="00AA5C94">
        <w:t>that possibility</w:t>
      </w:r>
      <w:r w:rsidR="00C17582">
        <w:t xml:space="preserve"> that we </w:t>
      </w:r>
      <w:r w:rsidR="00C17582" w:rsidRPr="00AA5C94">
        <w:rPr>
          <w:i/>
          <w:iCs/>
        </w:rPr>
        <w:t>know</w:t>
      </w:r>
      <w:r w:rsidR="00C17582">
        <w:t xml:space="preserve"> </w:t>
      </w:r>
      <w:r w:rsidR="00AA5C94">
        <w:t>Charlie</w:t>
      </w:r>
      <w:r w:rsidR="00C17582">
        <w:t xml:space="preserve"> will make it to the show on time</w:t>
      </w:r>
      <w:r w:rsidR="00EB6DC1">
        <w:t xml:space="preserve">. </w:t>
      </w:r>
    </w:p>
    <w:p w14:paraId="138C1088" w14:textId="62166113" w:rsidR="00061E65" w:rsidRDefault="00ED3DB9" w:rsidP="0040126B">
      <w:pPr>
        <w:ind w:firstLine="720"/>
      </w:pPr>
      <w:r>
        <w:lastRenderedPageBreak/>
        <w:t>In the second category belong utterances that have the same grammatical structur</w:t>
      </w:r>
      <w:r w:rsidR="00724FEC">
        <w:t>e</w:t>
      </w:r>
      <w:r w:rsidR="00791C5E">
        <w:t xml:space="preserve">, </w:t>
      </w:r>
      <w:r w:rsidR="00724FEC">
        <w:t xml:space="preserve">but differ </w:t>
      </w:r>
      <w:r w:rsidR="00791C5E">
        <w:t xml:space="preserve">from the first category </w:t>
      </w:r>
      <w:r w:rsidR="00724FEC">
        <w:t>in that the possibility-</w:t>
      </w:r>
      <w:r w:rsidR="00155D33">
        <w:t>clause</w:t>
      </w:r>
      <w:r w:rsidR="00724FEC">
        <w:t xml:space="preserve"> is not taken to be a genuine possibility</w:t>
      </w:r>
      <w:r w:rsidR="000658B4">
        <w:t xml:space="preserve">, at least </w:t>
      </w:r>
      <w:r w:rsidR="00EA7474">
        <w:t>beyond an initial, uncritical hearing.</w:t>
      </w:r>
      <w:r w:rsidR="000658B4">
        <w:t xml:space="preserve"> These utterances </w:t>
      </w:r>
      <w:r w:rsidR="00FE621F">
        <w:t>resemble</w:t>
      </w:r>
      <w:r w:rsidR="000658B4">
        <w:t xml:space="preserve"> concessive knowledge attributions, but they are not, because they do not actually concede that there is a possibility of error that is incompatible with the initial knowledge attribution in question.</w:t>
      </w:r>
      <w:r w:rsidR="00137775">
        <w:t xml:space="preserve"> (7)-(</w:t>
      </w:r>
      <w:r w:rsidR="00AA707D">
        <w:t>10</w:t>
      </w:r>
      <w:r w:rsidR="00137775">
        <w:t>) are all this way, and (6.2)* at least appears to be.</w:t>
      </w:r>
      <w:r w:rsidR="00A36F15">
        <w:t xml:space="preserve"> In either case, we have found no clear example of a felicitous concessive knowledge attribution, even though we found utterances that take such a form.</w:t>
      </w:r>
      <w:r w:rsidR="00FE621F">
        <w:t xml:space="preserve"> </w:t>
      </w:r>
    </w:p>
    <w:p w14:paraId="503E3530" w14:textId="29FD50C6" w:rsidR="0095392F" w:rsidRDefault="00461931" w:rsidP="00A122D3">
      <w:pPr>
        <w:ind w:firstLine="720"/>
      </w:pPr>
      <w:r>
        <w:t xml:space="preserve">Recall that fallibilists generally agree that concessive knowledge attributions </w:t>
      </w:r>
      <w:r>
        <w:rPr>
          <w:i/>
          <w:iCs/>
        </w:rPr>
        <w:t>usually</w:t>
      </w:r>
      <w:r>
        <w:t xml:space="preserve"> sound contradictory. The burden is on fallibilists to carve out a</w:t>
      </w:r>
      <w:r w:rsidR="00B811BA">
        <w:t xml:space="preserve">n exceptional </w:t>
      </w:r>
      <w:r>
        <w:t>class of concessive knowledge attributions that are not contradictory, and to explain in a principled way why we take them to be contradictory when they are not, or to demonstrate that</w:t>
      </w:r>
      <w:r w:rsidR="00B811BA">
        <w:t xml:space="preserve">, heard and understood in the right way, </w:t>
      </w:r>
      <w:r w:rsidR="006966D3">
        <w:t xml:space="preserve">some </w:t>
      </w:r>
      <w:r>
        <w:t xml:space="preserve">concessive knowledge attributions </w:t>
      </w:r>
      <w:r w:rsidR="006966D3">
        <w:t>do</w:t>
      </w:r>
      <w:r>
        <w:t xml:space="preserve"> not sound contradictory. </w:t>
      </w:r>
      <w:r w:rsidR="006966D3">
        <w:t>The</w:t>
      </w:r>
      <w:r w:rsidR="00061E65">
        <w:t xml:space="preserve"> accounts considered above</w:t>
      </w:r>
      <w:r w:rsidR="006966D3">
        <w:t xml:space="preserve"> have failed to do this. </w:t>
      </w:r>
      <w:r w:rsidR="00FE621F">
        <w:t xml:space="preserve">Consequently, </w:t>
      </w:r>
      <w:r w:rsidR="00061E65">
        <w:t xml:space="preserve">as Lewis saw, </w:t>
      </w:r>
      <w:r w:rsidR="00FE621F">
        <w:t xml:space="preserve">we have found no good argument for rejecting the simple </w:t>
      </w:r>
      <w:r w:rsidR="00061E65">
        <w:t xml:space="preserve">infallibilist </w:t>
      </w:r>
      <w:r w:rsidR="00FE621F">
        <w:t xml:space="preserve">explanation of concessive knowledge attributions: </w:t>
      </w:r>
      <w:r w:rsidR="007A53E6">
        <w:rPr>
          <w:i/>
          <w:iCs/>
        </w:rPr>
        <w:t>genuine</w:t>
      </w:r>
      <w:r w:rsidR="007A53E6">
        <w:t xml:space="preserve"> concessive knowledge attributions sound contradictory because they are contradictory.</w:t>
      </w:r>
      <w:r w:rsidRPr="00461931">
        <w:t xml:space="preserve"> </w:t>
      </w:r>
    </w:p>
    <w:p w14:paraId="7DA6BA66" w14:textId="77777777" w:rsidR="00F838AF" w:rsidRDefault="00F838AF">
      <w:pPr>
        <w:spacing w:line="259" w:lineRule="auto"/>
      </w:pPr>
      <w:r>
        <w:br w:type="page"/>
      </w:r>
    </w:p>
    <w:p w14:paraId="3417BA89" w14:textId="57A8B14D" w:rsidR="00846D0E" w:rsidRDefault="00846D0E" w:rsidP="00846D0E">
      <w:pPr>
        <w:jc w:val="center"/>
      </w:pPr>
      <w:r>
        <w:lastRenderedPageBreak/>
        <w:t>References</w:t>
      </w:r>
    </w:p>
    <w:p w14:paraId="01FE6F83" w14:textId="63A1FC2C" w:rsidR="0037307F" w:rsidRDefault="0037307F" w:rsidP="00631B79">
      <w:pPr>
        <w:pStyle w:val="EndNoteBibliography"/>
        <w:spacing w:after="0"/>
        <w:ind w:left="720" w:hanging="720"/>
      </w:pPr>
      <w:r w:rsidRPr="00773A7B">
        <w:t xml:space="preserve">Blome-Tillmann, M. (2008). "Conversational Implicature and the Cancellability Test." </w:t>
      </w:r>
      <w:r w:rsidRPr="00773A7B">
        <w:rPr>
          <w:u w:val="single"/>
        </w:rPr>
        <w:t>Analysis</w:t>
      </w:r>
      <w:r w:rsidRPr="00773A7B">
        <w:t xml:space="preserve"> </w:t>
      </w:r>
      <w:r w:rsidRPr="00773A7B">
        <w:rPr>
          <w:b/>
        </w:rPr>
        <w:t>68</w:t>
      </w:r>
      <w:r w:rsidRPr="00773A7B">
        <w:t>(2): 156-160</w:t>
      </w:r>
      <w:r>
        <w:t>.</w:t>
      </w:r>
    </w:p>
    <w:p w14:paraId="3521D298" w14:textId="18A32C40" w:rsidR="006E2317" w:rsidRDefault="006E2317" w:rsidP="00631B79">
      <w:pPr>
        <w:pStyle w:val="EndNoteBibliography"/>
        <w:spacing w:after="0"/>
        <w:ind w:left="720" w:hanging="720"/>
      </w:pPr>
      <w:r>
        <w:t xml:space="preserve">Brown, J. (2018). </w:t>
      </w:r>
      <w:r w:rsidR="005A4EE5">
        <w:rPr>
          <w:u w:val="single"/>
        </w:rPr>
        <w:t>Fallibilism: Evidence and Knowledge</w:t>
      </w:r>
      <w:r w:rsidR="005A4EE5">
        <w:t>. New York, Oxford University Press.</w:t>
      </w:r>
    </w:p>
    <w:p w14:paraId="46E55CAE" w14:textId="612840E7" w:rsidR="00715344" w:rsidRPr="0065518D" w:rsidRDefault="00715344" w:rsidP="00631B79">
      <w:pPr>
        <w:pStyle w:val="EndNoteBibliography"/>
        <w:spacing w:after="0"/>
        <w:ind w:left="720" w:hanging="720"/>
      </w:pPr>
      <w:r>
        <w:t xml:space="preserve">DeRose, K. (1999). </w:t>
      </w:r>
      <w:r w:rsidR="0065518D">
        <w:t>“</w:t>
      </w:r>
      <w:r w:rsidRPr="0065518D">
        <w:t>Contextualism: An Explanation and Defence</w:t>
      </w:r>
      <w:r w:rsidR="0065518D">
        <w:t>” in</w:t>
      </w:r>
      <w:r w:rsidR="00F46F21">
        <w:t xml:space="preserve"> </w:t>
      </w:r>
      <w:r w:rsidR="00F46F21" w:rsidRPr="00F46F21">
        <w:rPr>
          <w:u w:val="single"/>
        </w:rPr>
        <w:t>The Blackwell Guide to Epistemology</w:t>
      </w:r>
      <w:r w:rsidR="0065518D">
        <w:t xml:space="preserve">, eds. Greco, John and Ernest Sosa. </w:t>
      </w:r>
      <w:r w:rsidR="00637C8F">
        <w:t>Malden: Blackwell Publishing.</w:t>
      </w:r>
    </w:p>
    <w:p w14:paraId="43A56B5C" w14:textId="6E1F5142" w:rsidR="00631B79" w:rsidRPr="00631B79" w:rsidRDefault="00846D0E" w:rsidP="00631B79">
      <w:pPr>
        <w:pStyle w:val="EndNoteBibliography"/>
        <w:spacing w:after="0"/>
        <w:ind w:left="720" w:hanging="720"/>
      </w:pPr>
      <w:r>
        <w:fldChar w:fldCharType="begin"/>
      </w:r>
      <w:r>
        <w:instrText xml:space="preserve"> ADDIN EN.REFLIST </w:instrText>
      </w:r>
      <w:r>
        <w:fldChar w:fldCharType="separate"/>
      </w:r>
      <w:r w:rsidR="00631B79" w:rsidRPr="00631B79">
        <w:t xml:space="preserve">Dodd, D. (2010). "Confusion about Concessive Knowledge Attributions." </w:t>
      </w:r>
      <w:r w:rsidR="00631B79" w:rsidRPr="00631B79">
        <w:rPr>
          <w:u w:val="single"/>
        </w:rPr>
        <w:t>Synthese</w:t>
      </w:r>
      <w:r w:rsidR="00631B79" w:rsidRPr="00631B79">
        <w:t xml:space="preserve"> </w:t>
      </w:r>
      <w:r w:rsidR="00631B79" w:rsidRPr="00631B79">
        <w:rPr>
          <w:b/>
        </w:rPr>
        <w:t>172</w:t>
      </w:r>
      <w:r w:rsidR="00631B79" w:rsidRPr="00631B79">
        <w:t xml:space="preserve">(3): 381-396. </w:t>
      </w:r>
    </w:p>
    <w:p w14:paraId="7D59E1B4" w14:textId="77777777" w:rsidR="00631B79" w:rsidRPr="00631B79" w:rsidRDefault="00631B79" w:rsidP="00631B79">
      <w:pPr>
        <w:pStyle w:val="EndNoteBibliography"/>
        <w:spacing w:after="0"/>
        <w:ind w:left="720" w:hanging="720"/>
      </w:pPr>
      <w:r w:rsidRPr="00631B79">
        <w:t xml:space="preserve">Dougherty, T. and P. Rysiew (2009). "Fallibilism, Epistemic Possibility, and Concessive Knowledge Attributions." </w:t>
      </w:r>
      <w:r w:rsidRPr="00631B79">
        <w:rPr>
          <w:u w:val="single"/>
        </w:rPr>
        <w:t>Philosophy and Phenomenological Research</w:t>
      </w:r>
      <w:r w:rsidRPr="00631B79">
        <w:t xml:space="preserve"> </w:t>
      </w:r>
      <w:r w:rsidRPr="00631B79">
        <w:rPr>
          <w:b/>
        </w:rPr>
        <w:t>78</w:t>
      </w:r>
      <w:r w:rsidRPr="00631B79">
        <w:t xml:space="preserve">(1): 123-132. </w:t>
      </w:r>
    </w:p>
    <w:p w14:paraId="0ABE5475" w14:textId="00A543B0" w:rsidR="00631B79" w:rsidRDefault="00631B79" w:rsidP="00631B79">
      <w:pPr>
        <w:pStyle w:val="EndNoteBibliography"/>
        <w:spacing w:after="0"/>
        <w:ind w:left="720" w:hanging="720"/>
      </w:pPr>
      <w:r w:rsidRPr="00631B79">
        <w:t xml:space="preserve">Dougherty, T. and P. Rysiew (2011). "Clarity about Concessive Knowledge Attributions: Reply to Dodd." </w:t>
      </w:r>
      <w:r w:rsidRPr="00631B79">
        <w:rPr>
          <w:u w:val="single"/>
        </w:rPr>
        <w:t>Synthese</w:t>
      </w:r>
      <w:r w:rsidRPr="00631B79">
        <w:t xml:space="preserve"> </w:t>
      </w:r>
      <w:r w:rsidRPr="00631B79">
        <w:rPr>
          <w:b/>
        </w:rPr>
        <w:t>181</w:t>
      </w:r>
      <w:r w:rsidRPr="00631B79">
        <w:t xml:space="preserve">(3): 395-403. </w:t>
      </w:r>
    </w:p>
    <w:p w14:paraId="5F22761A" w14:textId="2E99C983" w:rsidR="005C7D2A" w:rsidRPr="005C7D2A" w:rsidRDefault="005C7D2A" w:rsidP="00631B79">
      <w:pPr>
        <w:pStyle w:val="EndNoteBibliography"/>
        <w:spacing w:after="0"/>
        <w:ind w:left="720" w:hanging="720"/>
      </w:pPr>
      <w:r>
        <w:t>Fantl, J. and M. McGrath</w:t>
      </w:r>
      <w:r w:rsidR="00F612CF">
        <w:t>. (2009)</w:t>
      </w:r>
      <w:r>
        <w:t xml:space="preserve">. </w:t>
      </w:r>
      <w:r>
        <w:rPr>
          <w:u w:val="single"/>
        </w:rPr>
        <w:t>Knowledge in an Uncertain World</w:t>
      </w:r>
      <w:r>
        <w:t xml:space="preserve">. </w:t>
      </w:r>
      <w:r w:rsidR="00F612CF">
        <w:t>New York, Oxford University Press.</w:t>
      </w:r>
    </w:p>
    <w:p w14:paraId="78A40F7A" w14:textId="53ACED90" w:rsidR="00AC52D2" w:rsidRPr="008C157E" w:rsidRDefault="00AC52D2" w:rsidP="00631B79">
      <w:pPr>
        <w:pStyle w:val="EndNoteBibliography"/>
        <w:spacing w:after="0"/>
        <w:ind w:left="720" w:hanging="720"/>
      </w:pPr>
      <w:r>
        <w:t xml:space="preserve">Greco, D. </w:t>
      </w:r>
      <w:r w:rsidR="008C157E">
        <w:t xml:space="preserve">(2013). "Probability and Prodigality." </w:t>
      </w:r>
      <w:r w:rsidR="008C157E">
        <w:rPr>
          <w:u w:val="single"/>
        </w:rPr>
        <w:t>Oxford Studies in Epistemology</w:t>
      </w:r>
      <w:r w:rsidR="008C157E">
        <w:t xml:space="preserve"> </w:t>
      </w:r>
      <w:r w:rsidR="008C157E">
        <w:rPr>
          <w:b/>
          <w:bCs/>
        </w:rPr>
        <w:t>4</w:t>
      </w:r>
      <w:r w:rsidR="008C157E">
        <w:t>: 82-107.</w:t>
      </w:r>
    </w:p>
    <w:p w14:paraId="262772C2" w14:textId="50A83439" w:rsidR="00631B79" w:rsidRDefault="00631B79" w:rsidP="00631B79">
      <w:pPr>
        <w:pStyle w:val="EndNoteBibliography"/>
        <w:spacing w:after="0"/>
        <w:ind w:left="720" w:hanging="720"/>
      </w:pPr>
      <w:r w:rsidRPr="00631B79">
        <w:t xml:space="preserve">Grice, H. P. (1975). Logic and Conversation. </w:t>
      </w:r>
      <w:r w:rsidRPr="00631B79">
        <w:rPr>
          <w:u w:val="single"/>
        </w:rPr>
        <w:t>Syntax and Semantics, vol. 3: Speech Acts</w:t>
      </w:r>
      <w:r w:rsidRPr="00631B79">
        <w:t>. P. Cole and J. Morgan. New York, Academic Press.</w:t>
      </w:r>
    </w:p>
    <w:p w14:paraId="5FE8592E" w14:textId="6FB217D1" w:rsidR="00E330A3" w:rsidRPr="00631B79" w:rsidRDefault="00E330A3" w:rsidP="00631B79">
      <w:pPr>
        <w:pStyle w:val="EndNoteBibliography"/>
        <w:spacing w:after="0"/>
        <w:ind w:left="720" w:hanging="720"/>
      </w:pPr>
      <w:r w:rsidRPr="00773A7B">
        <w:t xml:space="preserve">Hazlett, A. (2009). "Knowledge and Conversation." </w:t>
      </w:r>
      <w:r w:rsidRPr="00773A7B">
        <w:rPr>
          <w:u w:val="single"/>
        </w:rPr>
        <w:t>Philosophy and Phenomenological Research</w:t>
      </w:r>
      <w:r w:rsidRPr="00773A7B">
        <w:t xml:space="preserve"> </w:t>
      </w:r>
      <w:r w:rsidRPr="00773A7B">
        <w:rPr>
          <w:b/>
        </w:rPr>
        <w:t>78</w:t>
      </w:r>
      <w:r w:rsidRPr="00773A7B">
        <w:t>(3): 591-620.</w:t>
      </w:r>
    </w:p>
    <w:p w14:paraId="4ED85426" w14:textId="77777777" w:rsidR="00631B79" w:rsidRPr="00631B79" w:rsidRDefault="00631B79" w:rsidP="00631B79">
      <w:pPr>
        <w:pStyle w:val="EndNoteBibliography"/>
        <w:spacing w:after="0"/>
        <w:ind w:left="720" w:hanging="720"/>
      </w:pPr>
      <w:r w:rsidRPr="00631B79">
        <w:t xml:space="preserve">Lewis, D. (1996). "Elusive Knowledge." </w:t>
      </w:r>
      <w:r w:rsidRPr="00631B79">
        <w:rPr>
          <w:u w:val="single"/>
        </w:rPr>
        <w:t>Australasian Journal of Philosophy</w:t>
      </w:r>
      <w:r w:rsidRPr="00631B79">
        <w:t xml:space="preserve"> </w:t>
      </w:r>
      <w:r w:rsidRPr="00631B79">
        <w:rPr>
          <w:b/>
        </w:rPr>
        <w:t>74</w:t>
      </w:r>
      <w:r w:rsidRPr="00631B79">
        <w:t xml:space="preserve">(4): 549-567. </w:t>
      </w:r>
    </w:p>
    <w:p w14:paraId="1D409CAC" w14:textId="586D8D65" w:rsidR="00410AD9" w:rsidRDefault="00631B79" w:rsidP="00410AD9">
      <w:pPr>
        <w:pStyle w:val="EndNoteBibliography"/>
        <w:ind w:left="720" w:hanging="720"/>
        <w:contextualSpacing/>
      </w:pPr>
      <w:r w:rsidRPr="00631B79">
        <w:t xml:space="preserve">Rysiew, P. (2001). "The Context-Sensitivity of Knowledge Attributions." </w:t>
      </w:r>
      <w:r w:rsidRPr="00631B79">
        <w:rPr>
          <w:u w:val="single"/>
        </w:rPr>
        <w:t>Noûs</w:t>
      </w:r>
      <w:r w:rsidRPr="00631B79">
        <w:t xml:space="preserve"> </w:t>
      </w:r>
      <w:r w:rsidRPr="00631B79">
        <w:rPr>
          <w:b/>
        </w:rPr>
        <w:t>35</w:t>
      </w:r>
      <w:r w:rsidRPr="00631B79">
        <w:t>(4): 477-514.</w:t>
      </w:r>
      <w:r w:rsidR="00846D0E">
        <w:fldChar w:fldCharType="end"/>
      </w:r>
    </w:p>
    <w:p w14:paraId="1E602D9D" w14:textId="77777777" w:rsidR="00B7580D" w:rsidRPr="00773A7B" w:rsidRDefault="00B7580D" w:rsidP="00B7580D">
      <w:pPr>
        <w:pStyle w:val="EndNoteBibliography"/>
        <w:spacing w:after="0"/>
        <w:ind w:left="720" w:hanging="720"/>
      </w:pPr>
      <w:r w:rsidRPr="00773A7B">
        <w:t xml:space="preserve">Rysiew, P. (2007). "Speaking of Knowing." </w:t>
      </w:r>
      <w:r w:rsidRPr="00773A7B">
        <w:rPr>
          <w:u w:val="single"/>
        </w:rPr>
        <w:t>Noûs</w:t>
      </w:r>
      <w:r w:rsidRPr="00773A7B">
        <w:t xml:space="preserve"> </w:t>
      </w:r>
      <w:r w:rsidRPr="00773A7B">
        <w:rPr>
          <w:b/>
        </w:rPr>
        <w:t>41</w:t>
      </w:r>
      <w:r w:rsidRPr="00773A7B">
        <w:t xml:space="preserve">(4): 627-662. </w:t>
      </w:r>
    </w:p>
    <w:p w14:paraId="155FB560" w14:textId="204BD339" w:rsidR="006B0E4E" w:rsidRDefault="006564FF" w:rsidP="00410AD9">
      <w:pPr>
        <w:pStyle w:val="EndNoteBibliography"/>
        <w:ind w:left="720" w:hanging="720"/>
        <w:contextualSpacing/>
      </w:pPr>
      <w:r>
        <w:t xml:space="preserve">Stanley, J. (2005). “Fallibilism and Concessive Knowledge Attributions.” </w:t>
      </w:r>
      <w:r>
        <w:rPr>
          <w:u w:val="single"/>
        </w:rPr>
        <w:t>Analysis</w:t>
      </w:r>
      <w:r>
        <w:t xml:space="preserve"> </w:t>
      </w:r>
      <w:r w:rsidR="002426AF">
        <w:rPr>
          <w:b/>
          <w:bCs/>
        </w:rPr>
        <w:t>65</w:t>
      </w:r>
      <w:r w:rsidR="00410AD9">
        <w:t>(286): 126-131.</w:t>
      </w:r>
    </w:p>
    <w:p w14:paraId="17F2F106" w14:textId="316A0450" w:rsidR="00E1308C" w:rsidRPr="00E1308C" w:rsidRDefault="00E1308C" w:rsidP="00410AD9">
      <w:pPr>
        <w:pStyle w:val="EndNoteBibliography"/>
        <w:ind w:left="720" w:hanging="720"/>
        <w:contextualSpacing/>
      </w:pPr>
      <w:r>
        <w:t xml:space="preserve">Unger, P. (1984). </w:t>
      </w:r>
      <w:r>
        <w:rPr>
          <w:u w:val="single"/>
        </w:rPr>
        <w:t>Philosophical Relativity</w:t>
      </w:r>
      <w:r>
        <w:t>. Minneapolis, University of Minnesota Press.</w:t>
      </w:r>
    </w:p>
    <w:p w14:paraId="6EF72088" w14:textId="311E3816" w:rsidR="00020C21" w:rsidRPr="002426AF" w:rsidRDefault="00020C21" w:rsidP="00020C21">
      <w:pPr>
        <w:pStyle w:val="EndNoteBibliography"/>
        <w:spacing w:after="0"/>
        <w:ind w:left="720" w:hanging="720"/>
      </w:pPr>
      <w:r w:rsidRPr="00773A7B">
        <w:t xml:space="preserve">Weiner, M. (2006). "Are All Conversational Implicatures Cancellable?" </w:t>
      </w:r>
      <w:r w:rsidRPr="00773A7B">
        <w:rPr>
          <w:u w:val="single"/>
        </w:rPr>
        <w:t>Analysis</w:t>
      </w:r>
      <w:r w:rsidRPr="00773A7B">
        <w:t xml:space="preserve"> </w:t>
      </w:r>
      <w:r w:rsidRPr="00773A7B">
        <w:rPr>
          <w:b/>
        </w:rPr>
        <w:t>66</w:t>
      </w:r>
      <w:r w:rsidRPr="00773A7B">
        <w:t xml:space="preserve">(2): 127-130. </w:t>
      </w:r>
    </w:p>
    <w:sectPr w:rsidR="00020C21" w:rsidRPr="002426A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D204" w14:textId="77777777" w:rsidR="004F38D5" w:rsidRDefault="004F38D5" w:rsidP="00B336FD">
      <w:pPr>
        <w:spacing w:after="0" w:line="240" w:lineRule="auto"/>
      </w:pPr>
      <w:r>
        <w:separator/>
      </w:r>
    </w:p>
  </w:endnote>
  <w:endnote w:type="continuationSeparator" w:id="0">
    <w:p w14:paraId="5852A348" w14:textId="77777777" w:rsidR="004F38D5" w:rsidRDefault="004F38D5" w:rsidP="00B336FD">
      <w:pPr>
        <w:spacing w:after="0" w:line="240" w:lineRule="auto"/>
      </w:pPr>
      <w:r>
        <w:continuationSeparator/>
      </w:r>
    </w:p>
  </w:endnote>
  <w:endnote w:type="continuationNotice" w:id="1">
    <w:p w14:paraId="6EBE0897" w14:textId="77777777" w:rsidR="004F38D5" w:rsidRDefault="004F3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16433"/>
      <w:docPartObj>
        <w:docPartGallery w:val="Page Numbers (Bottom of Page)"/>
        <w:docPartUnique/>
      </w:docPartObj>
    </w:sdtPr>
    <w:sdtEndPr>
      <w:rPr>
        <w:noProof/>
      </w:rPr>
    </w:sdtEndPr>
    <w:sdtContent>
      <w:p w14:paraId="1B3CCE56" w14:textId="3C03D88E" w:rsidR="00E314FC" w:rsidRDefault="00E314FC">
        <w:pPr>
          <w:pStyle w:val="Footer"/>
          <w:jc w:val="center"/>
        </w:pPr>
        <w:r>
          <w:fldChar w:fldCharType="begin"/>
        </w:r>
        <w:r>
          <w:instrText xml:space="preserve"> PAGE   \* MERGEFORMAT </w:instrText>
        </w:r>
        <w:r>
          <w:fldChar w:fldCharType="separate"/>
        </w:r>
        <w:r w:rsidR="001953AF">
          <w:rPr>
            <w:noProof/>
          </w:rPr>
          <w:t>9</w:t>
        </w:r>
        <w:r>
          <w:rPr>
            <w:noProof/>
          </w:rPr>
          <w:fldChar w:fldCharType="end"/>
        </w:r>
      </w:p>
    </w:sdtContent>
  </w:sdt>
  <w:p w14:paraId="16AC8C8E" w14:textId="77777777" w:rsidR="00E314FC" w:rsidRDefault="00E3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9667" w14:textId="77777777" w:rsidR="004F38D5" w:rsidRDefault="004F38D5" w:rsidP="00B336FD">
      <w:pPr>
        <w:spacing w:after="0" w:line="240" w:lineRule="auto"/>
      </w:pPr>
      <w:r>
        <w:separator/>
      </w:r>
    </w:p>
  </w:footnote>
  <w:footnote w:type="continuationSeparator" w:id="0">
    <w:p w14:paraId="66A1579C" w14:textId="77777777" w:rsidR="004F38D5" w:rsidRDefault="004F38D5" w:rsidP="00B336FD">
      <w:pPr>
        <w:spacing w:after="0" w:line="240" w:lineRule="auto"/>
      </w:pPr>
      <w:r>
        <w:continuationSeparator/>
      </w:r>
    </w:p>
  </w:footnote>
  <w:footnote w:type="continuationNotice" w:id="1">
    <w:p w14:paraId="767F89B6" w14:textId="77777777" w:rsidR="004F38D5" w:rsidRDefault="004F38D5">
      <w:pPr>
        <w:spacing w:after="0" w:line="240" w:lineRule="auto"/>
      </w:pPr>
    </w:p>
  </w:footnote>
  <w:footnote w:id="2">
    <w:p w14:paraId="23C77CEA" w14:textId="4EBD1252" w:rsidR="00B336FD" w:rsidRDefault="00B336FD" w:rsidP="00B336FD">
      <w:pPr>
        <w:pStyle w:val="FootnoteText"/>
      </w:pPr>
      <w:r>
        <w:rPr>
          <w:rStyle w:val="FootnoteReference"/>
        </w:rPr>
        <w:footnoteRef/>
      </w:r>
      <w:r>
        <w:t xml:space="preserve"> Concessive knowledge attributions are </w:t>
      </w:r>
      <w:r w:rsidR="004A24A4">
        <w:t>like</w:t>
      </w:r>
      <w:r>
        <w:t xml:space="preserve"> abominable conjunctions.</w:t>
      </w:r>
      <w:r w:rsidR="00511AD3">
        <w:t xml:space="preserve">  </w:t>
      </w:r>
      <w:r>
        <w:t xml:space="preserve">An abominable conjunction says a subject knows </w:t>
      </w:r>
      <w:r w:rsidR="00331C46">
        <w:t xml:space="preserve">that </w:t>
      </w:r>
      <w:r>
        <w:t>a proposition is true but does not know a proposition that is obviously entailed by the allegedly known proposition.</w:t>
      </w:r>
      <w:r w:rsidR="00511AD3">
        <w:t xml:space="preserve">  </w:t>
      </w:r>
      <w:r>
        <w:t>Here is an abominable conjunction: “I know that I have hands but I do not know that I am not a handless brain-in-a-vat.”</w:t>
      </w:r>
      <w:r w:rsidR="00511AD3">
        <w:t xml:space="preserve">  </w:t>
      </w:r>
      <w:r>
        <w:t xml:space="preserve">Abominable conjunctions arise from denying the principle that knowledge is closed under known entailment, while concessive knowledge attributions do not—at least not </w:t>
      </w:r>
      <w:r w:rsidR="00D50362">
        <w:t xml:space="preserve">as </w:t>
      </w:r>
      <w:r>
        <w:t>obviously.</w:t>
      </w:r>
    </w:p>
  </w:footnote>
  <w:footnote w:id="3">
    <w:p w14:paraId="370FDF9F" w14:textId="337E98EF" w:rsidR="00B336FD" w:rsidRDefault="00B336FD" w:rsidP="00B336FD">
      <w:pPr>
        <w:pStyle w:val="FootnoteText"/>
      </w:pPr>
      <w:r>
        <w:rPr>
          <w:rStyle w:val="FootnoteReference"/>
        </w:rPr>
        <w:footnoteRef/>
      </w:r>
      <w:r>
        <w:t xml:space="preserve"> It would not be the first time a zoo disguised a mule </w:t>
      </w:r>
      <w:r w:rsidR="00F87B51">
        <w:t>as</w:t>
      </w:r>
      <w:r>
        <w:t xml:space="preserve"> a zebra: </w:t>
      </w:r>
      <w:hyperlink r:id="rId1" w:history="1">
        <w:r w:rsidRPr="00C53424">
          <w:rPr>
            <w:rStyle w:val="Hyperlink"/>
          </w:rPr>
          <w:t>http://news.bbc.co.uk/2/hi/8297812.stm</w:t>
        </w:r>
      </w:hyperlink>
      <w:r>
        <w:t xml:space="preserve">. </w:t>
      </w:r>
    </w:p>
  </w:footnote>
  <w:footnote w:id="4">
    <w:p w14:paraId="70436C35" w14:textId="5ED9C5FD" w:rsidR="00440232" w:rsidRDefault="00440232">
      <w:pPr>
        <w:pStyle w:val="FootnoteText"/>
      </w:pPr>
      <w:r>
        <w:rPr>
          <w:rStyle w:val="FootnoteReference"/>
        </w:rPr>
        <w:footnoteRef/>
      </w:r>
      <w:r>
        <w:t xml:space="preserve"> </w:t>
      </w:r>
      <w:r w:rsidR="001B2F3E">
        <w:t xml:space="preserve">Another possibility, advanced by Brown (2018) and considered below, is that </w:t>
      </w:r>
      <w:r w:rsidR="00BA1543">
        <w:t xml:space="preserve">a certain kind of </w:t>
      </w:r>
      <w:r w:rsidR="001B2F3E">
        <w:t xml:space="preserve">concessive knowledge attribution sometimes </w:t>
      </w:r>
      <w:r w:rsidR="00BA1543">
        <w:t>is felicitous. I consider Brown’s account separately</w:t>
      </w:r>
      <w:r w:rsidR="005E0266">
        <w:t>, below.</w:t>
      </w:r>
      <w:r w:rsidR="001B2F3E">
        <w:t xml:space="preserve"> </w:t>
      </w:r>
    </w:p>
  </w:footnote>
  <w:footnote w:id="5">
    <w:p w14:paraId="3994C497" w14:textId="21848DA8" w:rsidR="00715AF0" w:rsidRDefault="00715AF0">
      <w:pPr>
        <w:pStyle w:val="FootnoteText"/>
      </w:pPr>
      <w:r>
        <w:rPr>
          <w:rStyle w:val="FootnoteReference"/>
        </w:rPr>
        <w:footnoteRef/>
      </w:r>
      <w:r>
        <w:t xml:space="preserve"> </w:t>
      </w:r>
      <w:r w:rsidR="00A20EDA">
        <w:t xml:space="preserve">Regarding a closely-related issue, </w:t>
      </w:r>
      <w:r>
        <w:t>Unger (</w:t>
      </w:r>
      <w:r w:rsidR="0042335C">
        <w:t>1984</w:t>
      </w:r>
      <w:r>
        <w:t>) argued</w:t>
      </w:r>
      <w:r w:rsidR="00A20EDA">
        <w:t xml:space="preserve"> </w:t>
      </w:r>
      <w:r>
        <w:t xml:space="preserve">that </w:t>
      </w:r>
      <w:r w:rsidR="00E8401E">
        <w:t>semantic and pragmatic explanations available to epistemic contextualists and invariantists turn out to be structurally identical</w:t>
      </w:r>
      <w:r w:rsidR="00E37296">
        <w:t>. If true, th</w:t>
      </w:r>
      <w:r w:rsidR="00F8348F">
        <w:t xml:space="preserve">at </w:t>
      </w:r>
      <w:r w:rsidR="0012652D">
        <w:t>may seem</w:t>
      </w:r>
      <w:r w:rsidR="00F8348F">
        <w:t xml:space="preserve"> </w:t>
      </w:r>
      <w:r w:rsidR="0012652D">
        <w:t xml:space="preserve">to </w:t>
      </w:r>
      <w:r w:rsidR="00F8348F">
        <w:t xml:space="preserve">undermine my claim that the ‘contradictory’ explanation is simpler. </w:t>
      </w:r>
      <w:r w:rsidR="0012652D">
        <w:t>But Unger’s claim applies only to</w:t>
      </w:r>
      <w:r w:rsidR="00CA11CE">
        <w:t xml:space="preserve"> a whole view, not a small part of it</w:t>
      </w:r>
      <w:r w:rsidR="0012652D">
        <w:t>.</w:t>
      </w:r>
      <w:r w:rsidR="00CA11CE">
        <w:t xml:space="preserve"> It is still true that the simpler explanation of why concessive knowledge attributions sound contradictory</w:t>
      </w:r>
      <w:r w:rsidR="000F0DFD">
        <w:t xml:space="preserve"> is that they are contradictory, and that puts </w:t>
      </w:r>
      <w:r w:rsidR="005A2118">
        <w:t xml:space="preserve">the burden of evidence </w:t>
      </w:r>
      <w:r w:rsidR="000F0DFD">
        <w:t xml:space="preserve">on </w:t>
      </w:r>
      <w:r w:rsidR="00BB5731">
        <w:t>those</w:t>
      </w:r>
      <w:r w:rsidR="00897150">
        <w:t xml:space="preserve"> who would like to defend an alternative.</w:t>
      </w:r>
    </w:p>
  </w:footnote>
  <w:footnote w:id="6">
    <w:p w14:paraId="703C86D5" w14:textId="0F323E61" w:rsidR="008A3072" w:rsidRDefault="008A3072">
      <w:pPr>
        <w:pStyle w:val="FootnoteText"/>
      </w:pPr>
      <w:r>
        <w:rPr>
          <w:rStyle w:val="FootnoteReference"/>
        </w:rPr>
        <w:footnoteRef/>
      </w:r>
      <w:r>
        <w:t xml:space="preserve"> A third option is that pursued by Stanley (2005), who argues that concessive knowledge attributions are often false, but they do not express the fallibilist position anyway, so their typical falsity does not </w:t>
      </w:r>
      <w:r w:rsidR="006564FF">
        <w:t>undermine fallibilism.</w:t>
      </w:r>
      <w:r w:rsidR="0079463D">
        <w:t xml:space="preserve"> His view is not a pragmatic explanation of the apparent contradictoriness of concessive knowledge attributions, so I leave it aside.</w:t>
      </w:r>
    </w:p>
  </w:footnote>
  <w:footnote w:id="7">
    <w:p w14:paraId="3C399136" w14:textId="193245C3" w:rsidR="00631B79" w:rsidRDefault="00631B79">
      <w:pPr>
        <w:pStyle w:val="FootnoteText"/>
      </w:pPr>
      <w:r>
        <w:rPr>
          <w:rStyle w:val="FootnoteReference"/>
        </w:rPr>
        <w:footnoteRef/>
      </w:r>
      <w:r>
        <w:t xml:space="preserve"> Rysiew </w:t>
      </w:r>
      <w:r>
        <w:fldChar w:fldCharType="begin"/>
      </w:r>
      <w:r>
        <w:instrText xml:space="preserve"> ADDIN EN.CITE &lt;EndNote&gt;&lt;Cite ExcludeAuth="1"&gt;&lt;Author&gt;Rysiew&lt;/Author&gt;&lt;Year&gt;2001&lt;/Year&gt;&lt;RecNum&gt;622&lt;/RecNum&gt;&lt;DisplayText&gt;(2001)&lt;/DisplayText&gt;&lt;record&gt;&lt;rec-number&gt;622&lt;/rec-number&gt;&lt;foreign-keys&gt;&lt;key app="EN" db-id="fdfxp9d5i5rvabetvd055ar3wafrxaz9evr2" timestamp="1421095603"&gt;622&lt;/key&gt;&lt;/foreign-keys&gt;&lt;ref-type name="Journal Article"&gt;17&lt;/ref-type&gt;&lt;contributors&gt;&lt;authors&gt;&lt;author&gt;Rysiew, Patrick&lt;/author&gt;&lt;/authors&gt;&lt;/contributors&gt;&lt;titles&gt;&lt;title&gt;The Context-Sensitivity of Knowledge Attributions&lt;/title&gt;&lt;secondary-title&gt;Noûs&lt;/secondary-title&gt;&lt;/titles&gt;&lt;periodical&gt;&lt;full-title&gt;Noûs&lt;/full-title&gt;&lt;abbr-1&gt;Noûs&lt;/abbr-1&gt;&lt;abbr-2&gt;Noûs&lt;/abbr-2&gt;&lt;/periodical&gt;&lt;pages&gt;477-514&lt;/pages&gt;&lt;volume&gt;35&lt;/volume&gt;&lt;number&gt;4&lt;/number&gt;&lt;dates&gt;&lt;year&gt;2001&lt;/year&gt;&lt;/dates&gt;&lt;publisher&gt;Blackwell Publishers, Inc.&lt;/publisher&gt;&lt;isbn&gt;1468-0068&lt;/isbn&gt;&lt;urls&gt;&lt;related-urls&gt;&lt;url&gt;http://dx.doi.org/10.1111/0029-4624.00349&lt;/url&gt;&lt;/related-urls&gt;&lt;/urls&gt;&lt;electronic-resource-num&gt;10.1111/0029-4624.00349&lt;/electronic-resource-num&gt;&lt;/record&gt;&lt;/Cite&gt;&lt;/EndNote&gt;</w:instrText>
      </w:r>
      <w:r>
        <w:fldChar w:fldCharType="separate"/>
      </w:r>
      <w:r>
        <w:rPr>
          <w:noProof/>
        </w:rPr>
        <w:t>(2001)</w:t>
      </w:r>
      <w:r>
        <w:fldChar w:fldCharType="end"/>
      </w:r>
      <w:r>
        <w:t xml:space="preserve"> </w:t>
      </w:r>
      <w:r w:rsidR="004F16B7">
        <w:t>sketches the view detailed in</w:t>
      </w:r>
      <w:r>
        <w:t xml:space="preserve"> the two cited Dougherty and Rysiew papers</w:t>
      </w:r>
      <w:r w:rsidR="004F16B7">
        <w:t>, one of which</w:t>
      </w:r>
      <w:r>
        <w:t xml:space="preserve"> was written as a reply to a criticism by </w:t>
      </w:r>
      <w:r>
        <w:fldChar w:fldCharType="begin"/>
      </w:r>
      <w:r w:rsidR="00474EBC">
        <w:instrText xml:space="preserve"> ADDIN EN.CITE &lt;EndNote&gt;&lt;Cite AuthorYear="1"&gt;&lt;Author&gt;Dodd&lt;/Author&gt;&lt;Year&gt;2010&lt;/Year&gt;&lt;RecNum&gt;799&lt;/RecNum&gt;&lt;DisplayText&gt;(Dodd, 2010)&lt;/DisplayText&gt;&lt;record&gt;&lt;rec-number&gt;799&lt;/rec-number&gt;&lt;foreign-keys&gt;&lt;key app="EN" db-id="fdfxp9d5i5rvabetvd055ar3wafrxaz9evr2" timestamp="1448300452"&gt;799&lt;/key&gt;&lt;/foreign-keys&gt;&lt;ref-type name="Journal Article"&gt;17&lt;/ref-type&gt;&lt;contributors&gt;&lt;authors&gt;&lt;author&gt;Dodd, Dylan&lt;/author&gt;&lt;/authors&gt;&lt;/contributors&gt;&lt;titles&gt;&lt;title&gt;Confusion about Concessive Knowledge Attributions&lt;/title&gt;&lt;secondary-title&gt;Synthese&lt;/secondary-title&gt;&lt;/titles&gt;&lt;periodical&gt;&lt;full-title&gt;Synthese&lt;/full-title&gt;&lt;abbr-1&gt;Synthese&lt;/abbr-1&gt;&lt;abbr-2&gt;Synthese&lt;/abbr-2&gt;&lt;/periodical&gt;&lt;pages&gt;381-396&lt;/pages&gt;&lt;volume&gt;172&lt;/volume&gt;&lt;number&gt;3&lt;/number&gt;&lt;dates&gt;&lt;year&gt;2010&lt;/year&gt;&lt;/dates&gt;&lt;publisher&gt;Springer&lt;/publisher&gt;&lt;isbn&gt;00397857, 15730964&lt;/isbn&gt;&lt;urls&gt;&lt;related-urls&gt;&lt;url&gt;http://www.jstor.org/stable/40496047&lt;/url&gt;&lt;/related-urls&gt;&lt;/urls&gt;&lt;custom1&gt;Full publication date: Feb., 2010&lt;/custom1&gt;&lt;/record&gt;&lt;/Cite&gt;&lt;/EndNote&gt;</w:instrText>
      </w:r>
      <w:r>
        <w:fldChar w:fldCharType="separate"/>
      </w:r>
      <w:r w:rsidR="00474EBC">
        <w:rPr>
          <w:noProof/>
        </w:rPr>
        <w:t xml:space="preserve">Dodd </w:t>
      </w:r>
      <w:r w:rsidR="005710FD">
        <w:rPr>
          <w:noProof/>
        </w:rPr>
        <w:t>(</w:t>
      </w:r>
      <w:r w:rsidR="00474EBC">
        <w:rPr>
          <w:noProof/>
        </w:rPr>
        <w:t>2010)</w:t>
      </w:r>
      <w:r>
        <w:fldChar w:fldCharType="end"/>
      </w:r>
      <w:r>
        <w:t>.</w:t>
      </w:r>
      <w:r w:rsidR="00027F16">
        <w:t xml:space="preserve"> The basic structure of all the pragmatic proposals is set in Rysiew (2001), with other philosophers altering the details to suit their own views of knowledge and knowledge attributions.</w:t>
      </w:r>
    </w:p>
  </w:footnote>
  <w:footnote w:id="8">
    <w:p w14:paraId="7C1EB158" w14:textId="6FC7D494" w:rsidR="006F3409" w:rsidRDefault="006F3409">
      <w:pPr>
        <w:pStyle w:val="FootnoteText"/>
      </w:pPr>
      <w:r>
        <w:rPr>
          <w:rStyle w:val="FootnoteReference"/>
        </w:rPr>
        <w:footnoteRef/>
      </w:r>
      <w:r>
        <w:t xml:space="preserve"> That is Grice’s maxim of quantity.</w:t>
      </w:r>
    </w:p>
  </w:footnote>
  <w:footnote w:id="9">
    <w:p w14:paraId="07B0D4C2" w14:textId="59949529" w:rsidR="00C95FA6" w:rsidRDefault="00C95FA6">
      <w:pPr>
        <w:pStyle w:val="FootnoteText"/>
      </w:pPr>
      <w:r>
        <w:rPr>
          <w:rStyle w:val="FootnoteReference"/>
        </w:rPr>
        <w:footnoteRef/>
      </w:r>
      <w:r>
        <w:t xml:space="preserve"> </w:t>
      </w:r>
      <w:r w:rsidR="00B234B1">
        <w:t>Acknowledgement removed for review.</w:t>
      </w:r>
    </w:p>
  </w:footnote>
  <w:footnote w:id="10">
    <w:p w14:paraId="702BF866" w14:textId="49F2C494" w:rsidR="00081564" w:rsidRDefault="00081564">
      <w:pPr>
        <w:pStyle w:val="FootnoteText"/>
      </w:pPr>
      <w:r>
        <w:rPr>
          <w:rStyle w:val="FootnoteReference"/>
        </w:rPr>
        <w:footnoteRef/>
      </w:r>
      <w:r>
        <w:t xml:space="preserve"> Cf. DeRose (1999)</w:t>
      </w:r>
    </w:p>
  </w:footnote>
  <w:footnote w:id="11">
    <w:p w14:paraId="6AF552D2" w14:textId="4EAEB948" w:rsidR="00670B77" w:rsidRDefault="00670B77">
      <w:pPr>
        <w:pStyle w:val="FootnoteText"/>
      </w:pPr>
      <w:r>
        <w:rPr>
          <w:rStyle w:val="FootnoteReference"/>
        </w:rPr>
        <w:footnoteRef/>
      </w:r>
      <w:r>
        <w:t xml:space="preserve"> </w:t>
      </w:r>
      <w:r w:rsidR="00DF7974">
        <w:t xml:space="preserve">Implicatures are typically cancelable, even if there is some controversy as to the limits of cancelability as </w:t>
      </w:r>
      <w:r w:rsidR="002824E8">
        <w:t>a test for whether a content is implicated</w:t>
      </w:r>
      <w:r w:rsidR="0052481D">
        <w:t xml:space="preserve"> rather than expressed</w:t>
      </w:r>
      <w:r w:rsidR="002824E8">
        <w:t xml:space="preserve">. </w:t>
      </w:r>
      <w:r w:rsidR="00C91BB1">
        <w:t>Cf. Blome-Tillman (2008), Davis (2007), Hazlett (2009), and Weiner (2006). In any case, fallibilists hoping to offer a pragmatic explanation of the apparent infelicity of concessive knowledge attributions</w:t>
      </w:r>
      <w:r w:rsidR="001A6C86">
        <w:t xml:space="preserve"> </w:t>
      </w:r>
      <w:r w:rsidR="00E46467">
        <w:t>should want</w:t>
      </w:r>
      <w:r w:rsidR="001A6C86">
        <w:t xml:space="preserve"> their account to be as close to the paradigm as possible.</w:t>
      </w:r>
    </w:p>
  </w:footnote>
  <w:footnote w:id="12">
    <w:p w14:paraId="073B9B37" w14:textId="21557468" w:rsidR="00C804A9" w:rsidRDefault="00C804A9">
      <w:pPr>
        <w:pStyle w:val="FootnoteText"/>
      </w:pPr>
      <w:r>
        <w:rPr>
          <w:rStyle w:val="FootnoteReference"/>
        </w:rPr>
        <w:footnoteRef/>
      </w:r>
      <w:r>
        <w:t xml:space="preserve"> Brown cites Greco (2013) as defending the heuristic view of knowledge attributions, but the pragmatic account of concessive knowledge attributions built o</w:t>
      </w:r>
      <w:r w:rsidR="00AC52D2">
        <w:t>n that foundation is hers.</w:t>
      </w:r>
    </w:p>
  </w:footnote>
  <w:footnote w:id="13">
    <w:p w14:paraId="3C344101" w14:textId="28D1FAD9" w:rsidR="006F4DDC" w:rsidRDefault="006F4DDC">
      <w:pPr>
        <w:pStyle w:val="FootnoteText"/>
      </w:pPr>
      <w:r>
        <w:rPr>
          <w:rStyle w:val="FootnoteReference"/>
        </w:rPr>
        <w:footnoteRef/>
      </w:r>
      <w:r>
        <w:t xml:space="preserve"> The proposal put forward by Brown is very similar to that </w:t>
      </w:r>
      <w:r w:rsidR="00284E52">
        <w:t>of</w:t>
      </w:r>
      <w:r>
        <w:t xml:space="preserve"> Fantl and McGrath </w:t>
      </w:r>
      <w:r w:rsidR="001C7878">
        <w:t xml:space="preserve">(2009). The key difference is that Fantl and McGrath </w:t>
      </w:r>
      <w:r w:rsidR="003C23DE">
        <w:t xml:space="preserve">claim that which possibilities are </w:t>
      </w:r>
      <w:r w:rsidR="00381309">
        <w:t xml:space="preserve">implicated to not obtain are those that are significant, </w:t>
      </w:r>
      <w:r w:rsidR="00284E52">
        <w:t>where</w:t>
      </w:r>
      <w:r w:rsidR="00381309">
        <w:t xml:space="preserve"> significance is affected by practical stakes. So, the possibilities that are implicated to not obtain on Fantl and McGrath’s account are a subset of those that are implicated to not obtain on </w:t>
      </w:r>
      <w:r w:rsidR="00454EE5">
        <w:t>Brown’s account. Brown’s qualification of the Fantl-McGrath proposal is intended to avoid their impurism.</w:t>
      </w:r>
      <w:r w:rsidR="00EB425A">
        <w:t xml:space="preserve"> </w:t>
      </w:r>
    </w:p>
  </w:footnote>
  <w:footnote w:id="14">
    <w:p w14:paraId="5AF58FF6" w14:textId="26B58DD6" w:rsidR="00B67ED8" w:rsidRDefault="00B67ED8">
      <w:pPr>
        <w:pStyle w:val="FootnoteText"/>
      </w:pPr>
      <w:r>
        <w:rPr>
          <w:rStyle w:val="FootnoteReference"/>
        </w:rPr>
        <w:footnoteRef/>
      </w:r>
      <w:r>
        <w:t xml:space="preserve"> It should </w:t>
      </w:r>
      <w:r w:rsidR="00B72E63">
        <w:t>be noted</w:t>
      </w:r>
      <w:r>
        <w:t xml:space="preserve"> that </w:t>
      </w:r>
      <w:r w:rsidR="00625395">
        <w:t>Brown’s</w:t>
      </w:r>
      <w:r>
        <w:t xml:space="preserve"> </w:t>
      </w:r>
      <w:r w:rsidR="00CE21CE">
        <w:t>claim</w:t>
      </w:r>
      <w:r>
        <w:t xml:space="preserve"> implies that </w:t>
      </w:r>
      <w:r w:rsidR="00582A2D">
        <w:t>this principle is false: “If S knows that p, then S’s epistemic position with respect to p is sufficient to act as if p.”</w:t>
      </w:r>
    </w:p>
  </w:footnote>
  <w:footnote w:id="15">
    <w:p w14:paraId="4B0FBFD3" w14:textId="7C3CC6AB" w:rsidR="00F14A6C" w:rsidRDefault="00F14A6C">
      <w:pPr>
        <w:pStyle w:val="FootnoteText"/>
      </w:pPr>
      <w:r>
        <w:rPr>
          <w:rStyle w:val="FootnoteReference"/>
        </w:rPr>
        <w:footnoteRef/>
      </w:r>
      <w:r>
        <w:t xml:space="preserve"> This objection, and the argument that follows, also apply to cases presented in Rysiew (</w:t>
      </w:r>
      <w:r w:rsidR="007330F8">
        <w:t>2001).</w:t>
      </w:r>
    </w:p>
  </w:footnote>
  <w:footnote w:id="16">
    <w:p w14:paraId="12167ACC" w14:textId="0FF7949A" w:rsidR="007351DA" w:rsidRDefault="007351DA">
      <w:pPr>
        <w:pStyle w:val="FootnoteText"/>
      </w:pPr>
      <w:r>
        <w:rPr>
          <w:rStyle w:val="FootnoteReference"/>
        </w:rPr>
        <w:footnoteRef/>
      </w:r>
      <w:r>
        <w:t xml:space="preserve"> I am indebted to an anonymous reviewer for </w:t>
      </w:r>
      <w:r w:rsidR="00DF7565">
        <w:t>encouraging more detailed argument in support of this point.</w:t>
      </w:r>
    </w:p>
  </w:footnote>
  <w:footnote w:id="17">
    <w:p w14:paraId="77856CEB" w14:textId="0830BCE9" w:rsidR="0007337B" w:rsidRPr="00802C16" w:rsidRDefault="0007337B">
      <w:pPr>
        <w:pStyle w:val="FootnoteText"/>
      </w:pPr>
      <w:r>
        <w:rPr>
          <w:rStyle w:val="FootnoteReference"/>
        </w:rPr>
        <w:footnoteRef/>
      </w:r>
      <w:r>
        <w:t xml:space="preserve"> To </w:t>
      </w:r>
      <w:r w:rsidR="00440630">
        <w:t xml:space="preserve">press the point: lots of speech that is easily recognized as false passes uncritically as acceptable, even true: hyperbole, loose talk, and metaphor are </w:t>
      </w:r>
      <w:r w:rsidR="00B24190">
        <w:t xml:space="preserve">uncontroversial </w:t>
      </w:r>
      <w:r w:rsidR="00440630">
        <w:t>examples of this.</w:t>
      </w:r>
    </w:p>
  </w:footnote>
  <w:footnote w:id="18">
    <w:p w14:paraId="7AE50927" w14:textId="41BD8D20" w:rsidR="00035F70" w:rsidRDefault="00035F70">
      <w:pPr>
        <w:pStyle w:val="FootnoteText"/>
      </w:pPr>
      <w:r>
        <w:rPr>
          <w:rStyle w:val="FootnoteReference"/>
        </w:rPr>
        <w:footnoteRef/>
      </w:r>
      <w:r>
        <w:t xml:space="preserve"> Another way of putting this point: it is unclear whether the possibility-clauses are genuine assertions rather than mere (unserious) utterances. This will be evaluated in what follows.</w:t>
      </w:r>
    </w:p>
  </w:footnote>
  <w:footnote w:id="19">
    <w:p w14:paraId="5BF3FE9C" w14:textId="2136CB14" w:rsidR="007F1CA5" w:rsidRDefault="007F1CA5">
      <w:pPr>
        <w:pStyle w:val="FootnoteText"/>
      </w:pPr>
      <w:r>
        <w:rPr>
          <w:rStyle w:val="FootnoteReference"/>
        </w:rPr>
        <w:footnoteRef/>
      </w:r>
      <w:r>
        <w:t xml:space="preserve"> There are different reasons why the possibility-clauses in (7)-(10) do not express genuine possibilities. (7) and (8) mention logical impossibilities, while (9) and (10) mention logically possible scenarios that typical speakers in typical circumstances presume to know are false. I thank the reviewer for encouraging clarification on this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D9BA" w14:textId="77777777" w:rsidR="00504166" w:rsidRDefault="00504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E348E"/>
    <w:multiLevelType w:val="hybridMultilevel"/>
    <w:tmpl w:val="CF7A0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164E7"/>
    <w:multiLevelType w:val="hybridMultilevel"/>
    <w:tmpl w:val="BF48D446"/>
    <w:lvl w:ilvl="0" w:tplc="F238F9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E397A"/>
    <w:multiLevelType w:val="hybridMultilevel"/>
    <w:tmpl w:val="3B7EDEEC"/>
    <w:lvl w:ilvl="0" w:tplc="401CF7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81BA3"/>
    <w:multiLevelType w:val="hybridMultilevel"/>
    <w:tmpl w:val="EF308A36"/>
    <w:lvl w:ilvl="0" w:tplc="FD1238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6612071">
    <w:abstractNumId w:val="0"/>
  </w:num>
  <w:num w:numId="2" w16cid:durableId="1534463647">
    <w:abstractNumId w:val="1"/>
  </w:num>
  <w:num w:numId="3" w16cid:durableId="699282615">
    <w:abstractNumId w:val="2"/>
  </w:num>
  <w:num w:numId="4" w16cid:durableId="78592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BNT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85F61"/>
    <w:rsid w:val="000059ED"/>
    <w:rsid w:val="00020C21"/>
    <w:rsid w:val="00021AE9"/>
    <w:rsid w:val="00025DAB"/>
    <w:rsid w:val="00027F16"/>
    <w:rsid w:val="000314BD"/>
    <w:rsid w:val="00033FAB"/>
    <w:rsid w:val="000343C2"/>
    <w:rsid w:val="00035F70"/>
    <w:rsid w:val="0005100E"/>
    <w:rsid w:val="00053BA1"/>
    <w:rsid w:val="00054644"/>
    <w:rsid w:val="000574C0"/>
    <w:rsid w:val="00060947"/>
    <w:rsid w:val="00061E65"/>
    <w:rsid w:val="0006201A"/>
    <w:rsid w:val="00063A9E"/>
    <w:rsid w:val="00063D19"/>
    <w:rsid w:val="000658B4"/>
    <w:rsid w:val="00065A81"/>
    <w:rsid w:val="0007337B"/>
    <w:rsid w:val="0007602C"/>
    <w:rsid w:val="00081564"/>
    <w:rsid w:val="00096116"/>
    <w:rsid w:val="00096F46"/>
    <w:rsid w:val="000A03A5"/>
    <w:rsid w:val="000A06B5"/>
    <w:rsid w:val="000A12AB"/>
    <w:rsid w:val="000A7B9D"/>
    <w:rsid w:val="000B2F28"/>
    <w:rsid w:val="000C4474"/>
    <w:rsid w:val="000C6A0E"/>
    <w:rsid w:val="000D306A"/>
    <w:rsid w:val="000D5AAA"/>
    <w:rsid w:val="000E49BD"/>
    <w:rsid w:val="000E50C7"/>
    <w:rsid w:val="000F0DFD"/>
    <w:rsid w:val="00100061"/>
    <w:rsid w:val="00105F6F"/>
    <w:rsid w:val="0011047A"/>
    <w:rsid w:val="00111E71"/>
    <w:rsid w:val="0011562B"/>
    <w:rsid w:val="0012294C"/>
    <w:rsid w:val="0012652D"/>
    <w:rsid w:val="00126C38"/>
    <w:rsid w:val="001331CA"/>
    <w:rsid w:val="0013366E"/>
    <w:rsid w:val="00135EB1"/>
    <w:rsid w:val="00137775"/>
    <w:rsid w:val="00142AA8"/>
    <w:rsid w:val="00147EAE"/>
    <w:rsid w:val="0015257C"/>
    <w:rsid w:val="00155D33"/>
    <w:rsid w:val="0016035E"/>
    <w:rsid w:val="00164C05"/>
    <w:rsid w:val="00165A38"/>
    <w:rsid w:val="00171353"/>
    <w:rsid w:val="001758A1"/>
    <w:rsid w:val="001831E1"/>
    <w:rsid w:val="001953AF"/>
    <w:rsid w:val="001970D2"/>
    <w:rsid w:val="001A4262"/>
    <w:rsid w:val="001A44EC"/>
    <w:rsid w:val="001A4AEE"/>
    <w:rsid w:val="001A6C86"/>
    <w:rsid w:val="001B2F3E"/>
    <w:rsid w:val="001B6460"/>
    <w:rsid w:val="001C4499"/>
    <w:rsid w:val="001C7878"/>
    <w:rsid w:val="001D00D3"/>
    <w:rsid w:val="001D1078"/>
    <w:rsid w:val="001D6E05"/>
    <w:rsid w:val="001E3455"/>
    <w:rsid w:val="001E39B6"/>
    <w:rsid w:val="001E72A1"/>
    <w:rsid w:val="001F32A8"/>
    <w:rsid w:val="001F493A"/>
    <w:rsid w:val="00202601"/>
    <w:rsid w:val="002041CB"/>
    <w:rsid w:val="0020518F"/>
    <w:rsid w:val="00221C83"/>
    <w:rsid w:val="002275C1"/>
    <w:rsid w:val="00236653"/>
    <w:rsid w:val="00240BD4"/>
    <w:rsid w:val="002426AF"/>
    <w:rsid w:val="0024337A"/>
    <w:rsid w:val="00244CFB"/>
    <w:rsid w:val="00252429"/>
    <w:rsid w:val="00252C9B"/>
    <w:rsid w:val="002602AF"/>
    <w:rsid w:val="0026415D"/>
    <w:rsid w:val="00266A67"/>
    <w:rsid w:val="0027103B"/>
    <w:rsid w:val="002811AD"/>
    <w:rsid w:val="002824E8"/>
    <w:rsid w:val="00283870"/>
    <w:rsid w:val="00284D2E"/>
    <w:rsid w:val="00284E52"/>
    <w:rsid w:val="00285931"/>
    <w:rsid w:val="00292F71"/>
    <w:rsid w:val="00294241"/>
    <w:rsid w:val="00295277"/>
    <w:rsid w:val="0029739E"/>
    <w:rsid w:val="002A1F60"/>
    <w:rsid w:val="002B0AFF"/>
    <w:rsid w:val="002B0B02"/>
    <w:rsid w:val="002B517F"/>
    <w:rsid w:val="002C2EB2"/>
    <w:rsid w:val="002C6425"/>
    <w:rsid w:val="002C7693"/>
    <w:rsid w:val="002D0102"/>
    <w:rsid w:val="002D456F"/>
    <w:rsid w:val="002D558B"/>
    <w:rsid w:val="002E2AFA"/>
    <w:rsid w:val="002E61C2"/>
    <w:rsid w:val="002E75FA"/>
    <w:rsid w:val="002F5662"/>
    <w:rsid w:val="002F72E0"/>
    <w:rsid w:val="00303FCB"/>
    <w:rsid w:val="00310158"/>
    <w:rsid w:val="0031494A"/>
    <w:rsid w:val="00317127"/>
    <w:rsid w:val="00322841"/>
    <w:rsid w:val="003264D9"/>
    <w:rsid w:val="00331C46"/>
    <w:rsid w:val="00332BD4"/>
    <w:rsid w:val="00342CA4"/>
    <w:rsid w:val="00351AC4"/>
    <w:rsid w:val="00353740"/>
    <w:rsid w:val="00353E7A"/>
    <w:rsid w:val="00354896"/>
    <w:rsid w:val="003607B5"/>
    <w:rsid w:val="00366CEA"/>
    <w:rsid w:val="0037307F"/>
    <w:rsid w:val="003759A6"/>
    <w:rsid w:val="00376745"/>
    <w:rsid w:val="00381309"/>
    <w:rsid w:val="003844A4"/>
    <w:rsid w:val="00392DC9"/>
    <w:rsid w:val="00395D32"/>
    <w:rsid w:val="003A0BAF"/>
    <w:rsid w:val="003B0380"/>
    <w:rsid w:val="003C23DE"/>
    <w:rsid w:val="003C34AC"/>
    <w:rsid w:val="003C3B5C"/>
    <w:rsid w:val="003C6F26"/>
    <w:rsid w:val="003D1FCB"/>
    <w:rsid w:val="003D473B"/>
    <w:rsid w:val="003D6274"/>
    <w:rsid w:val="003E0A7B"/>
    <w:rsid w:val="003E0D04"/>
    <w:rsid w:val="003E56EA"/>
    <w:rsid w:val="00401031"/>
    <w:rsid w:val="0040126B"/>
    <w:rsid w:val="00402426"/>
    <w:rsid w:val="004031F8"/>
    <w:rsid w:val="00404E3A"/>
    <w:rsid w:val="00410AD9"/>
    <w:rsid w:val="004200C3"/>
    <w:rsid w:val="004200F9"/>
    <w:rsid w:val="0042102B"/>
    <w:rsid w:val="0042335C"/>
    <w:rsid w:val="00426E2E"/>
    <w:rsid w:val="00427386"/>
    <w:rsid w:val="004310C5"/>
    <w:rsid w:val="0043376B"/>
    <w:rsid w:val="0043484C"/>
    <w:rsid w:val="00440232"/>
    <w:rsid w:val="00440630"/>
    <w:rsid w:val="00442AA3"/>
    <w:rsid w:val="00447241"/>
    <w:rsid w:val="00450F8A"/>
    <w:rsid w:val="00451552"/>
    <w:rsid w:val="00451DE4"/>
    <w:rsid w:val="00454EE5"/>
    <w:rsid w:val="00457053"/>
    <w:rsid w:val="00461931"/>
    <w:rsid w:val="00465AA4"/>
    <w:rsid w:val="00474EBC"/>
    <w:rsid w:val="004760AD"/>
    <w:rsid w:val="00485A95"/>
    <w:rsid w:val="00490DF0"/>
    <w:rsid w:val="004969FB"/>
    <w:rsid w:val="004A24A4"/>
    <w:rsid w:val="004A2E6E"/>
    <w:rsid w:val="004B2C94"/>
    <w:rsid w:val="004B76FF"/>
    <w:rsid w:val="004C1345"/>
    <w:rsid w:val="004C70B1"/>
    <w:rsid w:val="004D4C97"/>
    <w:rsid w:val="004E1C41"/>
    <w:rsid w:val="004E48FC"/>
    <w:rsid w:val="004F16B7"/>
    <w:rsid w:val="004F38D5"/>
    <w:rsid w:val="004F38FD"/>
    <w:rsid w:val="00504166"/>
    <w:rsid w:val="005043E3"/>
    <w:rsid w:val="005117C4"/>
    <w:rsid w:val="00511AD3"/>
    <w:rsid w:val="0051758F"/>
    <w:rsid w:val="00517CE0"/>
    <w:rsid w:val="00521532"/>
    <w:rsid w:val="0052481D"/>
    <w:rsid w:val="00535B98"/>
    <w:rsid w:val="005370C4"/>
    <w:rsid w:val="00545666"/>
    <w:rsid w:val="005649DD"/>
    <w:rsid w:val="005710FD"/>
    <w:rsid w:val="0058057B"/>
    <w:rsid w:val="00582A2D"/>
    <w:rsid w:val="0058340F"/>
    <w:rsid w:val="00587379"/>
    <w:rsid w:val="005875B4"/>
    <w:rsid w:val="0058793D"/>
    <w:rsid w:val="0059077A"/>
    <w:rsid w:val="005911C4"/>
    <w:rsid w:val="00596B4E"/>
    <w:rsid w:val="005A0DEC"/>
    <w:rsid w:val="005A2118"/>
    <w:rsid w:val="005A37D0"/>
    <w:rsid w:val="005A4EE5"/>
    <w:rsid w:val="005A6083"/>
    <w:rsid w:val="005B2F31"/>
    <w:rsid w:val="005B3B87"/>
    <w:rsid w:val="005C2599"/>
    <w:rsid w:val="005C2C8C"/>
    <w:rsid w:val="005C7D2A"/>
    <w:rsid w:val="005D0B92"/>
    <w:rsid w:val="005D426E"/>
    <w:rsid w:val="005E01E1"/>
    <w:rsid w:val="005E0266"/>
    <w:rsid w:val="005E02A0"/>
    <w:rsid w:val="005E4AA6"/>
    <w:rsid w:val="005E58E5"/>
    <w:rsid w:val="005E5994"/>
    <w:rsid w:val="005F32A2"/>
    <w:rsid w:val="005F3BE8"/>
    <w:rsid w:val="005F6F20"/>
    <w:rsid w:val="006117B4"/>
    <w:rsid w:val="006174E5"/>
    <w:rsid w:val="00622ABC"/>
    <w:rsid w:val="00625395"/>
    <w:rsid w:val="00626FE4"/>
    <w:rsid w:val="006318D6"/>
    <w:rsid w:val="00631B79"/>
    <w:rsid w:val="00632213"/>
    <w:rsid w:val="006335FD"/>
    <w:rsid w:val="00634C9F"/>
    <w:rsid w:val="00637C8F"/>
    <w:rsid w:val="00645B4A"/>
    <w:rsid w:val="00645F79"/>
    <w:rsid w:val="006507CE"/>
    <w:rsid w:val="006550B0"/>
    <w:rsid w:val="0065518D"/>
    <w:rsid w:val="006564FF"/>
    <w:rsid w:val="0065716D"/>
    <w:rsid w:val="00663409"/>
    <w:rsid w:val="00666EBD"/>
    <w:rsid w:val="00667113"/>
    <w:rsid w:val="006704DD"/>
    <w:rsid w:val="006704F4"/>
    <w:rsid w:val="00670733"/>
    <w:rsid w:val="00670B77"/>
    <w:rsid w:val="00670DD8"/>
    <w:rsid w:val="00672B0F"/>
    <w:rsid w:val="006776BD"/>
    <w:rsid w:val="006966D3"/>
    <w:rsid w:val="006B0E4E"/>
    <w:rsid w:val="006B3294"/>
    <w:rsid w:val="006B56B0"/>
    <w:rsid w:val="006C02F1"/>
    <w:rsid w:val="006C4128"/>
    <w:rsid w:val="006C42E3"/>
    <w:rsid w:val="006C6CD0"/>
    <w:rsid w:val="006D0A12"/>
    <w:rsid w:val="006D6B03"/>
    <w:rsid w:val="006D7412"/>
    <w:rsid w:val="006D748C"/>
    <w:rsid w:val="006E071F"/>
    <w:rsid w:val="006E0A74"/>
    <w:rsid w:val="006E2317"/>
    <w:rsid w:val="006F0E44"/>
    <w:rsid w:val="006F15FB"/>
    <w:rsid w:val="006F3409"/>
    <w:rsid w:val="006F4DDC"/>
    <w:rsid w:val="006F675A"/>
    <w:rsid w:val="007047A3"/>
    <w:rsid w:val="00705C35"/>
    <w:rsid w:val="00710F93"/>
    <w:rsid w:val="00712F0D"/>
    <w:rsid w:val="00715344"/>
    <w:rsid w:val="00715AA6"/>
    <w:rsid w:val="00715AF0"/>
    <w:rsid w:val="00722B16"/>
    <w:rsid w:val="00724FEC"/>
    <w:rsid w:val="00731E20"/>
    <w:rsid w:val="00732A63"/>
    <w:rsid w:val="007330F8"/>
    <w:rsid w:val="00733F98"/>
    <w:rsid w:val="00733FF5"/>
    <w:rsid w:val="007351DA"/>
    <w:rsid w:val="0074066E"/>
    <w:rsid w:val="0074784E"/>
    <w:rsid w:val="00750109"/>
    <w:rsid w:val="00754747"/>
    <w:rsid w:val="0075579A"/>
    <w:rsid w:val="00761E60"/>
    <w:rsid w:val="00763802"/>
    <w:rsid w:val="007641FD"/>
    <w:rsid w:val="007700C4"/>
    <w:rsid w:val="0077671D"/>
    <w:rsid w:val="00786289"/>
    <w:rsid w:val="00791358"/>
    <w:rsid w:val="00791C5E"/>
    <w:rsid w:val="007928CF"/>
    <w:rsid w:val="00793E38"/>
    <w:rsid w:val="0079463D"/>
    <w:rsid w:val="007978E3"/>
    <w:rsid w:val="007A1A50"/>
    <w:rsid w:val="007A53E6"/>
    <w:rsid w:val="007B3495"/>
    <w:rsid w:val="007B41A3"/>
    <w:rsid w:val="007C0A83"/>
    <w:rsid w:val="007C3CB7"/>
    <w:rsid w:val="007C6099"/>
    <w:rsid w:val="007C69F6"/>
    <w:rsid w:val="007C7881"/>
    <w:rsid w:val="007C7F90"/>
    <w:rsid w:val="007D7C5F"/>
    <w:rsid w:val="007E143D"/>
    <w:rsid w:val="007E17AF"/>
    <w:rsid w:val="007E69A9"/>
    <w:rsid w:val="007F1CA5"/>
    <w:rsid w:val="007F2EFD"/>
    <w:rsid w:val="007F65C4"/>
    <w:rsid w:val="00802C16"/>
    <w:rsid w:val="00802D4A"/>
    <w:rsid w:val="008030A7"/>
    <w:rsid w:val="00812607"/>
    <w:rsid w:val="00815BD2"/>
    <w:rsid w:val="00816F09"/>
    <w:rsid w:val="008218AC"/>
    <w:rsid w:val="00821ED0"/>
    <w:rsid w:val="008305C1"/>
    <w:rsid w:val="00830A2F"/>
    <w:rsid w:val="00832579"/>
    <w:rsid w:val="00834A95"/>
    <w:rsid w:val="00837EAA"/>
    <w:rsid w:val="00842285"/>
    <w:rsid w:val="0084698A"/>
    <w:rsid w:val="00846D0E"/>
    <w:rsid w:val="00870447"/>
    <w:rsid w:val="0087276A"/>
    <w:rsid w:val="0087429D"/>
    <w:rsid w:val="00875F59"/>
    <w:rsid w:val="00881D2B"/>
    <w:rsid w:val="00882816"/>
    <w:rsid w:val="00882CA3"/>
    <w:rsid w:val="00883402"/>
    <w:rsid w:val="00893B22"/>
    <w:rsid w:val="00897150"/>
    <w:rsid w:val="008972A8"/>
    <w:rsid w:val="008A3072"/>
    <w:rsid w:val="008A5AB6"/>
    <w:rsid w:val="008B5A8B"/>
    <w:rsid w:val="008B72D0"/>
    <w:rsid w:val="008C157E"/>
    <w:rsid w:val="008C45B2"/>
    <w:rsid w:val="008D147D"/>
    <w:rsid w:val="008D3CB9"/>
    <w:rsid w:val="008D7968"/>
    <w:rsid w:val="008E06A3"/>
    <w:rsid w:val="008E486B"/>
    <w:rsid w:val="008E7B39"/>
    <w:rsid w:val="008F0AC1"/>
    <w:rsid w:val="008F123E"/>
    <w:rsid w:val="00900214"/>
    <w:rsid w:val="0090743F"/>
    <w:rsid w:val="00910CA8"/>
    <w:rsid w:val="00916289"/>
    <w:rsid w:val="00917158"/>
    <w:rsid w:val="00933E80"/>
    <w:rsid w:val="00936185"/>
    <w:rsid w:val="00945545"/>
    <w:rsid w:val="009506A8"/>
    <w:rsid w:val="00951513"/>
    <w:rsid w:val="0095392F"/>
    <w:rsid w:val="00962145"/>
    <w:rsid w:val="009738B9"/>
    <w:rsid w:val="00976B12"/>
    <w:rsid w:val="009808B7"/>
    <w:rsid w:val="0098712B"/>
    <w:rsid w:val="00987424"/>
    <w:rsid w:val="00991895"/>
    <w:rsid w:val="009A081C"/>
    <w:rsid w:val="009A2C9A"/>
    <w:rsid w:val="009A5CBF"/>
    <w:rsid w:val="009A6A17"/>
    <w:rsid w:val="009B752B"/>
    <w:rsid w:val="009C44E8"/>
    <w:rsid w:val="009C5357"/>
    <w:rsid w:val="009C5725"/>
    <w:rsid w:val="009D2CD1"/>
    <w:rsid w:val="009F56C5"/>
    <w:rsid w:val="00A031EB"/>
    <w:rsid w:val="00A122D3"/>
    <w:rsid w:val="00A15800"/>
    <w:rsid w:val="00A160A3"/>
    <w:rsid w:val="00A20717"/>
    <w:rsid w:val="00A20EDA"/>
    <w:rsid w:val="00A216EC"/>
    <w:rsid w:val="00A23882"/>
    <w:rsid w:val="00A277B4"/>
    <w:rsid w:val="00A35948"/>
    <w:rsid w:val="00A36F15"/>
    <w:rsid w:val="00A40F72"/>
    <w:rsid w:val="00A41EC0"/>
    <w:rsid w:val="00A45092"/>
    <w:rsid w:val="00A53C32"/>
    <w:rsid w:val="00A71DD2"/>
    <w:rsid w:val="00A733DC"/>
    <w:rsid w:val="00A80915"/>
    <w:rsid w:val="00A81C88"/>
    <w:rsid w:val="00A95CBE"/>
    <w:rsid w:val="00A97165"/>
    <w:rsid w:val="00AA04BD"/>
    <w:rsid w:val="00AA4C26"/>
    <w:rsid w:val="00AA5699"/>
    <w:rsid w:val="00AA5C94"/>
    <w:rsid w:val="00AA707D"/>
    <w:rsid w:val="00AB00D1"/>
    <w:rsid w:val="00AB10FF"/>
    <w:rsid w:val="00AB1E1B"/>
    <w:rsid w:val="00AB4AFC"/>
    <w:rsid w:val="00AC4F84"/>
    <w:rsid w:val="00AC52D2"/>
    <w:rsid w:val="00AC7FAA"/>
    <w:rsid w:val="00AD0E5B"/>
    <w:rsid w:val="00AD14E6"/>
    <w:rsid w:val="00AD50B8"/>
    <w:rsid w:val="00AD583D"/>
    <w:rsid w:val="00AF27B0"/>
    <w:rsid w:val="00AF30CB"/>
    <w:rsid w:val="00AF6E8D"/>
    <w:rsid w:val="00B0403D"/>
    <w:rsid w:val="00B10108"/>
    <w:rsid w:val="00B10D45"/>
    <w:rsid w:val="00B10D91"/>
    <w:rsid w:val="00B11834"/>
    <w:rsid w:val="00B13985"/>
    <w:rsid w:val="00B234B1"/>
    <w:rsid w:val="00B23524"/>
    <w:rsid w:val="00B24190"/>
    <w:rsid w:val="00B24442"/>
    <w:rsid w:val="00B31B05"/>
    <w:rsid w:val="00B336FD"/>
    <w:rsid w:val="00B33C82"/>
    <w:rsid w:val="00B34709"/>
    <w:rsid w:val="00B34AAD"/>
    <w:rsid w:val="00B353B0"/>
    <w:rsid w:val="00B370D4"/>
    <w:rsid w:val="00B47211"/>
    <w:rsid w:val="00B4734A"/>
    <w:rsid w:val="00B529AC"/>
    <w:rsid w:val="00B62A3A"/>
    <w:rsid w:val="00B643D3"/>
    <w:rsid w:val="00B671BD"/>
    <w:rsid w:val="00B67432"/>
    <w:rsid w:val="00B67ED8"/>
    <w:rsid w:val="00B7002F"/>
    <w:rsid w:val="00B71F5E"/>
    <w:rsid w:val="00B72E63"/>
    <w:rsid w:val="00B73721"/>
    <w:rsid w:val="00B751E5"/>
    <w:rsid w:val="00B7580D"/>
    <w:rsid w:val="00B811BA"/>
    <w:rsid w:val="00B85F61"/>
    <w:rsid w:val="00B920A0"/>
    <w:rsid w:val="00B9421F"/>
    <w:rsid w:val="00BA0140"/>
    <w:rsid w:val="00BA0C4E"/>
    <w:rsid w:val="00BA1543"/>
    <w:rsid w:val="00BA2367"/>
    <w:rsid w:val="00BA2484"/>
    <w:rsid w:val="00BB0912"/>
    <w:rsid w:val="00BB0B87"/>
    <w:rsid w:val="00BB15EA"/>
    <w:rsid w:val="00BB4C67"/>
    <w:rsid w:val="00BB5731"/>
    <w:rsid w:val="00BC672F"/>
    <w:rsid w:val="00BD2A30"/>
    <w:rsid w:val="00BD653B"/>
    <w:rsid w:val="00BD6A10"/>
    <w:rsid w:val="00BD7538"/>
    <w:rsid w:val="00BE1B05"/>
    <w:rsid w:val="00BE71C6"/>
    <w:rsid w:val="00BF04ED"/>
    <w:rsid w:val="00BF2485"/>
    <w:rsid w:val="00BF404C"/>
    <w:rsid w:val="00BF7033"/>
    <w:rsid w:val="00BF7CF3"/>
    <w:rsid w:val="00C06677"/>
    <w:rsid w:val="00C14ACA"/>
    <w:rsid w:val="00C14EB5"/>
    <w:rsid w:val="00C1602A"/>
    <w:rsid w:val="00C16036"/>
    <w:rsid w:val="00C17582"/>
    <w:rsid w:val="00C24467"/>
    <w:rsid w:val="00C25909"/>
    <w:rsid w:val="00C306EC"/>
    <w:rsid w:val="00C30FCC"/>
    <w:rsid w:val="00C35616"/>
    <w:rsid w:val="00C373B2"/>
    <w:rsid w:val="00C41369"/>
    <w:rsid w:val="00C47491"/>
    <w:rsid w:val="00C47D8B"/>
    <w:rsid w:val="00C51A3C"/>
    <w:rsid w:val="00C56111"/>
    <w:rsid w:val="00C57595"/>
    <w:rsid w:val="00C6147E"/>
    <w:rsid w:val="00C614F9"/>
    <w:rsid w:val="00C804A9"/>
    <w:rsid w:val="00C81AB7"/>
    <w:rsid w:val="00C84325"/>
    <w:rsid w:val="00C91099"/>
    <w:rsid w:val="00C91BB1"/>
    <w:rsid w:val="00C9465D"/>
    <w:rsid w:val="00C951BF"/>
    <w:rsid w:val="00C957CD"/>
    <w:rsid w:val="00C95FA6"/>
    <w:rsid w:val="00CA11CE"/>
    <w:rsid w:val="00CA2921"/>
    <w:rsid w:val="00CA741C"/>
    <w:rsid w:val="00CA7A0B"/>
    <w:rsid w:val="00CC6946"/>
    <w:rsid w:val="00CD073B"/>
    <w:rsid w:val="00CD09C8"/>
    <w:rsid w:val="00CD394F"/>
    <w:rsid w:val="00CD3C9C"/>
    <w:rsid w:val="00CD6C2D"/>
    <w:rsid w:val="00CE21CE"/>
    <w:rsid w:val="00CE2DEC"/>
    <w:rsid w:val="00CE34BF"/>
    <w:rsid w:val="00CE5475"/>
    <w:rsid w:val="00CE6BB0"/>
    <w:rsid w:val="00CE7D59"/>
    <w:rsid w:val="00CF13D5"/>
    <w:rsid w:val="00CF1FA7"/>
    <w:rsid w:val="00D03E7E"/>
    <w:rsid w:val="00D070E0"/>
    <w:rsid w:val="00D336A6"/>
    <w:rsid w:val="00D34F3E"/>
    <w:rsid w:val="00D37C01"/>
    <w:rsid w:val="00D41041"/>
    <w:rsid w:val="00D42348"/>
    <w:rsid w:val="00D50362"/>
    <w:rsid w:val="00D50EA4"/>
    <w:rsid w:val="00D61C44"/>
    <w:rsid w:val="00D62335"/>
    <w:rsid w:val="00D66FE7"/>
    <w:rsid w:val="00D76EFA"/>
    <w:rsid w:val="00D775E4"/>
    <w:rsid w:val="00D86164"/>
    <w:rsid w:val="00D9047C"/>
    <w:rsid w:val="00D96BD4"/>
    <w:rsid w:val="00DA3DA7"/>
    <w:rsid w:val="00DB4EA9"/>
    <w:rsid w:val="00DC3E0A"/>
    <w:rsid w:val="00DC530F"/>
    <w:rsid w:val="00DD4E35"/>
    <w:rsid w:val="00DD5E74"/>
    <w:rsid w:val="00DD6EED"/>
    <w:rsid w:val="00DE01E9"/>
    <w:rsid w:val="00DE08F5"/>
    <w:rsid w:val="00DE0CE6"/>
    <w:rsid w:val="00DE1E82"/>
    <w:rsid w:val="00DF01AF"/>
    <w:rsid w:val="00DF0453"/>
    <w:rsid w:val="00DF479E"/>
    <w:rsid w:val="00DF7565"/>
    <w:rsid w:val="00DF7974"/>
    <w:rsid w:val="00E057A3"/>
    <w:rsid w:val="00E05CFD"/>
    <w:rsid w:val="00E12FEC"/>
    <w:rsid w:val="00E1308C"/>
    <w:rsid w:val="00E13B89"/>
    <w:rsid w:val="00E249E7"/>
    <w:rsid w:val="00E27C10"/>
    <w:rsid w:val="00E314FC"/>
    <w:rsid w:val="00E330A3"/>
    <w:rsid w:val="00E37296"/>
    <w:rsid w:val="00E46467"/>
    <w:rsid w:val="00E50FA3"/>
    <w:rsid w:val="00E521D1"/>
    <w:rsid w:val="00E54C1E"/>
    <w:rsid w:val="00E55502"/>
    <w:rsid w:val="00E57A48"/>
    <w:rsid w:val="00E601C5"/>
    <w:rsid w:val="00E6710C"/>
    <w:rsid w:val="00E705A0"/>
    <w:rsid w:val="00E77044"/>
    <w:rsid w:val="00E8401E"/>
    <w:rsid w:val="00E84791"/>
    <w:rsid w:val="00E85393"/>
    <w:rsid w:val="00E910F2"/>
    <w:rsid w:val="00E930B8"/>
    <w:rsid w:val="00E963C1"/>
    <w:rsid w:val="00EA2BDB"/>
    <w:rsid w:val="00EA7474"/>
    <w:rsid w:val="00EB2419"/>
    <w:rsid w:val="00EB425A"/>
    <w:rsid w:val="00EB4291"/>
    <w:rsid w:val="00EB6DC1"/>
    <w:rsid w:val="00EB6FD3"/>
    <w:rsid w:val="00EB7DA6"/>
    <w:rsid w:val="00EC572B"/>
    <w:rsid w:val="00EC679A"/>
    <w:rsid w:val="00ED3DB9"/>
    <w:rsid w:val="00ED6815"/>
    <w:rsid w:val="00ED725D"/>
    <w:rsid w:val="00EE5280"/>
    <w:rsid w:val="00EE53A8"/>
    <w:rsid w:val="00EE5740"/>
    <w:rsid w:val="00EF2BBC"/>
    <w:rsid w:val="00EF32CC"/>
    <w:rsid w:val="00EF7188"/>
    <w:rsid w:val="00F012BA"/>
    <w:rsid w:val="00F07D57"/>
    <w:rsid w:val="00F10476"/>
    <w:rsid w:val="00F14A6C"/>
    <w:rsid w:val="00F15EA9"/>
    <w:rsid w:val="00F43224"/>
    <w:rsid w:val="00F46F21"/>
    <w:rsid w:val="00F52BBF"/>
    <w:rsid w:val="00F56FE3"/>
    <w:rsid w:val="00F6080F"/>
    <w:rsid w:val="00F612CF"/>
    <w:rsid w:val="00F63633"/>
    <w:rsid w:val="00F63C38"/>
    <w:rsid w:val="00F646D4"/>
    <w:rsid w:val="00F64FF0"/>
    <w:rsid w:val="00F6523D"/>
    <w:rsid w:val="00F661FF"/>
    <w:rsid w:val="00F70E76"/>
    <w:rsid w:val="00F72091"/>
    <w:rsid w:val="00F812D7"/>
    <w:rsid w:val="00F82F27"/>
    <w:rsid w:val="00F8348F"/>
    <w:rsid w:val="00F838AF"/>
    <w:rsid w:val="00F8443B"/>
    <w:rsid w:val="00F86C1C"/>
    <w:rsid w:val="00F86D5A"/>
    <w:rsid w:val="00F87B51"/>
    <w:rsid w:val="00F907D2"/>
    <w:rsid w:val="00F917C7"/>
    <w:rsid w:val="00F94E65"/>
    <w:rsid w:val="00F95F95"/>
    <w:rsid w:val="00FA41AF"/>
    <w:rsid w:val="00FA457E"/>
    <w:rsid w:val="00FB2810"/>
    <w:rsid w:val="00FB4F67"/>
    <w:rsid w:val="00FB5D16"/>
    <w:rsid w:val="00FC4981"/>
    <w:rsid w:val="00FD1D4E"/>
    <w:rsid w:val="00FD3E86"/>
    <w:rsid w:val="00FD68CD"/>
    <w:rsid w:val="00FE2C2B"/>
    <w:rsid w:val="00FE621F"/>
    <w:rsid w:val="00FE641B"/>
    <w:rsid w:val="00FF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B2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FD"/>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15800"/>
    <w:pPr>
      <w:spacing w:before="200"/>
      <w:ind w:left="864" w:right="864"/>
    </w:pPr>
    <w:rPr>
      <w:iCs/>
      <w:color w:val="404040" w:themeColor="text1" w:themeTint="BF"/>
    </w:rPr>
  </w:style>
  <w:style w:type="character" w:customStyle="1" w:styleId="QuoteChar">
    <w:name w:val="Quote Char"/>
    <w:basedOn w:val="DefaultParagraphFont"/>
    <w:link w:val="Quote"/>
    <w:uiPriority w:val="29"/>
    <w:rsid w:val="00A15800"/>
    <w:rPr>
      <w:rFonts w:ascii="Times New Roman" w:hAnsi="Times New Roman"/>
      <w:iCs/>
      <w:color w:val="404040" w:themeColor="text1" w:themeTint="BF"/>
      <w:sz w:val="24"/>
    </w:rPr>
  </w:style>
  <w:style w:type="character" w:styleId="Hyperlink">
    <w:name w:val="Hyperlink"/>
    <w:basedOn w:val="DefaultParagraphFont"/>
    <w:uiPriority w:val="99"/>
    <w:unhideWhenUsed/>
    <w:rsid w:val="00B336FD"/>
    <w:rPr>
      <w:color w:val="0563C1" w:themeColor="hyperlink"/>
      <w:u w:val="single"/>
    </w:rPr>
  </w:style>
  <w:style w:type="paragraph" w:styleId="FootnoteText">
    <w:name w:val="footnote text"/>
    <w:basedOn w:val="Normal"/>
    <w:link w:val="FootnoteTextChar"/>
    <w:uiPriority w:val="99"/>
    <w:unhideWhenUsed/>
    <w:rsid w:val="00B336FD"/>
    <w:pPr>
      <w:spacing w:after="0" w:line="240" w:lineRule="auto"/>
      <w:contextualSpacing/>
    </w:pPr>
    <w:rPr>
      <w:sz w:val="20"/>
      <w:szCs w:val="20"/>
    </w:rPr>
  </w:style>
  <w:style w:type="character" w:customStyle="1" w:styleId="FootnoteTextChar">
    <w:name w:val="Footnote Text Char"/>
    <w:basedOn w:val="DefaultParagraphFont"/>
    <w:link w:val="FootnoteText"/>
    <w:uiPriority w:val="99"/>
    <w:rsid w:val="00B336FD"/>
    <w:rPr>
      <w:rFonts w:ascii="Times New Roman" w:hAnsi="Times New Roman"/>
      <w:sz w:val="20"/>
      <w:szCs w:val="20"/>
    </w:rPr>
  </w:style>
  <w:style w:type="character" w:styleId="FootnoteReference">
    <w:name w:val="footnote reference"/>
    <w:basedOn w:val="DefaultParagraphFont"/>
    <w:uiPriority w:val="99"/>
    <w:semiHidden/>
    <w:unhideWhenUsed/>
    <w:rsid w:val="00B336FD"/>
    <w:rPr>
      <w:vertAlign w:val="superscript"/>
    </w:rPr>
  </w:style>
  <w:style w:type="character" w:styleId="CommentReference">
    <w:name w:val="annotation reference"/>
    <w:basedOn w:val="DefaultParagraphFont"/>
    <w:uiPriority w:val="99"/>
    <w:semiHidden/>
    <w:unhideWhenUsed/>
    <w:rsid w:val="00B336FD"/>
    <w:rPr>
      <w:sz w:val="16"/>
      <w:szCs w:val="16"/>
    </w:rPr>
  </w:style>
  <w:style w:type="paragraph" w:styleId="CommentText">
    <w:name w:val="annotation text"/>
    <w:basedOn w:val="Normal"/>
    <w:link w:val="CommentTextChar"/>
    <w:uiPriority w:val="99"/>
    <w:semiHidden/>
    <w:unhideWhenUsed/>
    <w:rsid w:val="00B336FD"/>
    <w:pPr>
      <w:spacing w:line="240" w:lineRule="auto"/>
    </w:pPr>
    <w:rPr>
      <w:sz w:val="20"/>
      <w:szCs w:val="20"/>
    </w:rPr>
  </w:style>
  <w:style w:type="character" w:customStyle="1" w:styleId="CommentTextChar">
    <w:name w:val="Comment Text Char"/>
    <w:basedOn w:val="DefaultParagraphFont"/>
    <w:link w:val="CommentText"/>
    <w:uiPriority w:val="99"/>
    <w:semiHidden/>
    <w:rsid w:val="00B336F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36FD"/>
    <w:rPr>
      <w:b/>
      <w:bCs/>
    </w:rPr>
  </w:style>
  <w:style w:type="character" w:customStyle="1" w:styleId="CommentSubjectChar">
    <w:name w:val="Comment Subject Char"/>
    <w:basedOn w:val="CommentTextChar"/>
    <w:link w:val="CommentSubject"/>
    <w:uiPriority w:val="99"/>
    <w:semiHidden/>
    <w:rsid w:val="00B336FD"/>
    <w:rPr>
      <w:rFonts w:ascii="Times New Roman" w:hAnsi="Times New Roman"/>
      <w:b/>
      <w:bCs/>
      <w:sz w:val="20"/>
      <w:szCs w:val="20"/>
    </w:rPr>
  </w:style>
  <w:style w:type="paragraph" w:styleId="BalloonText">
    <w:name w:val="Balloon Text"/>
    <w:basedOn w:val="Normal"/>
    <w:link w:val="BalloonTextChar"/>
    <w:uiPriority w:val="99"/>
    <w:semiHidden/>
    <w:unhideWhenUsed/>
    <w:rsid w:val="00B3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6FD"/>
    <w:rPr>
      <w:rFonts w:ascii="Segoe UI" w:hAnsi="Segoe UI" w:cs="Segoe UI"/>
      <w:sz w:val="18"/>
      <w:szCs w:val="18"/>
    </w:rPr>
  </w:style>
  <w:style w:type="paragraph" w:styleId="Header">
    <w:name w:val="header"/>
    <w:basedOn w:val="Normal"/>
    <w:link w:val="HeaderChar"/>
    <w:uiPriority w:val="99"/>
    <w:unhideWhenUsed/>
    <w:rsid w:val="000A0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3A5"/>
    <w:rPr>
      <w:rFonts w:ascii="Times New Roman" w:hAnsi="Times New Roman"/>
      <w:sz w:val="24"/>
    </w:rPr>
  </w:style>
  <w:style w:type="paragraph" w:styleId="Footer">
    <w:name w:val="footer"/>
    <w:basedOn w:val="Normal"/>
    <w:link w:val="FooterChar"/>
    <w:uiPriority w:val="99"/>
    <w:unhideWhenUsed/>
    <w:rsid w:val="000A0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3A5"/>
    <w:rPr>
      <w:rFonts w:ascii="Times New Roman" w:hAnsi="Times New Roman"/>
      <w:sz w:val="24"/>
    </w:rPr>
  </w:style>
  <w:style w:type="paragraph" w:styleId="ListParagraph">
    <w:name w:val="List Paragraph"/>
    <w:basedOn w:val="Normal"/>
    <w:uiPriority w:val="34"/>
    <w:qFormat/>
    <w:rsid w:val="006F3409"/>
    <w:pPr>
      <w:ind w:left="720"/>
      <w:contextualSpacing/>
    </w:pPr>
  </w:style>
  <w:style w:type="paragraph" w:customStyle="1" w:styleId="EndNoteBibliographyTitle">
    <w:name w:val="EndNote Bibliography Title"/>
    <w:basedOn w:val="Normal"/>
    <w:link w:val="EndNoteBibliographyTitleChar"/>
    <w:rsid w:val="00846D0E"/>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846D0E"/>
    <w:rPr>
      <w:rFonts w:ascii="Times New Roman" w:hAnsi="Times New Roman" w:cs="Times New Roman"/>
      <w:noProof/>
      <w:sz w:val="24"/>
    </w:rPr>
  </w:style>
  <w:style w:type="paragraph" w:customStyle="1" w:styleId="EndNoteBibliography">
    <w:name w:val="EndNote Bibliography"/>
    <w:basedOn w:val="Normal"/>
    <w:link w:val="EndNoteBibliographyChar"/>
    <w:rsid w:val="00846D0E"/>
    <w:pPr>
      <w:spacing w:line="240" w:lineRule="auto"/>
    </w:pPr>
    <w:rPr>
      <w:rFonts w:cs="Times New Roman"/>
      <w:noProof/>
    </w:rPr>
  </w:style>
  <w:style w:type="character" w:customStyle="1" w:styleId="EndNoteBibliographyChar">
    <w:name w:val="EndNote Bibliography Char"/>
    <w:basedOn w:val="DefaultParagraphFont"/>
    <w:link w:val="EndNoteBibliography"/>
    <w:rsid w:val="00846D0E"/>
    <w:rPr>
      <w:rFonts w:ascii="Times New Roman" w:hAnsi="Times New Roman" w:cs="Times New Roman"/>
      <w:noProof/>
      <w:sz w:val="24"/>
    </w:rPr>
  </w:style>
  <w:style w:type="character" w:styleId="FollowedHyperlink">
    <w:name w:val="FollowedHyperlink"/>
    <w:basedOn w:val="DefaultParagraphFont"/>
    <w:uiPriority w:val="99"/>
    <w:semiHidden/>
    <w:unhideWhenUsed/>
    <w:rsid w:val="00A277B4"/>
    <w:rPr>
      <w:color w:val="954F72" w:themeColor="followedHyperlink"/>
      <w:u w:val="single"/>
    </w:rPr>
  </w:style>
  <w:style w:type="paragraph" w:styleId="Revision">
    <w:name w:val="Revision"/>
    <w:hidden/>
    <w:uiPriority w:val="99"/>
    <w:semiHidden/>
    <w:rsid w:val="0050416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STOCKA-2&amp;proxyId=&amp;u=https%3A%2F%2Fdx.doi.org%2F10.1163%2F22105700-bja10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news.bbc.co.uk/2/hi/8297812.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6311-FCF0-46AE-98DE-BD988212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2021-03-30T16:56:00Z</dcterms:created>
  <dcterms:modified xsi:type="dcterms:W3CDTF">2022-06-14T14:02:00Z</dcterms:modified>
</cp:coreProperties>
</file>