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58BD" w14:textId="0284BE5D" w:rsidR="00E15FEC" w:rsidRDefault="00E15FEC" w:rsidP="00E15FEC">
      <w:r>
        <w:t xml:space="preserve">Final draft. Forthcoming in </w:t>
      </w:r>
      <w:r>
        <w:rPr>
          <w:u w:val="single"/>
        </w:rPr>
        <w:t>Skeptical Invariantism Reconsidered</w:t>
      </w:r>
      <w:r>
        <w:t>, eds. Christos Kyriacou and Kevin Wallbridge. Please cite the published version.</w:t>
      </w:r>
    </w:p>
    <w:p w14:paraId="2360CCBD" w14:textId="77777777" w:rsidR="00E15FEC" w:rsidRPr="00E15FEC" w:rsidRDefault="00E15FEC" w:rsidP="00E15FEC"/>
    <w:p w14:paraId="22F0AF2C" w14:textId="069E7581" w:rsidR="00F77A21" w:rsidRDefault="009E78D1" w:rsidP="009E78D1">
      <w:pPr>
        <w:jc w:val="center"/>
      </w:pPr>
      <w:r w:rsidRPr="009E78D1">
        <w:t>Skeptical Invariantism, Considered</w:t>
      </w:r>
    </w:p>
    <w:p w14:paraId="3AC5BEB5" w14:textId="48952504" w:rsidR="00DE6768" w:rsidRDefault="00DE6768" w:rsidP="00DE6768">
      <w:pPr>
        <w:jc w:val="center"/>
      </w:pPr>
      <w:r>
        <w:t>Gregory Stoutenburg</w:t>
      </w:r>
    </w:p>
    <w:p w14:paraId="299A466D" w14:textId="24E6D3CC" w:rsidR="00EB1670" w:rsidRPr="00F01118" w:rsidRDefault="00F01118" w:rsidP="00D820FB">
      <w:pPr>
        <w:pStyle w:val="Heading1"/>
      </w:pPr>
      <w:r>
        <w:t>Motivating Infallibilist Invariantism</w:t>
      </w:r>
    </w:p>
    <w:p w14:paraId="0F759C63" w14:textId="757413FE" w:rsidR="004A53E6" w:rsidRDefault="004F61C3" w:rsidP="009E78D1">
      <w:r>
        <w:t>Is there a good argument for skeptical invariantism?</w:t>
      </w:r>
    </w:p>
    <w:p w14:paraId="34EF5A2B" w14:textId="0C3A5387" w:rsidR="00707E1F" w:rsidRDefault="00117A65" w:rsidP="00C03396">
      <w:pPr>
        <w:ind w:firstLine="360"/>
      </w:pPr>
      <w:r>
        <w:t>Skimming</w:t>
      </w:r>
      <w:r w:rsidR="00707E1F">
        <w:t xml:space="preserve"> through the last few decades of literature </w:t>
      </w:r>
      <w:r>
        <w:t>on knowledge</w:t>
      </w:r>
      <w:r w:rsidR="00707E1F">
        <w:t xml:space="preserve"> leaves the </w:t>
      </w:r>
      <w:r w:rsidR="00557C38">
        <w:t>distinct impression that the following are data that must be explained by any theory of knowledge</w:t>
      </w:r>
      <w:r w:rsidR="0060653F">
        <w:t xml:space="preserve">, and </w:t>
      </w:r>
      <w:r w:rsidR="00C805D8">
        <w:t xml:space="preserve">being </w:t>
      </w:r>
      <w:r w:rsidR="0060653F">
        <w:t>the simplest available explanation</w:t>
      </w:r>
      <w:r w:rsidR="00AD4CA8">
        <w:t xml:space="preserve"> make</w:t>
      </w:r>
      <w:r w:rsidR="0060653F">
        <w:t>s</w:t>
      </w:r>
      <w:r w:rsidR="00AD4CA8">
        <w:t xml:space="preserve"> infallibilism look like the obvious choice</w:t>
      </w:r>
      <w:r w:rsidR="0060653F">
        <w:t>.</w:t>
      </w:r>
    </w:p>
    <w:p w14:paraId="45891BCC" w14:textId="2F2AC18B" w:rsidR="006D5EA5" w:rsidRDefault="00471DDE" w:rsidP="00901EC5">
      <w:pPr>
        <w:pStyle w:val="ListParagraph"/>
        <w:numPr>
          <w:ilvl w:val="0"/>
          <w:numId w:val="3"/>
        </w:numPr>
      </w:pPr>
      <w:r>
        <w:t xml:space="preserve">Knowledge attributions </w:t>
      </w:r>
      <w:r w:rsidR="00D028A4">
        <w:t>can be used to assure others that a proposition is true</w:t>
      </w:r>
      <w:r w:rsidR="00010FA4">
        <w:rPr>
          <w:rStyle w:val="FootnoteReference"/>
        </w:rPr>
        <w:footnoteReference w:id="1"/>
      </w:r>
      <w:r w:rsidR="00D028A4">
        <w:t xml:space="preserve"> </w:t>
      </w:r>
    </w:p>
    <w:p w14:paraId="5F642E24" w14:textId="47FA9D36" w:rsidR="004909F4" w:rsidRDefault="004909F4" w:rsidP="00901EC5">
      <w:pPr>
        <w:pStyle w:val="ListParagraph"/>
        <w:numPr>
          <w:ilvl w:val="0"/>
          <w:numId w:val="3"/>
        </w:numPr>
      </w:pPr>
      <w:r>
        <w:t xml:space="preserve">Knowledge is closed under known entailment </w:t>
      </w:r>
    </w:p>
    <w:p w14:paraId="0553760D" w14:textId="379C7E70" w:rsidR="001947AF" w:rsidRDefault="008C77BE" w:rsidP="00901EC5">
      <w:pPr>
        <w:pStyle w:val="ListParagraph"/>
        <w:numPr>
          <w:ilvl w:val="0"/>
          <w:numId w:val="3"/>
        </w:numPr>
      </w:pPr>
      <w:r>
        <w:t>Knowledge cannot be gained through</w:t>
      </w:r>
      <w:r w:rsidR="000241B0">
        <w:t xml:space="preserve"> merely</w:t>
      </w:r>
      <w:r>
        <w:t xml:space="preserve"> probabilistic inference </w:t>
      </w:r>
    </w:p>
    <w:p w14:paraId="10430FCE" w14:textId="77777777" w:rsidR="00711C40" w:rsidRDefault="00711C40" w:rsidP="00711C40">
      <w:pPr>
        <w:pStyle w:val="ListParagraph"/>
        <w:numPr>
          <w:ilvl w:val="0"/>
          <w:numId w:val="3"/>
        </w:numPr>
      </w:pPr>
      <w:r>
        <w:t>Knowledge is incompatible with luckily true belief</w:t>
      </w:r>
      <w:r>
        <w:rPr>
          <w:rStyle w:val="FootnoteReference"/>
        </w:rPr>
        <w:footnoteReference w:id="2"/>
      </w:r>
      <w:r>
        <w:t xml:space="preserve"> </w:t>
      </w:r>
    </w:p>
    <w:p w14:paraId="77C201B6" w14:textId="77777777" w:rsidR="00711C40" w:rsidRDefault="00711C40" w:rsidP="00711C40">
      <w:pPr>
        <w:pStyle w:val="ListParagraph"/>
        <w:numPr>
          <w:ilvl w:val="0"/>
          <w:numId w:val="3"/>
        </w:numPr>
      </w:pPr>
      <w:r>
        <w:t>Concessive knowledge attributions sound contradictory</w:t>
      </w:r>
      <w:r>
        <w:rPr>
          <w:rStyle w:val="FootnoteReference"/>
        </w:rPr>
        <w:footnoteReference w:id="3"/>
      </w:r>
      <w:r>
        <w:t xml:space="preserve"> </w:t>
      </w:r>
    </w:p>
    <w:p w14:paraId="304CC27F" w14:textId="00196CC5" w:rsidR="008C77BE" w:rsidRDefault="008C77BE" w:rsidP="00901EC5">
      <w:pPr>
        <w:pStyle w:val="ListParagraph"/>
        <w:numPr>
          <w:ilvl w:val="0"/>
          <w:numId w:val="3"/>
        </w:numPr>
      </w:pPr>
      <w:r>
        <w:t xml:space="preserve">Knowing that p entails </w:t>
      </w:r>
      <w:r w:rsidR="006C44DF">
        <w:t>that it is impossible that not-p</w:t>
      </w:r>
    </w:p>
    <w:p w14:paraId="5180894D" w14:textId="3521666E" w:rsidR="008C77BE" w:rsidRDefault="008C77BE" w:rsidP="00901EC5">
      <w:pPr>
        <w:pStyle w:val="ListParagraph"/>
        <w:numPr>
          <w:ilvl w:val="0"/>
          <w:numId w:val="3"/>
        </w:numPr>
      </w:pPr>
      <w:r>
        <w:t xml:space="preserve">It is very often appropriate to </w:t>
      </w:r>
      <w:r w:rsidR="0022127A">
        <w:t>attribute knowledge</w:t>
      </w:r>
      <w:r w:rsidR="00D60B67">
        <w:rPr>
          <w:rStyle w:val="FootnoteReference"/>
        </w:rPr>
        <w:footnoteReference w:id="4"/>
      </w:r>
    </w:p>
    <w:p w14:paraId="13C55AC1" w14:textId="346FE683" w:rsidR="0022127A" w:rsidRPr="00F01118" w:rsidRDefault="0022127A" w:rsidP="0022127A">
      <w:r>
        <w:t xml:space="preserve">The hypothesis that knowledge is infallible </w:t>
      </w:r>
      <w:r>
        <w:rPr>
          <w:i/>
          <w:iCs/>
        </w:rPr>
        <w:t xml:space="preserve">so easily </w:t>
      </w:r>
      <w:r>
        <w:t>explains</w:t>
      </w:r>
      <w:r w:rsidR="00C03396">
        <w:t xml:space="preserve"> </w:t>
      </w:r>
      <w:r w:rsidR="00687D24">
        <w:t>(</w:t>
      </w:r>
      <w:r w:rsidR="00C03396">
        <w:t>1</w:t>
      </w:r>
      <w:r w:rsidR="00687D24">
        <w:t>)</w:t>
      </w:r>
      <w:r w:rsidR="00C03396">
        <w:t>-</w:t>
      </w:r>
      <w:r w:rsidR="00687D24">
        <w:t>(</w:t>
      </w:r>
      <w:r w:rsidR="00C03396">
        <w:t>6</w:t>
      </w:r>
      <w:r w:rsidR="00687D24">
        <w:t>)</w:t>
      </w:r>
      <w:r w:rsidR="00C03396">
        <w:t>.</w:t>
      </w:r>
      <w:r w:rsidR="00114D81">
        <w:t xml:space="preserve"> </w:t>
      </w:r>
      <w:r w:rsidR="005A6674">
        <w:t>By “</w:t>
      </w:r>
      <w:r w:rsidR="003F0640">
        <w:t>knowledge is infallible</w:t>
      </w:r>
      <w:r w:rsidR="00095366">
        <w:t xml:space="preserve">”, I mean </w:t>
      </w:r>
      <w:r w:rsidR="002D61DA">
        <w:t xml:space="preserve">that </w:t>
      </w:r>
      <w:r w:rsidR="005B64E0">
        <w:t xml:space="preserve">S knowing that p </w:t>
      </w:r>
      <w:r w:rsidR="00125A30">
        <w:t>is the very same state as S believing that p with infallible justification. So</w:t>
      </w:r>
      <w:r w:rsidR="00B15306">
        <w:t>,</w:t>
      </w:r>
      <w:r w:rsidR="00125A30">
        <w:t xml:space="preserve"> knowledge requires</w:t>
      </w:r>
      <w:r w:rsidR="00353F24">
        <w:t xml:space="preserve"> (</w:t>
      </w:r>
      <w:r w:rsidR="00353F24">
        <w:rPr>
          <w:i/>
          <w:iCs/>
        </w:rPr>
        <w:t>is</w:t>
      </w:r>
      <w:r w:rsidR="00353F24">
        <w:t>)</w:t>
      </w:r>
      <w:r w:rsidR="00125A30">
        <w:t xml:space="preserve"> belief </w:t>
      </w:r>
      <w:r w:rsidR="00EB1633">
        <w:t>with</w:t>
      </w:r>
      <w:r w:rsidR="00125A30">
        <w:t xml:space="preserve"> infallible justification.</w:t>
      </w:r>
      <w:r w:rsidR="006C419F">
        <w:rPr>
          <w:rStyle w:val="FootnoteReference"/>
        </w:rPr>
        <w:footnoteReference w:id="5"/>
      </w:r>
      <w:r w:rsidR="00125A30">
        <w:t xml:space="preserve"> </w:t>
      </w:r>
      <w:r w:rsidR="006E1696">
        <w:t xml:space="preserve">And by “infallible”, I mean </w:t>
      </w:r>
      <w:r w:rsidR="006E1696" w:rsidRPr="00BF6E42">
        <w:rPr>
          <w:i/>
          <w:iCs/>
        </w:rPr>
        <w:t>not fallible</w:t>
      </w:r>
      <w:r w:rsidR="00354F53">
        <w:t xml:space="preserve">: for S’s justification for p to be infallible </w:t>
      </w:r>
      <w:r w:rsidR="00222A7B">
        <w:t>just means that S’s justification is sufficient for the truth of p</w:t>
      </w:r>
      <w:r w:rsidR="00846B0D">
        <w:t xml:space="preserve"> (on the definition I prefer)</w:t>
      </w:r>
      <w:r w:rsidR="00222A7B">
        <w:t>.</w:t>
      </w:r>
      <w:r w:rsidR="00222A7B">
        <w:rPr>
          <w:rStyle w:val="FootnoteReference"/>
        </w:rPr>
        <w:footnoteReference w:id="6"/>
      </w:r>
      <w:r w:rsidR="00C03396">
        <w:t xml:space="preserve"> </w:t>
      </w:r>
      <w:r w:rsidR="00F01118">
        <w:t xml:space="preserve">I will call this view </w:t>
      </w:r>
      <w:r w:rsidR="00F01118">
        <w:rPr>
          <w:i/>
          <w:iCs/>
        </w:rPr>
        <w:t>infallibilist invariantism</w:t>
      </w:r>
      <w:r w:rsidR="00A46F50">
        <w:t xml:space="preserve">, for the sake of distinguishing it from </w:t>
      </w:r>
      <w:r w:rsidR="00CC5ECA">
        <w:t>alternative</w:t>
      </w:r>
      <w:r w:rsidR="00A46F50">
        <w:t xml:space="preserve"> versions of skeptical invariantism</w:t>
      </w:r>
      <w:r w:rsidR="0038056D">
        <w:t>. I will now more explicitly connect this kind of infallibilism with skepticism and invariantism.</w:t>
      </w:r>
    </w:p>
    <w:p w14:paraId="32EDC195" w14:textId="2AE1FF76" w:rsidR="004C13C9" w:rsidRDefault="00BC3162" w:rsidP="0022127A">
      <w:r>
        <w:lastRenderedPageBreak/>
        <w:tab/>
        <w:t xml:space="preserve">If knowledge is infallible, that explains (1) because </w:t>
      </w:r>
      <w:r w:rsidR="003B372D">
        <w:t xml:space="preserve">if I tell you that I know that p, I have thereby </w:t>
      </w:r>
      <w:r w:rsidR="004C13C9">
        <w:t xml:space="preserve">attested that </w:t>
      </w:r>
      <w:r w:rsidR="009C4CD3">
        <w:t>p</w:t>
      </w:r>
      <w:r w:rsidR="004C13C9">
        <w:t xml:space="preserve"> is not possibly false. It explains (2) because</w:t>
      </w:r>
      <w:r w:rsidR="003A495E">
        <w:t xml:space="preserve"> if </w:t>
      </w:r>
      <w:r w:rsidR="00AB76CE">
        <w:t xml:space="preserve">someone has </w:t>
      </w:r>
      <w:r w:rsidR="000D6AAC">
        <w:t xml:space="preserve">justification that is sufficient for the truth of </w:t>
      </w:r>
      <w:r w:rsidR="00AD4CA8">
        <w:t>a belief</w:t>
      </w:r>
      <w:r w:rsidR="000D6AAC">
        <w:t xml:space="preserve">, then there is no other </w:t>
      </w:r>
      <w:r w:rsidR="008D7212">
        <w:t xml:space="preserve">true </w:t>
      </w:r>
      <w:r w:rsidR="00DA0496">
        <w:t xml:space="preserve">proposition that </w:t>
      </w:r>
      <w:r w:rsidR="00CF1E23">
        <w:t>is entailed by the former</w:t>
      </w:r>
      <w:r w:rsidR="0047399B">
        <w:t xml:space="preserve"> for which the person does not have (or cannot very easily acquire) infallible justification. </w:t>
      </w:r>
      <w:r w:rsidR="000636B3">
        <w:t>I</w:t>
      </w:r>
      <w:r w:rsidR="0047399B">
        <w:t xml:space="preserve">t explains </w:t>
      </w:r>
      <w:r w:rsidR="00E93FC1">
        <w:t>(</w:t>
      </w:r>
      <w:r w:rsidR="00711C40">
        <w:t>3</w:t>
      </w:r>
      <w:r w:rsidR="00E93FC1">
        <w:t xml:space="preserve">) because mere probability leaves </w:t>
      </w:r>
      <w:r w:rsidR="004B25CE">
        <w:t>open some</w:t>
      </w:r>
      <w:r w:rsidR="00E93FC1">
        <w:t xml:space="preserve"> possibility of error, and so precludes </w:t>
      </w:r>
      <w:r w:rsidR="005C724E">
        <w:t xml:space="preserve">establishing a proposition’s truth. And so on. </w:t>
      </w:r>
      <w:r w:rsidR="00D55473">
        <w:t xml:space="preserve">Just looking at </w:t>
      </w:r>
      <w:r w:rsidR="00687D24">
        <w:t>(</w:t>
      </w:r>
      <w:r w:rsidR="00D55473">
        <w:t>1</w:t>
      </w:r>
      <w:r w:rsidR="00687D24">
        <w:t>)</w:t>
      </w:r>
      <w:r w:rsidR="00D55473">
        <w:t>-</w:t>
      </w:r>
      <w:r w:rsidR="00687D24">
        <w:t>(</w:t>
      </w:r>
      <w:r w:rsidR="00D55473">
        <w:t>6</w:t>
      </w:r>
      <w:r w:rsidR="00687D24">
        <w:t>)</w:t>
      </w:r>
      <w:r w:rsidR="00D55473">
        <w:t xml:space="preserve">, infallibilism </w:t>
      </w:r>
      <w:r w:rsidR="003D0E23">
        <w:t>at least initially looks</w:t>
      </w:r>
      <w:r w:rsidR="00D55473">
        <w:t xml:space="preserve"> like the </w:t>
      </w:r>
      <w:r w:rsidR="00825D25">
        <w:t xml:space="preserve">simple and </w:t>
      </w:r>
      <w:r w:rsidR="00D55473">
        <w:t xml:space="preserve">obvious choice </w:t>
      </w:r>
      <w:r w:rsidR="00EE2B05">
        <w:t>for a</w:t>
      </w:r>
      <w:r w:rsidR="00825D25">
        <w:t xml:space="preserve">n explanatorily virtuous </w:t>
      </w:r>
      <w:r w:rsidR="00687D24">
        <w:t>theory of knowledge.</w:t>
      </w:r>
    </w:p>
    <w:p w14:paraId="2340BEC3" w14:textId="7AE0C41F" w:rsidR="00687D24" w:rsidRDefault="00687D24" w:rsidP="0022127A">
      <w:r>
        <w:tab/>
        <w:t xml:space="preserve">And then </w:t>
      </w:r>
      <w:r w:rsidR="00F0051D">
        <w:t>comes</w:t>
      </w:r>
      <w:r>
        <w:t xml:space="preserve"> (</w:t>
      </w:r>
      <w:r w:rsidR="003B1154">
        <w:t>7</w:t>
      </w:r>
      <w:r>
        <w:t xml:space="preserve">). </w:t>
      </w:r>
      <w:r w:rsidR="00754B88">
        <w:t>Fallibilists</w:t>
      </w:r>
      <w:r>
        <w:t xml:space="preserve"> </w:t>
      </w:r>
      <w:r w:rsidR="00C23E4A">
        <w:t xml:space="preserve">think that </w:t>
      </w:r>
      <w:r w:rsidR="00203561">
        <w:t>failing to satisfactorily account for (</w:t>
      </w:r>
      <w:r w:rsidR="003B1154">
        <w:t>7</w:t>
      </w:r>
      <w:r w:rsidR="00203561">
        <w:t xml:space="preserve">) is </w:t>
      </w:r>
      <w:r w:rsidR="00061F28">
        <w:t>decisive against</w:t>
      </w:r>
      <w:r w:rsidR="000531FA">
        <w:t xml:space="preserve"> a theory of knowledge </w:t>
      </w:r>
      <w:r w:rsidR="00203561">
        <w:t xml:space="preserve">in a way that denying </w:t>
      </w:r>
      <w:r w:rsidR="008F56D9">
        <w:t xml:space="preserve">any of the others </w:t>
      </w:r>
      <w:r w:rsidR="00203561">
        <w:t>is not</w:t>
      </w:r>
      <w:r w:rsidR="00091AA5">
        <w:t xml:space="preserve"> </w:t>
      </w:r>
      <w:r w:rsidR="00091AA5">
        <w:fldChar w:fldCharType="begin"/>
      </w:r>
      <w:r w:rsidR="007F65EA">
        <w:instrText xml:space="preserve"> ADDIN ZOTERO_ITEM CSL_CITATION {"citationID":"GkTxA5C2","properties":{"formattedCitation":"(cf. Dretske 1970; Nozick 1981; Roush 2012)","plainCitation":"(cf. Dretske 1970; Nozick 1981; Roush 2012)","noteIndex":0},"citationItems":[{"id":487,"uris":["http://zotero.org/users/5906299/items/VQNNWC3D"],"uri":["http://zotero.org/users/5906299/items/VQNNWC3D"],"itemData":{"id":487,"type":"article-journal","container-title":"The Journal of Philosophy","DOI":"10.2307/2024710","ISSN":"0022362X","issue":"24","journalAbbreviation":"J Phil.","page":"1007-1023","title":"Epistemic Operators","volume":"67","author":[{"family":"Dretske","given":"Fred I."}],"issued":{"date-parts":[["1970"]]}},"prefix":"cf. "},{"id":411,"uris":["http://zotero.org/users/5906299/items/29HZWG46"],"uri":["http://zotero.org/users/5906299/items/29HZWG46"],"itemData":{"id":411,"type":"book","ISBN":"0-674-66479-5","publisher":"Harvard University Press","title":"Philosophical Explanations","author":[{"family":"Nozick","given":"Robert"}],"issued":{"date-parts":[["1981"]]}}},{"id":483,"uris":["http://zotero.org/users/5906299/items/XBQRAXCE"],"uri":["http://zotero.org/users/5906299/items/XBQRAXCE"],"itemData":{"id":483,"type":"chapter","container-title":"The Sensitivity Principle in Epistemology","event-place":"New York","page":"242-268","publisher":"Cambridge University Press","publisher-place":"New York","title":"Sensitivity and Closure","author":[{"family":"Roush","given":"Sherrilyn"}],"editor":[{"family":"Becker","given":"Kelly"},{"family":"Black","given":"Tim"}],"issued":{"date-parts":[["2012"]]}}}],"schema":"https://github.com/citation-style-language/schema/raw/master/csl-citation.json"} </w:instrText>
      </w:r>
      <w:r w:rsidR="00091AA5">
        <w:fldChar w:fldCharType="separate"/>
      </w:r>
      <w:r w:rsidR="007F609E" w:rsidRPr="007F609E">
        <w:t>(cf. Dretske 1970; Nozick 1981; Roush 2012)</w:t>
      </w:r>
      <w:r w:rsidR="00091AA5">
        <w:fldChar w:fldCharType="end"/>
      </w:r>
      <w:r w:rsidR="000531FA">
        <w:t>.</w:t>
      </w:r>
      <w:r w:rsidR="0090134F">
        <w:t xml:space="preserve"> </w:t>
      </w:r>
      <w:r w:rsidR="00913EAE">
        <w:t xml:space="preserve">For instance, in </w:t>
      </w:r>
      <w:r w:rsidR="00C63356">
        <w:t>her recent monograph,</w:t>
      </w:r>
      <w:r w:rsidR="007F609E">
        <w:t xml:space="preserve"> Brown </w:t>
      </w:r>
      <w:r w:rsidR="00E25785">
        <w:t xml:space="preserve">argues </w:t>
      </w:r>
      <w:r w:rsidR="00E35F63">
        <w:t xml:space="preserve">for fallibilism and </w:t>
      </w:r>
      <w:r w:rsidR="00C63356">
        <w:t>thus</w:t>
      </w:r>
      <w:r w:rsidR="00E35F63">
        <w:t xml:space="preserve"> </w:t>
      </w:r>
      <w:r w:rsidR="00772782">
        <w:t>explicitly against</w:t>
      </w:r>
      <w:r w:rsidR="00E25785">
        <w:t xml:space="preserve"> </w:t>
      </w:r>
      <w:r w:rsidR="00772782">
        <w:t xml:space="preserve">(2) </w:t>
      </w:r>
      <w:r w:rsidR="00E25785">
        <w:t>closure</w:t>
      </w:r>
      <w:r w:rsidR="00772782">
        <w:t>, (</w:t>
      </w:r>
      <w:r w:rsidR="00433113">
        <w:t>3</w:t>
      </w:r>
      <w:r w:rsidR="00772782">
        <w:t xml:space="preserve">) </w:t>
      </w:r>
      <w:r w:rsidR="00433113">
        <w:t xml:space="preserve">that knowledge cannot be gained through merely probabilistic inference, and (5) </w:t>
      </w:r>
      <w:r w:rsidR="00BC5039">
        <w:t>the universal falsity of concessive knowledge attributions.</w:t>
      </w:r>
    </w:p>
    <w:p w14:paraId="61B87986" w14:textId="7594B37D" w:rsidR="000608FA" w:rsidRDefault="003B1154" w:rsidP="0022127A">
      <w:r>
        <w:tab/>
      </w:r>
      <w:r w:rsidR="0002590F">
        <w:t>Defending an account that favors</w:t>
      </w:r>
      <w:r>
        <w:t xml:space="preserve"> (7) over </w:t>
      </w:r>
      <w:r w:rsidR="0002590F">
        <w:t>all of (1)-(6)</w:t>
      </w:r>
      <w:r>
        <w:t xml:space="preserve"> would make little sense if infallibili</w:t>
      </w:r>
      <w:r w:rsidR="00B43C26">
        <w:t xml:space="preserve">sm </w:t>
      </w:r>
      <w:r w:rsidR="005C63BA">
        <w:t>had a plausible non-skeptical</w:t>
      </w:r>
      <w:r w:rsidR="003070D5">
        <w:t xml:space="preserve"> version</w:t>
      </w:r>
      <w:r w:rsidR="00D35F7E">
        <w:t xml:space="preserve">, which </w:t>
      </w:r>
      <w:r w:rsidR="00275223">
        <w:t xml:space="preserve">many philosophers may otherwise favor </w:t>
      </w:r>
      <w:r w:rsidR="00275223">
        <w:fldChar w:fldCharType="begin"/>
      </w:r>
      <w:r w:rsidR="0052073E">
        <w:instrText xml:space="preserve"> ADDIN ZOTERO_ITEM CSL_CITATION {"citationID":"4xT4eWY8","properties":{"formattedCitation":"(Dutant 2015)","plainCitation":"(Dutant 2015)","noteIndex":0},"citationItems":[{"id":5,"uris":["http://zotero.org/users/5906299/items/JLR87XKY"],"uri":["http://zotero.org/users/5906299/items/JLR87XKY"],"itemData":{"id":5,"type":"article-journal","container-title":"Philosophical Perspectives","issue":"1","page":"95-145","title":"The Legend of the Justified True Belief Analysis","volume":"29","author":[{"family":"Dutant","given":"Julien"}],"issued":{"date-parts":[["2015"]]}}}],"schema":"https://github.com/citation-style-language/schema/raw/master/csl-citation.json"} </w:instrText>
      </w:r>
      <w:r w:rsidR="00275223">
        <w:fldChar w:fldCharType="separate"/>
      </w:r>
      <w:r w:rsidR="0052073E" w:rsidRPr="0052073E">
        <w:t>(Dutant 2015)</w:t>
      </w:r>
      <w:r w:rsidR="00275223">
        <w:fldChar w:fldCharType="end"/>
      </w:r>
      <w:r w:rsidR="00275223">
        <w:t>. But w</w:t>
      </w:r>
      <w:r w:rsidR="009F1170">
        <w:t xml:space="preserve">hen we </w:t>
      </w:r>
      <w:r w:rsidR="00D6695B">
        <w:t>entertain</w:t>
      </w:r>
      <w:r w:rsidR="009F1170">
        <w:t xml:space="preserve"> a </w:t>
      </w:r>
      <w:r w:rsidR="00B05E09">
        <w:t xml:space="preserve">concept of knowledge that </w:t>
      </w:r>
      <w:r w:rsidR="003B16CF">
        <w:t xml:space="preserve">actually applies to </w:t>
      </w:r>
      <w:r w:rsidR="00C75C36">
        <w:t xml:space="preserve">subjects in </w:t>
      </w:r>
      <w:r w:rsidR="008C098B">
        <w:t>our</w:t>
      </w:r>
      <w:r w:rsidR="00C75C36">
        <w:t xml:space="preserve"> world, that </w:t>
      </w:r>
      <w:r w:rsidR="00D6695B">
        <w:t>concept can only be called “infallible” by ignoring</w:t>
      </w:r>
      <w:r w:rsidR="009F7968">
        <w:t xml:space="preserve"> or disqualifying</w:t>
      </w:r>
      <w:r w:rsidR="00D6695B">
        <w:t xml:space="preserve"> a </w:t>
      </w:r>
      <w:r w:rsidR="00E26450">
        <w:t xml:space="preserve">significant number of ways that </w:t>
      </w:r>
      <w:r w:rsidR="00AB4648">
        <w:t xml:space="preserve">our beliefs may be false </w:t>
      </w:r>
      <w:r w:rsidR="00AB4648">
        <w:fldChar w:fldCharType="begin"/>
      </w:r>
      <w:r w:rsidR="007F65EA">
        <w:instrText xml:space="preserve"> ADDIN ZOTERO_ITEM CSL_CITATION {"citationID":"U9MzoUDA","properties":{"formattedCitation":"(Dutant 2016; Lewis 1996; Stoutenburg 2019; Williamson 2000)","plainCitation":"(Dutant 2016; Lewis 1996; Stoutenburg 2019; Williamson 2000)","noteIndex":0},"citationItems":[{"id":110,"uris":["http://zotero.org/users/5906299/items/KWZ7GDM5"],"uri":["http://zotero.org/users/5906299/items/KWZ7GDM5"],"itemData":{"id":110,"type":"article-journal","container-title":"Philosophical Issues","DOI":"10.1111/phis.12085","ISSN":"1758-2237","issue":"1","page":"148-171","title":"How to be an Infallibilist","volume":"26","author":[{"family":"Dutant","given":"Julien"}],"issued":{"date-parts":[["2016"]]}}},{"id":386,"uris":["http://zotero.org/users/5906299/items/EIDJI8XV"],"uri":["http://zotero.org/users/5906299/items/EIDJI8XV"],"itemData":{"id":386,"type":"article-journal","container-title":"Australasian Journal of Philosophy","DOI":"10.1080/00048409612347521","ISSN":"0004-8402 1471-6828","issue":"4","journalAbbreviation":"Australasian J Phil.","page":"549-567","title":"Elusive Knowledge","volume":"74","author":[{"family":"Lewis","given":"David"}],"issued":{"date-parts":[["1996"]]}}},{"id":1272,"uris":["http://zotero.org/users/5906299/items/QE2EZ45D"],"uri":["http://zotero.org/users/5906299/items/QE2EZ45D"],"itemData":{"id":1272,"type":"chapter","container-title":"Epistemologia Analytica","page":"55-72","publisher":"Editora Fi","title":"The Limits of Antiskeptical Infallibilism","volume":"1","editor":[{"family":"Rodrigues","given":"Tiegue Vieira"}],"author":[{"family":"Stoutenburg","given":"Gregory"}],"issued":{"date-parts":[["2019"]]}}},{"id":1234,"uris":["http://zotero.org/users/5906299/items/9RBH9IQR"],"uri":["http://zotero.org/users/5906299/items/9RBH9IQR"],"itemData":{"id":1234,"type":"book","event-place":"New York","publisher":"Oxford University Press","publisher-place":"New York","title":"Knowledge and its Limits","author":[{"family":"Williamson","given":"Timothy"}],"issued":{"date-parts":[["2000"]]}}}],"schema":"https://github.com/citation-style-language/schema/raw/master/csl-citation.json"} </w:instrText>
      </w:r>
      <w:r w:rsidR="00AB4648">
        <w:fldChar w:fldCharType="separate"/>
      </w:r>
      <w:r w:rsidR="00624F07" w:rsidRPr="00624F07">
        <w:t>(Dutant 2016; Lewis 1996; Stoutenburg 2019; Williamson 2000)</w:t>
      </w:r>
      <w:r w:rsidR="00AB4648">
        <w:fldChar w:fldCharType="end"/>
      </w:r>
      <w:r w:rsidR="00C26C58">
        <w:t xml:space="preserve">. </w:t>
      </w:r>
      <w:r w:rsidR="008C3AA9">
        <w:t>Do we really want to say</w:t>
      </w:r>
      <w:r w:rsidR="00F408D1">
        <w:t xml:space="preserve"> with disjunctivists</w:t>
      </w:r>
      <w:r w:rsidR="008C3AA9">
        <w:t xml:space="preserve"> </w:t>
      </w:r>
      <w:r w:rsidR="00985435">
        <w:t xml:space="preserve">and safety-infallibilists </w:t>
      </w:r>
      <w:r w:rsidR="008C3AA9">
        <w:t xml:space="preserve">that I can have </w:t>
      </w:r>
      <w:r w:rsidR="008C3AA9" w:rsidRPr="00985435">
        <w:t>infallible</w:t>
      </w:r>
      <w:r w:rsidR="007A4DEB">
        <w:rPr>
          <w:i/>
          <w:iCs/>
        </w:rPr>
        <w:t>—not possibly false—</w:t>
      </w:r>
      <w:r w:rsidR="007A4DEB">
        <w:t xml:space="preserve">knowledge </w:t>
      </w:r>
      <w:r w:rsidR="008C3AA9">
        <w:t xml:space="preserve">that I have hands, </w:t>
      </w:r>
      <w:r w:rsidR="00F408D1">
        <w:t>if</w:t>
      </w:r>
      <w:r w:rsidR="00A0500A">
        <w:t xml:space="preserve"> </w:t>
      </w:r>
      <w:r w:rsidR="00875B8D">
        <w:t xml:space="preserve">the experience of seeing my hands is a fundamentally different experience from the </w:t>
      </w:r>
      <w:r w:rsidR="00DB12AA">
        <w:rPr>
          <w:i/>
          <w:iCs/>
        </w:rPr>
        <w:t>indistinguishably similar</w:t>
      </w:r>
      <w:r w:rsidR="00FA000F">
        <w:rPr>
          <w:i/>
          <w:iCs/>
        </w:rPr>
        <w:t xml:space="preserve"> </w:t>
      </w:r>
      <w:r w:rsidR="00FA000F">
        <w:t xml:space="preserve">experience I would have if I were </w:t>
      </w:r>
      <w:r w:rsidR="00E373CD">
        <w:t>deceived</w:t>
      </w:r>
      <w:r w:rsidR="00536ED6">
        <w:t>?</w:t>
      </w:r>
      <w:r w:rsidR="00DC4C64">
        <w:t xml:space="preserve"> That when I am not deceived, the ‘possibility’ that I am </w:t>
      </w:r>
      <w:r w:rsidR="00DB12AA">
        <w:t xml:space="preserve">now being </w:t>
      </w:r>
      <w:r w:rsidR="00DC4C64">
        <w:t>deceived is no possibility at all?</w:t>
      </w:r>
      <w:r w:rsidR="004145E7">
        <w:t xml:space="preserve"> </w:t>
      </w:r>
      <w:r w:rsidR="00474DF4">
        <w:t xml:space="preserve">It is with good reason that </w:t>
      </w:r>
      <w:r w:rsidR="0038056D">
        <w:t>philosophers think infallibilism implies skepticism.</w:t>
      </w:r>
    </w:p>
    <w:p w14:paraId="7CA4AC64" w14:textId="7CF2BBFB" w:rsidR="00F17E8B" w:rsidRDefault="00F17E8B" w:rsidP="000608FA">
      <w:pPr>
        <w:ind w:firstLine="720"/>
      </w:pPr>
      <w:r>
        <w:t xml:space="preserve">For </w:t>
      </w:r>
      <w:r w:rsidR="00116128">
        <w:t>similar reasons</w:t>
      </w:r>
      <w:r>
        <w:t>, I think the only version of infallibilism worthy of the name is invariantist</w:t>
      </w:r>
      <w:r w:rsidR="00572BC3">
        <w:t xml:space="preserve">. </w:t>
      </w:r>
      <w:r w:rsidR="00EB6E6A">
        <w:t xml:space="preserve">That a subject is not thinking about a particular possibility, or </w:t>
      </w:r>
      <w:r w:rsidR="00F131A2">
        <w:t xml:space="preserve">that the stakes of false belief are low, or that </w:t>
      </w:r>
      <w:r w:rsidR="00747B92">
        <w:t xml:space="preserve">an attributor and subject do not share </w:t>
      </w:r>
      <w:r w:rsidR="0017577A">
        <w:t xml:space="preserve">contexts of assessment, are </w:t>
      </w:r>
      <w:r w:rsidR="0036386D">
        <w:t>irrelevant to</w:t>
      </w:r>
      <w:r w:rsidR="0017577A">
        <w:t xml:space="preserve"> whether </w:t>
      </w:r>
      <w:r w:rsidR="00DB5103">
        <w:t>some</w:t>
      </w:r>
      <w:r w:rsidR="0017577A">
        <w:t xml:space="preserve"> </w:t>
      </w:r>
      <w:r w:rsidR="003D5F95">
        <w:t xml:space="preserve">justification is sufficient for the </w:t>
      </w:r>
      <w:r w:rsidR="001241CB">
        <w:t xml:space="preserve">truth </w:t>
      </w:r>
      <w:r w:rsidR="00DB5103">
        <w:t>a proposition</w:t>
      </w:r>
      <w:r w:rsidR="003D5F95">
        <w:t xml:space="preserve">. </w:t>
      </w:r>
      <w:r w:rsidR="00CE7FF2">
        <w:t xml:space="preserve">Now it </w:t>
      </w:r>
      <w:r w:rsidR="00DB5103">
        <w:t>should be</w:t>
      </w:r>
      <w:r w:rsidR="00CE7FF2">
        <w:t xml:space="preserve"> clear why infallibilis</w:t>
      </w:r>
      <w:r w:rsidR="00EE2945">
        <w:t xml:space="preserve">m implies </w:t>
      </w:r>
      <w:r w:rsidR="00697CEB">
        <w:t xml:space="preserve">both </w:t>
      </w:r>
      <w:r w:rsidR="00DB5103">
        <w:t>skepticism and invariantism</w:t>
      </w:r>
      <w:r w:rsidR="00037F4F">
        <w:t xml:space="preserve">, and it is this </w:t>
      </w:r>
      <w:r w:rsidR="003F428F">
        <w:t>kind</w:t>
      </w:r>
      <w:r w:rsidR="00037F4F">
        <w:t xml:space="preserve"> of skeptical invariantism that is </w:t>
      </w:r>
      <w:r w:rsidR="005D6582">
        <w:t>under discussion.</w:t>
      </w:r>
    </w:p>
    <w:p w14:paraId="3F54E124" w14:textId="7220ACC3" w:rsidR="00672913" w:rsidRDefault="00A52F13" w:rsidP="005D6582">
      <w:pPr>
        <w:ind w:firstLine="720"/>
      </w:pPr>
      <w:r>
        <w:t>I</w:t>
      </w:r>
      <w:r w:rsidR="00913B78">
        <w:t xml:space="preserve">n this paper I consider the prospects for a </w:t>
      </w:r>
      <w:r w:rsidR="00AA7092">
        <w:t xml:space="preserve">skeptical version of infallibilism. </w:t>
      </w:r>
      <w:r w:rsidR="00BB3F6F">
        <w:t>For the reasons given above, I think skeptical invariantism</w:t>
      </w:r>
      <w:r w:rsidR="00670BCB">
        <w:t xml:space="preserve"> has a lot going for it. However, a satisfactory theory of knowledge must account for all of our desiderata</w:t>
      </w:r>
      <w:r w:rsidR="00697CEB">
        <w:t>, including</w:t>
      </w:r>
      <w:r w:rsidR="00670BCB">
        <w:t xml:space="preserve"> (7)</w:t>
      </w:r>
      <w:r w:rsidR="00A4509B">
        <w:t xml:space="preserve"> that our ordinary knowledge attributions are appropriate</w:t>
      </w:r>
      <w:r w:rsidR="00670BCB">
        <w:t xml:space="preserve">. </w:t>
      </w:r>
      <w:r w:rsidR="008D3B96">
        <w:t xml:space="preserve">This </w:t>
      </w:r>
      <w:r w:rsidR="00A51B21">
        <w:t xml:space="preserve">last part </w:t>
      </w:r>
      <w:r w:rsidR="008D3B96">
        <w:t>will not be easy</w:t>
      </w:r>
      <w:r w:rsidR="00A51B21">
        <w:t xml:space="preserve"> for the infallibilist invariantist</w:t>
      </w:r>
      <w:r w:rsidR="008D3B96">
        <w:t xml:space="preserve">. Indeed, </w:t>
      </w:r>
      <w:r w:rsidR="00DC0C8A">
        <w:t xml:space="preserve">I will argue that </w:t>
      </w:r>
      <w:r w:rsidR="00227142">
        <w:t>it</w:t>
      </w:r>
      <w:r w:rsidR="00DC0C8A">
        <w:t xml:space="preserve"> is </w:t>
      </w:r>
      <w:r w:rsidR="008D3B96">
        <w:t xml:space="preserve">much more difficult than </w:t>
      </w:r>
      <w:r w:rsidR="00227142">
        <w:t>those sympathetic to skepticism</w:t>
      </w:r>
      <w:r w:rsidR="008D3B96">
        <w:t xml:space="preserve"> have acknowledged, as there are serious problems with regarding </w:t>
      </w:r>
      <w:r w:rsidR="00B47A67">
        <w:rPr>
          <w:i/>
          <w:iCs/>
        </w:rPr>
        <w:t>paradigmatic</w:t>
      </w:r>
      <w:r w:rsidR="00B47A67">
        <w:t xml:space="preserve">, </w:t>
      </w:r>
      <w:r w:rsidR="00B47A67">
        <w:rPr>
          <w:i/>
          <w:iCs/>
        </w:rPr>
        <w:t xml:space="preserve">typical </w:t>
      </w:r>
      <w:r w:rsidR="00B47A67">
        <w:t xml:space="preserve">knowledge attributions as loose talk, exaggerations, or </w:t>
      </w:r>
      <w:r w:rsidR="00934735">
        <w:t>otherwise</w:t>
      </w:r>
      <w:r w:rsidR="00B47A67">
        <w:t xml:space="preserve"> pra</w:t>
      </w:r>
      <w:r w:rsidR="0051024B">
        <w:t>ctical</w:t>
      </w:r>
      <w:r w:rsidR="00B47A67">
        <w:t xml:space="preserve"> uses of language.</w:t>
      </w:r>
      <w:r w:rsidR="00A4509B">
        <w:t xml:space="preserve"> </w:t>
      </w:r>
      <w:r w:rsidR="004675EE">
        <w:t>So,</w:t>
      </w:r>
      <w:r w:rsidR="00E50F74">
        <w:t xml:space="preserve"> I do not think the pragmatic story</w:t>
      </w:r>
      <w:r w:rsidR="00823A08">
        <w:t xml:space="preserve"> that skeptical invariantism needs is </w:t>
      </w:r>
      <w:r w:rsidR="00C43AAB">
        <w:t xml:space="preserve">one </w:t>
      </w:r>
      <w:r w:rsidR="002F5260">
        <w:t xml:space="preserve">that </w:t>
      </w:r>
      <w:r w:rsidR="006A6E55">
        <w:t>works without</w:t>
      </w:r>
      <w:r w:rsidR="00C307A0">
        <w:t xml:space="preserve"> a su</w:t>
      </w:r>
      <w:r w:rsidR="006D55F1">
        <w:t>pplemental error theory</w:t>
      </w:r>
      <w:r w:rsidR="005D02C6">
        <w:t xml:space="preserve"> of the sort </w:t>
      </w:r>
      <w:r w:rsidR="004E072F">
        <w:t xml:space="preserve">left aside by </w:t>
      </w:r>
      <w:r w:rsidR="004675EE" w:rsidRPr="000B49FF">
        <w:t>purely</w:t>
      </w:r>
      <w:r w:rsidR="004675EE">
        <w:t xml:space="preserve"> </w:t>
      </w:r>
      <w:r w:rsidR="005D02C6">
        <w:t xml:space="preserve">pragmatic accounts </w:t>
      </w:r>
      <w:r w:rsidR="004675EE">
        <w:t xml:space="preserve">of knowledge attributions </w:t>
      </w:r>
      <w:r w:rsidR="009175A9">
        <w:fldChar w:fldCharType="begin"/>
      </w:r>
      <w:r w:rsidR="007F65EA">
        <w:instrText xml:space="preserve"> ADDIN ZOTERO_ITEM CSL_CITATION {"citationID":"4Yspl45f","properties":{"formattedCitation":"(Butchvarov 1970; Davis 2007; Kyriacou n.d.; Schaffer 2004; Stoutenburg 2016)","plainCitation":"(Butchvarov 1970; Davis 2007; Kyriacou n.d.; Schaffer 2004; Stoutenburg 2016)","noteIndex":0},"citationItems":[{"id":1204,"uris":["http://zotero.org/users/5906299/items/8EE3TI67"],"uri":["http://zotero.org/users/5906299/items/8EE3TI67"],"itemData":{"id":1204,"type":"book","event-place":"Evanston","ISBN":"0-8101-0319-2","publisher":"Northwestern University Press","publisher-place":"Evanston","title":"The Concept of Knowledge","author":[{"family":"Butchvarov","given":"Panayot"}],"issued":{"date-parts":[["1970"]]}}},{"id":173,"uris":["http://zotero.org/users/5906299/items/CF7A5CDM"],"uri":["http://zotero.org/users/5906299/items/CF7A5CDM"],"itemData":{"id":173,"type":"article-journal","container-title":"Philosophical Studies","DOI":"10.1007/s11098-006-9035-2","ISSN":"0031-8116 1573-0883","issue":"3","journalAbbreviation":"Phil. Stud","page":"395-438","title":"Knowledge Claims and Context: Loose Use","volume":"132","author":[{"family":"Davis","given":"Wayne A."}],"issued":{"date-parts":[["2007"]]}}},{"id":1273,"uris":["http://zotero.org/users/5906299/items/YGRK33BU"],"uri":["http://zotero.org/users/5906299/items/YGRK33BU"],"itemData":{"id":1273,"type":"article-journal","abstract":"An argument often leveled against skeptical invariantism (SI) is – what we may call – ‘the argument from semantic awareness’. Roughly, the argument suggests that ordinary agents are not aware of the meaning of ‘know’ that SI proposes. Given that the semantic intuitions of ordinary agents are generally reliable, this implies that SI is implausible as a theory of ‘know’. Therefore, SI should be rejected. In this paper, I focus on the stronger extant formulation of the argument and explore how SI could, in principle, be rendered coherent with the argument (even if SI is not to be considered overall plausible). To this effect, I suggest an overlooked semantically externalist model of meaning and semantic awareness of ‘know’ that renders SI coherent with ‘the argument from semantic awareness’. The goal of the paper is modest. It is not to defend, let alone vindicate SI, but to indicate that SI is coherent with ‘the argument from semantic awareness’ in light of an externalist account of meaning and semantic awareness. I demur about the matter of the overall plausibility of SI.","archive":"Cambridge Core","container-title":"Episteme","DOI":"10.1017/epi.2019.7","ISSN":"1742-3600","page":"1-19","source":"Cambridge University Press","title":"Semantic Awareness for Skeptical Pragmatic Invariantism","author":[{"family":"Kyriacou","given":"Christos"}]}},{"id":1121,"uris":["http://zotero.org/users/5906299/items/VWJ26AHI"],"uri":["http://zotero.org/users/5906299/items/VWJ26AHI"],"itemData":{"id":1121,"type":"article-journal","container-title":"Philosophy and Phenomenological Research","DOI":"10.1111/j.1933-1592.2004.tb00387.x","ISSN":"1933-1592","issue":"1","journalAbbreviation":"Phil. Phenomenol. Res","page":"138-155","title":"Skepticism, Contextualism, and Discrimination","volume":"69","author":[{"family":"Schaffer","given":"Jonathan"}],"issued":{"date-parts":[["2004"]]}}},{"id":208,"uris":["http://zotero.org/users/5906299/items/Q6FXH5HA"],"uri":["http://zotero.org/users/5906299/items/Q6FXH5HA"],"itemData":{"id":208,"type":"article-journal","abstract":"Positions in the debate about the correct semantics of “S knows that p” are sometimes motivated in part by an appeal to interpretive charity. In particular, non-skeptical views hold that many utterances of the sentence “S knows that p” are true and some of them think the fact that their views are able to respect this is a reason why their views are more charitable than skeptical invariantism. However, little attention has been paid to why charity should be understood in this way and little effort has been spent justifying the notion that a charitable semantics is likely to be true. I distinguish two kinds of interpretive charity. One principle of charity is often appealed to in the literature. I introduce a second. I argue that while some positions better respect one principle of charity, the reverse is true of the other principle of charity. I conclude with some remarks about how to break this apparent tie.","container-title":"Acta Analytica","DOI":"10.1007/s12136-015-0267-7","ISSN":"1874-6349","issue":"2","journalAbbreviation":"Acta Analytica","page":"153-168","title":"Principles of Interpretive Charity and the Semantics of Knowledge Attributions","volume":"31","author":[{"family":"Stoutenburg","given":"Gregory"}],"issued":{"date-parts":[["2016"]]}}}],"schema":"https://github.com/citation-style-language/schema/raw/master/csl-citation.json"} </w:instrText>
      </w:r>
      <w:r w:rsidR="009175A9">
        <w:fldChar w:fldCharType="separate"/>
      </w:r>
      <w:r w:rsidR="000A78B6" w:rsidRPr="000A78B6">
        <w:t>(Butchvarov 1970; Davis 2007; Kyriacou n.d.; Schaffer 2004; Stoutenburg 2016)</w:t>
      </w:r>
      <w:r w:rsidR="009175A9">
        <w:fldChar w:fldCharType="end"/>
      </w:r>
      <w:r w:rsidR="00C43AAB">
        <w:t>.</w:t>
      </w:r>
      <w:r w:rsidR="00B53A3B">
        <w:t xml:space="preserve"> </w:t>
      </w:r>
      <w:r w:rsidR="00DC0C8A">
        <w:t xml:space="preserve">In its place, </w:t>
      </w:r>
      <w:r w:rsidR="006818BE">
        <w:t xml:space="preserve">I will offer a compromise pragmatic and error view that </w:t>
      </w:r>
      <w:r w:rsidR="0097038D">
        <w:t xml:space="preserve">I think </w:t>
      </w:r>
      <w:r w:rsidR="001E009C">
        <w:t>delivers</w:t>
      </w:r>
      <w:r w:rsidR="0097038D">
        <w:t xml:space="preserve"> everything that skeptics can reasonably hope to get</w:t>
      </w:r>
      <w:r w:rsidR="00DC0C8A">
        <w:t>.</w:t>
      </w:r>
    </w:p>
    <w:p w14:paraId="7F85938D" w14:textId="3C658DBC" w:rsidR="00F44420" w:rsidRDefault="00273D78" w:rsidP="00D820FB">
      <w:pPr>
        <w:pStyle w:val="Heading1"/>
      </w:pPr>
      <w:r>
        <w:lastRenderedPageBreak/>
        <w:t xml:space="preserve">Methodological </w:t>
      </w:r>
      <w:r w:rsidR="00237538">
        <w:t>Concern</w:t>
      </w:r>
      <w:r w:rsidR="00C13522">
        <w:t>s for Two Non-Skeptical Views</w:t>
      </w:r>
    </w:p>
    <w:p w14:paraId="1EA06CE3" w14:textId="0EB39C9C" w:rsidR="00D2439F" w:rsidRDefault="00D2439F" w:rsidP="00E21436">
      <w:r>
        <w:t>Before</w:t>
      </w:r>
      <w:r w:rsidR="00606DAA">
        <w:t xml:space="preserve"> considering</w:t>
      </w:r>
      <w:r>
        <w:t xml:space="preserve"> how skeptical invariantism can account for the appropriateness of knowledge attributions, I want to briefly argue that the two most </w:t>
      </w:r>
      <w:r w:rsidR="00DF3A3D">
        <w:t xml:space="preserve">popular competitors to skeptical invariantism—epistemic contextualism and strict moderate invariantism—have a serious </w:t>
      </w:r>
      <w:r w:rsidR="00532BFC">
        <w:t xml:space="preserve">methodological </w:t>
      </w:r>
      <w:r w:rsidR="00DF3A3D">
        <w:t>problem</w:t>
      </w:r>
      <w:r w:rsidR="00E007FA">
        <w:t xml:space="preserve">, one </w:t>
      </w:r>
      <w:r w:rsidR="009F302C">
        <w:t xml:space="preserve">that </w:t>
      </w:r>
      <w:r w:rsidR="00456362">
        <w:t xml:space="preserve">generalizes to </w:t>
      </w:r>
      <w:r w:rsidR="003A0B46">
        <w:t>any</w:t>
      </w:r>
      <w:r w:rsidR="008D3409">
        <w:t xml:space="preserve"> non-skeptical theory of knowledge attributions. The problem</w:t>
      </w:r>
      <w:r w:rsidR="004C5A07">
        <w:t xml:space="preserve"> is that </w:t>
      </w:r>
      <w:r w:rsidR="007F0637">
        <w:t xml:space="preserve">if either of those theories is true, we </w:t>
      </w:r>
      <w:r w:rsidR="008C19C7">
        <w:t>are</w:t>
      </w:r>
      <w:r w:rsidR="007F0637">
        <w:t xml:space="preserve"> not justified in believing that they are true.</w:t>
      </w:r>
      <w:r w:rsidR="00CD0313">
        <w:rPr>
          <w:rStyle w:val="FootnoteReference"/>
        </w:rPr>
        <w:footnoteReference w:id="7"/>
      </w:r>
    </w:p>
    <w:p w14:paraId="33D3776D" w14:textId="40076313" w:rsidR="0090475E" w:rsidRDefault="00F1302E" w:rsidP="00E21436">
      <w:r>
        <w:tab/>
      </w:r>
      <w:r w:rsidR="00E60307">
        <w:t>W</w:t>
      </w:r>
      <w:r w:rsidR="00EA0F10">
        <w:t xml:space="preserve">hen we think about </w:t>
      </w:r>
      <w:r w:rsidR="00455B45">
        <w:t xml:space="preserve">a concept of philosophical interest, like what knowledge </w:t>
      </w:r>
      <w:r w:rsidR="00455B45" w:rsidRPr="00507A59">
        <w:rPr>
          <w:i/>
          <w:iCs/>
        </w:rPr>
        <w:t>is</w:t>
      </w:r>
      <w:r w:rsidR="00455B45">
        <w:t xml:space="preserve"> aside from what we happen to know, we </w:t>
      </w:r>
      <w:r w:rsidR="00A67FF1">
        <w:t xml:space="preserve">rely on </w:t>
      </w:r>
      <w:r w:rsidR="000F27A2">
        <w:t>what we find intuitive</w:t>
      </w:r>
      <w:r w:rsidR="00870737">
        <w:t xml:space="preserve">, </w:t>
      </w:r>
      <w:r w:rsidR="005F156A">
        <w:t>our language-</w:t>
      </w:r>
      <w:r w:rsidR="00870737">
        <w:t xml:space="preserve">use dispositions, </w:t>
      </w:r>
      <w:r w:rsidR="00D93D38">
        <w:t>and knowledge of meanings</w:t>
      </w:r>
      <w:r w:rsidR="00507A59">
        <w:t xml:space="preserve"> to locate the thing that we want to </w:t>
      </w:r>
      <w:r w:rsidR="008B38C3">
        <w:t>examine</w:t>
      </w:r>
      <w:r w:rsidR="008342BA">
        <w:t>.</w:t>
      </w:r>
      <w:r w:rsidR="000675C9">
        <w:t xml:space="preserve"> But how </w:t>
      </w:r>
      <w:r w:rsidR="006D6B8B">
        <w:t>is this possible</w:t>
      </w:r>
      <w:r w:rsidR="000675C9">
        <w:t>?</w:t>
      </w:r>
      <w:r w:rsidR="009031C4">
        <w:t xml:space="preserve"> </w:t>
      </w:r>
      <w:r w:rsidR="00DD54A1">
        <w:t>The t</w:t>
      </w:r>
      <w:r w:rsidR="00D475BE">
        <w:t xml:space="preserve">raditional philosophical method of considering our responses to thought experiments and hypothetical scenarios more generally can work only if we are competent speakers with </w:t>
      </w:r>
      <w:r w:rsidR="00167776">
        <w:t xml:space="preserve">concept-use dispositions that </w:t>
      </w:r>
      <w:r w:rsidR="00456428">
        <w:t>are sensitive (if fallible) to</w:t>
      </w:r>
      <w:r w:rsidR="00D67D5E">
        <w:t xml:space="preserve"> </w:t>
      </w:r>
      <w:r w:rsidR="00456428">
        <w:t>facts about the</w:t>
      </w:r>
      <w:r w:rsidR="00D67D5E">
        <w:t xml:space="preserve"> concepts that we wish to examine</w:t>
      </w:r>
      <w:r w:rsidR="009D0C0C">
        <w:t xml:space="preserve"> </w:t>
      </w:r>
      <w:r w:rsidR="009D0C0C">
        <w:fldChar w:fldCharType="begin"/>
      </w:r>
      <w:r w:rsidR="00CC76D4">
        <w:instrText xml:space="preserve"> ADDIN ZOTERO_ITEM CSL_CITATION {"citationID":"jdG2SHdQ","properties":{"formattedCitation":"(Stoutenburg 2016)","plainCitation":"(Stoutenburg 2016)","noteIndex":0},"citationItems":[{"id":208,"uris":["http://zotero.org/users/5906299/items/Q6FXH5HA"],"uri":["http://zotero.org/users/5906299/items/Q6FXH5HA"],"itemData":{"id":208,"type":"article-journal","abstract":"Positions in the debate about the correct semantics of “S knows that p” are sometimes motivated in part by an appeal to interpretive charity. In particular, non-skeptical views hold that many utterances of the sentence “S knows that p” are true and some of them think the fact that their views are able to respect this is a reason why their views are more charitable than skeptical invariantism. However, little attention has been paid to why charity should be understood in this way and little effort has been spent justifying the notion that a charitable semantics is likely to be true. I distinguish two kinds of interpretive charity. One principle of charity is often appealed to in the literature. I introduce a second. I argue that while some positions better respect one principle of charity, the reverse is true of the other principle of charity. I conclude with some remarks about how to break this apparent tie.","container-title":"Acta Analytica","DOI":"10.1007/s12136-015-0267-7","ISSN":"1874-6349","issue":"2","journalAbbreviation":"Acta Analytica","page":"153-168","title":"Principles of Interpretive Charity and the Semantics of Knowledge Attributions","volume":"31","author":[{"family":"Stoutenburg","given":"Gregory"}],"issued":{"date-parts":[["2016"]]}}}],"schema":"https://github.com/citation-style-language/schema/raw/master/csl-citation.json"} </w:instrText>
      </w:r>
      <w:r w:rsidR="009D0C0C">
        <w:fldChar w:fldCharType="separate"/>
      </w:r>
      <w:r w:rsidR="00CC76D4" w:rsidRPr="00CC76D4">
        <w:t>(Stoutenburg 2016)</w:t>
      </w:r>
      <w:r w:rsidR="009D0C0C">
        <w:fldChar w:fldCharType="end"/>
      </w:r>
      <w:r w:rsidR="00D67D5E">
        <w:t>.</w:t>
      </w:r>
      <w:r w:rsidR="0042059F">
        <w:t xml:space="preserve"> For example, because philosophers are </w:t>
      </w:r>
      <w:r w:rsidR="000D5088">
        <w:t xml:space="preserve">competent users of the concept </w:t>
      </w:r>
      <w:r w:rsidR="000D5088">
        <w:rPr>
          <w:i/>
          <w:iCs/>
        </w:rPr>
        <w:t>knowledge</w:t>
      </w:r>
      <w:r w:rsidR="000D5088">
        <w:t xml:space="preserve">, when Gettier’s counterexamples to the fallible </w:t>
      </w:r>
      <w:r w:rsidR="00ED3B98">
        <w:t xml:space="preserve">justified-true-belief analysis were proposed, (almost) everyone recognized that their </w:t>
      </w:r>
      <w:r w:rsidR="00F1513E">
        <w:t xml:space="preserve">own </w:t>
      </w:r>
      <w:r w:rsidR="00ED3B98">
        <w:t>concept of knowledge is not the justified-true-belief concept.</w:t>
      </w:r>
      <w:r w:rsidR="00EC2D5A">
        <w:t xml:space="preserve"> </w:t>
      </w:r>
      <w:r w:rsidR="00374EF8">
        <w:t xml:space="preserve">If philosophers had not </w:t>
      </w:r>
      <w:r w:rsidR="00253003">
        <w:t xml:space="preserve">recognized the mismatch between </w:t>
      </w:r>
      <w:r w:rsidR="00F1513E">
        <w:t>that account</w:t>
      </w:r>
      <w:r w:rsidR="00253003">
        <w:t xml:space="preserve"> and their own concept of knowledge, then it would be a mystery as to why </w:t>
      </w:r>
      <w:r w:rsidR="00F1513E">
        <w:t xml:space="preserve">learning of </w:t>
      </w:r>
      <w:r w:rsidR="00253003">
        <w:t xml:space="preserve">Gettier’s examples prompted any kind of </w:t>
      </w:r>
      <w:r w:rsidR="00333258">
        <w:t>revision.</w:t>
      </w:r>
    </w:p>
    <w:p w14:paraId="115D979C" w14:textId="77777777" w:rsidR="008A7B61" w:rsidRDefault="00C31E63" w:rsidP="008A7B61">
      <w:pPr>
        <w:ind w:firstLine="720"/>
      </w:pPr>
      <w:r>
        <w:t>This observation</w:t>
      </w:r>
      <w:r w:rsidR="00BC00F5">
        <w:t xml:space="preserve"> </w:t>
      </w:r>
      <w:r w:rsidR="00787281">
        <w:t>implies</w:t>
      </w:r>
      <w:r w:rsidR="00BC00F5">
        <w:t xml:space="preserve"> a constraint on </w:t>
      </w:r>
      <w:r w:rsidR="00660AA2">
        <w:t>which</w:t>
      </w:r>
      <w:r w:rsidR="00BC00F5">
        <w:t xml:space="preserve"> </w:t>
      </w:r>
      <w:r w:rsidR="006616AF">
        <w:t>philosophical theories can be justifiably believed</w:t>
      </w:r>
      <w:r w:rsidR="008A7B61">
        <w:t xml:space="preserve">. </w:t>
      </w:r>
    </w:p>
    <w:p w14:paraId="16738D96" w14:textId="77777777" w:rsidR="008A7B61" w:rsidRDefault="008A7B61" w:rsidP="008A7B61">
      <w:pPr>
        <w:ind w:left="720"/>
      </w:pPr>
      <w:r w:rsidRPr="008A7B61">
        <w:rPr>
          <w:u w:val="single"/>
        </w:rPr>
        <w:t>Constraint</w:t>
      </w:r>
      <w:r>
        <w:t xml:space="preserve">: </w:t>
      </w:r>
      <w:r w:rsidR="00E358BD" w:rsidRPr="008A7B61">
        <w:t xml:space="preserve">I can justifiably believe </w:t>
      </w:r>
      <w:r w:rsidR="00017DA4" w:rsidRPr="008A7B61">
        <w:t>my own judgment</w:t>
      </w:r>
      <w:r w:rsidR="00BD7464" w:rsidRPr="008A7B61">
        <w:t xml:space="preserve"> about a hypothetical scenario</w:t>
      </w:r>
      <w:r w:rsidR="00E358BD" w:rsidRPr="008A7B61">
        <w:t xml:space="preserve"> only if I have </w:t>
      </w:r>
      <w:r w:rsidR="0094284B" w:rsidRPr="008A7B61">
        <w:t xml:space="preserve">no reason to believe that I am likely to be mistaken </w:t>
      </w:r>
      <w:r w:rsidR="009220AF" w:rsidRPr="008A7B61">
        <w:t xml:space="preserve">in my </w:t>
      </w:r>
      <w:r w:rsidR="00BD7464" w:rsidRPr="008A7B61">
        <w:t>thought and judgment</w:t>
      </w:r>
      <w:r w:rsidR="009220AF" w:rsidRPr="008A7B61">
        <w:t xml:space="preserve"> about the</w:t>
      </w:r>
      <w:r w:rsidR="00BD7464" w:rsidRPr="008A7B61">
        <w:t xml:space="preserve"> hypothetical scenario</w:t>
      </w:r>
      <w:r w:rsidR="00BD7464" w:rsidRPr="009F302C">
        <w:rPr>
          <w:i/>
        </w:rPr>
        <w:t>.</w:t>
      </w:r>
      <w:r w:rsidR="00BD7464">
        <w:t xml:space="preserve"> </w:t>
      </w:r>
    </w:p>
    <w:p w14:paraId="349303DE" w14:textId="58FA53F4" w:rsidR="00CC3412" w:rsidRDefault="00017DA4" w:rsidP="008A7B61">
      <w:r>
        <w:t xml:space="preserve">Consider: </w:t>
      </w:r>
      <w:r w:rsidR="00BD7464">
        <w:t xml:space="preserve">If I have reason to believe that I am pathetically innumerate, and we attempt to split </w:t>
      </w:r>
      <w:r w:rsidR="00EE022C">
        <w:t xml:space="preserve">a restaurant </w:t>
      </w:r>
      <w:r w:rsidR="00BD7464">
        <w:t>bill and calculate an appropriate tip</w:t>
      </w:r>
      <w:r w:rsidR="00EE022C">
        <w:t>, I am at least typically not justified in believing the results of my</w:t>
      </w:r>
      <w:r w:rsidR="00087595">
        <w:t xml:space="preserve"> probably unreliable calculation.</w:t>
      </w:r>
    </w:p>
    <w:p w14:paraId="726CB5D2" w14:textId="5798802C" w:rsidR="00173858" w:rsidRDefault="00163E23" w:rsidP="00173858">
      <w:r>
        <w:tab/>
        <w:t xml:space="preserve">Now </w:t>
      </w:r>
      <w:r w:rsidR="00F22D15">
        <w:t>I will apply this modest constraint</w:t>
      </w:r>
      <w:r>
        <w:t xml:space="preserve">. </w:t>
      </w:r>
      <w:r w:rsidR="00173858" w:rsidRPr="00614074">
        <w:t xml:space="preserve">The most popular accounts of knowledge attributions are </w:t>
      </w:r>
      <w:r w:rsidR="00FF47D5">
        <w:t xml:space="preserve">probably </w:t>
      </w:r>
      <w:r w:rsidR="00173858" w:rsidRPr="00614074">
        <w:t>epistemic contextualism and strict moderate</w:t>
      </w:r>
      <w:r w:rsidR="00173858">
        <w:t xml:space="preserve"> invariantism, so I will focus on them. Cohen’s Airport Case </w:t>
      </w:r>
      <w:r w:rsidR="00173858">
        <w:fldChar w:fldCharType="begin"/>
      </w:r>
      <w:r w:rsidR="00173858">
        <w:instrText xml:space="preserve"> ADDIN ZOTERO_ITEM CSL_CITATION {"citationID":"cbl2jkI1","properties":{"formattedCitation":"(1999)","plainCitation":"(1999)","noteIndex":0},"citationItems":[{"id":823,"uris":["http://zotero.org/users/5906299/items/VWN8VR62"],"uri":["http://zotero.org/users/5906299/items/VWN8VR62"],"itemData":{"id":823,"type":"article-journal","container-title":"Noûs","DOI":"10.2307/2676096","ISSN":"00294624","journalAbbreviation":"Noûs","page":"57-89","title":"Contextualism, Skepticism, and the Structure of Reasons","volume":"33","author":[{"family":"Cohen","given":"Stewart"}],"issued":{"date-parts":[["1999"]]}},"suppress-author":true}],"schema":"https://github.com/citation-style-language/schema/raw/master/csl-citation.json"} </w:instrText>
      </w:r>
      <w:r w:rsidR="00173858">
        <w:fldChar w:fldCharType="separate"/>
      </w:r>
      <w:r w:rsidR="00173858" w:rsidRPr="007F65EA">
        <w:t>(1999)</w:t>
      </w:r>
      <w:r w:rsidR="00173858">
        <w:fldChar w:fldCharType="end"/>
      </w:r>
      <w:r w:rsidR="00173858">
        <w:t xml:space="preserve"> </w:t>
      </w:r>
      <w:r w:rsidR="00F004CE">
        <w:t>can be used to introduce both.</w:t>
      </w:r>
    </w:p>
    <w:p w14:paraId="4F884029" w14:textId="77777777" w:rsidR="00173858" w:rsidRDefault="00173858" w:rsidP="00173858">
      <w:pPr>
        <w:pStyle w:val="Quote"/>
        <w:rPr>
          <w:rStyle w:val="QuoteChar"/>
        </w:rPr>
      </w:pPr>
      <w:r w:rsidRPr="00223077">
        <w:rPr>
          <w:rStyle w:val="QuoteChar"/>
          <w:u w:val="single"/>
        </w:rPr>
        <w:t>Airport Case</w:t>
      </w:r>
      <w:r>
        <w:rPr>
          <w:rStyle w:val="QuoteChar"/>
        </w:rPr>
        <w:t xml:space="preserve">: </w:t>
      </w:r>
      <w:r w:rsidRPr="00F8307A">
        <w:rPr>
          <w:rStyle w:val="QuoteChar"/>
        </w:rPr>
        <w:t>Two passengers</w:t>
      </w:r>
      <w:r>
        <w:rPr>
          <w:rStyle w:val="QuoteChar"/>
        </w:rPr>
        <w:t xml:space="preserve">, </w:t>
      </w:r>
      <w:r w:rsidRPr="00F8307A">
        <w:rPr>
          <w:rStyle w:val="QuoteChar"/>
        </w:rPr>
        <w:t>Mary and John</w:t>
      </w:r>
      <w:r>
        <w:rPr>
          <w:rStyle w:val="QuoteChar"/>
        </w:rPr>
        <w:t>,</w:t>
      </w:r>
      <w:r w:rsidRPr="00F8307A">
        <w:rPr>
          <w:rStyle w:val="QuoteChar"/>
        </w:rPr>
        <w:t xml:space="preserve"> are at the airport wondering whether the flight they plan to board has a layover in Chicago.  They observe</w:t>
      </w:r>
      <w:r>
        <w:rPr>
          <w:rStyle w:val="QuoteChar"/>
        </w:rPr>
        <w:t xml:space="preserve"> another passenger, </w:t>
      </w:r>
      <w:r w:rsidRPr="00F8307A">
        <w:rPr>
          <w:rStyle w:val="QuoteChar"/>
        </w:rPr>
        <w:t>Smith</w:t>
      </w:r>
      <w:r>
        <w:rPr>
          <w:rStyle w:val="QuoteChar"/>
        </w:rPr>
        <w:t>,</w:t>
      </w:r>
      <w:r w:rsidRPr="00F8307A">
        <w:rPr>
          <w:rStyle w:val="QuoteChar"/>
        </w:rPr>
        <w:t xml:space="preserve"> look at his own itinerary and claim to himself that he knows the flight stops in Chicago.  Mary and John have an important meeting in Chicago.  Mary says to John, “How reliable is that itinerary?  It could contain a misprint. They could have changed the schedule at the last minute.”  Mary and John conclude that Smith </w:t>
      </w:r>
      <w:r>
        <w:rPr>
          <w:rStyle w:val="QuoteChar"/>
        </w:rPr>
        <w:t>does not</w:t>
      </w:r>
      <w:r w:rsidRPr="00F8307A">
        <w:rPr>
          <w:rStyle w:val="QuoteChar"/>
        </w:rPr>
        <w:t xml:space="preserve"> know there is a layover in Chicago and decide to answer their own doubts by checking with a gate attendant for more information about the flight</w:t>
      </w:r>
      <w:r>
        <w:rPr>
          <w:rStyle w:val="QuoteChar"/>
        </w:rPr>
        <w:t>.</w:t>
      </w:r>
    </w:p>
    <w:p w14:paraId="0E2EE690" w14:textId="77777777" w:rsidR="008D089A" w:rsidRDefault="00173858" w:rsidP="00C612A8">
      <w:pPr>
        <w:ind w:firstLine="720"/>
      </w:pPr>
      <w:r>
        <w:lastRenderedPageBreak/>
        <w:t xml:space="preserve">Smith says, </w:t>
      </w:r>
      <w:r w:rsidR="008D089A">
        <w:t xml:space="preserve">(1) </w:t>
      </w:r>
      <w:r>
        <w:t xml:space="preserve">“I know that the flight stops in Chicago”. Mary says, </w:t>
      </w:r>
      <w:r w:rsidR="008D089A">
        <w:t xml:space="preserve">(2) </w:t>
      </w:r>
      <w:r>
        <w:t xml:space="preserve">“Smith does not know that the flight stops in Chicago.” </w:t>
      </w:r>
    </w:p>
    <w:p w14:paraId="7AA92F14" w14:textId="7F5E067C" w:rsidR="00657CAC" w:rsidRDefault="008D089A" w:rsidP="00C612A8">
      <w:pPr>
        <w:ind w:firstLine="720"/>
      </w:pPr>
      <w:r>
        <w:t xml:space="preserve">Contextualism says (1) and (2) are both true. </w:t>
      </w:r>
      <w:r w:rsidR="00173858">
        <w:t xml:space="preserve">On the surface, </w:t>
      </w:r>
      <w:r w:rsidR="00DB34FD">
        <w:t>(1) and (2)</w:t>
      </w:r>
      <w:r w:rsidR="00173858">
        <w:t xml:space="preserve"> contradict one another. Contextualism </w:t>
      </w:r>
      <w:r w:rsidR="00DB34FD">
        <w:t>resolves this by claiming</w:t>
      </w:r>
      <w:r w:rsidR="00173858">
        <w:t xml:space="preserve"> that “S knows that p” expresses different contents in different contexts of use. So, </w:t>
      </w:r>
      <w:r w:rsidR="00DB34FD">
        <w:t>(1) and (2) are not genuine contradictions</w:t>
      </w:r>
      <w:r w:rsidR="00173858">
        <w:t xml:space="preserve">. </w:t>
      </w:r>
      <w:r w:rsidR="003B27A5">
        <w:t xml:space="preserve">They appear to be—which explains why Mary </w:t>
      </w:r>
      <w:r w:rsidR="00253B3B">
        <w:t xml:space="preserve">(according to contextualism, </w:t>
      </w:r>
      <w:r w:rsidR="00253B3B" w:rsidRPr="00253B3B">
        <w:rPr>
          <w:i/>
          <w:iCs/>
        </w:rPr>
        <w:t>falsely</w:t>
      </w:r>
      <w:r w:rsidR="00253B3B">
        <w:t>)</w:t>
      </w:r>
      <w:r w:rsidR="007516F5">
        <w:t xml:space="preserve"> believes</w:t>
      </w:r>
      <w:r w:rsidR="00253B3B">
        <w:t xml:space="preserve"> </w:t>
      </w:r>
      <w:r w:rsidR="003B27A5">
        <w:t xml:space="preserve">that </w:t>
      </w:r>
      <w:r w:rsidR="00A511C9">
        <w:t xml:space="preserve">standards applicable in </w:t>
      </w:r>
      <w:r w:rsidR="00A511C9" w:rsidRPr="00253B3B">
        <w:t>her</w:t>
      </w:r>
      <w:r w:rsidR="00A511C9">
        <w:rPr>
          <w:i/>
          <w:iCs/>
        </w:rPr>
        <w:t xml:space="preserve"> </w:t>
      </w:r>
      <w:r w:rsidR="00A511C9">
        <w:t xml:space="preserve">context support </w:t>
      </w:r>
      <w:r w:rsidR="007516F5">
        <w:t>a knowledge-denial that contradicts (1)</w:t>
      </w:r>
      <w:r w:rsidR="00FA1912">
        <w:t>.</w:t>
      </w:r>
      <w:r w:rsidR="003B27A5">
        <w:t xml:space="preserve"> </w:t>
      </w:r>
    </w:p>
    <w:p w14:paraId="158FED02" w14:textId="35A66201" w:rsidR="00120307" w:rsidRDefault="00B704D3" w:rsidP="00230CF3">
      <w:pPr>
        <w:ind w:firstLine="720"/>
      </w:pPr>
      <w:r>
        <w:t xml:space="preserve">It is strange that Mary would think this if contextualism were true. </w:t>
      </w:r>
      <w:r w:rsidR="00FA1912">
        <w:t>I</w:t>
      </w:r>
      <w:r w:rsidR="00001383">
        <w:t xml:space="preserve">f </w:t>
      </w:r>
      <w:r w:rsidR="00C21B22">
        <w:t xml:space="preserve">it really </w:t>
      </w:r>
      <w:r w:rsidR="00FA1912">
        <w:t>were</w:t>
      </w:r>
      <w:r w:rsidR="00C21B22">
        <w:t xml:space="preserve"> true that our knowledge-attributing utterances pick up some of their content from the context in which we speak or think, </w:t>
      </w:r>
      <w:r w:rsidR="003E53C4">
        <w:t xml:space="preserve">and we were unaware of this fact, </w:t>
      </w:r>
      <w:r w:rsidR="00C21B22">
        <w:t xml:space="preserve">then we speakers </w:t>
      </w:r>
      <w:r w:rsidR="00965159">
        <w:t>would</w:t>
      </w:r>
      <w:r w:rsidR="00C21B22">
        <w:t xml:space="preserve"> </w:t>
      </w:r>
      <w:r w:rsidR="00C21B22" w:rsidRPr="00965159">
        <w:t>typically</w:t>
      </w:r>
      <w:r w:rsidR="00C21B22">
        <w:t xml:space="preserve"> </w:t>
      </w:r>
      <w:r w:rsidR="00965159">
        <w:t xml:space="preserve">be </w:t>
      </w:r>
      <w:r w:rsidR="00C21B22">
        <w:t xml:space="preserve">unaware of the contents of our </w:t>
      </w:r>
      <w:r w:rsidR="001A5ABF">
        <w:t>knowledge-</w:t>
      </w:r>
      <w:r w:rsidR="0090609A">
        <w:t>attributions</w:t>
      </w:r>
      <w:r w:rsidR="00C21B22">
        <w:t xml:space="preserve"> </w:t>
      </w:r>
      <w:r w:rsidR="00C21B22">
        <w:fldChar w:fldCharType="begin"/>
      </w:r>
      <w:r w:rsidR="00025351">
        <w:instrText xml:space="preserve"> ADDIN ZOTERO_ITEM CSL_CITATION {"citationID":"LcrX3KbU","properties":{"formattedCitation":"(cf. Abath 2012)","plainCitation":"(cf. Abath 2012)","noteIndex":0},"citationItems":[{"id":863,"uris":["http://zotero.org/users/5906299/items/9XF77FSX"],"uri":["http://zotero.org/users/5906299/items/9XF77FSX"],"itemData":{"id":863,"type":"article-journal","container-title":"Australasian Journal of Philosophy","DOI":"10.1080/00048402.2011.631021","ISSN":"0004-8402 1471-6828","issue":"3","journalAbbreviation":"Australasian J Phil.","page":"593-597","title":"Epistemic Contextualism, Semantic Blindness and Content Unawareness","volume":"90","author":[{"family":"Abath","given":"André J."}],"issued":{"date-parts":[["2012"]]}},"prefix":"cf. "}],"schema":"https://github.com/citation-style-language/schema/raw/master/csl-citation.json"} </w:instrText>
      </w:r>
      <w:r w:rsidR="00C21B22">
        <w:fldChar w:fldCharType="separate"/>
      </w:r>
      <w:r w:rsidR="00025351" w:rsidRPr="00025351">
        <w:t>(cf. Abath 2012)</w:t>
      </w:r>
      <w:r w:rsidR="00C21B22">
        <w:fldChar w:fldCharType="end"/>
      </w:r>
      <w:r w:rsidR="00025351">
        <w:t>.</w:t>
      </w:r>
      <w:r w:rsidR="001A5ABF">
        <w:rPr>
          <w:rStyle w:val="FootnoteReference"/>
        </w:rPr>
        <w:footnoteReference w:id="8"/>
      </w:r>
      <w:r w:rsidR="00A77D15">
        <w:t xml:space="preserve"> </w:t>
      </w:r>
      <w:r w:rsidR="003D4D62">
        <w:t xml:space="preserve">But this violates the </w:t>
      </w:r>
      <w:r w:rsidR="00C662F2">
        <w:t xml:space="preserve">constraint given above. </w:t>
      </w:r>
      <w:r w:rsidR="002A368C">
        <w:t xml:space="preserve">The </w:t>
      </w:r>
      <w:r w:rsidR="003D4D62">
        <w:t>usual</w:t>
      </w:r>
      <w:r w:rsidR="002A368C">
        <w:t xml:space="preserve"> methodology has it that we </w:t>
      </w:r>
      <w:r w:rsidR="00CC33CE">
        <w:t xml:space="preserve">consider judgments about hypothetical scenarios and try to sort </w:t>
      </w:r>
      <w:r w:rsidR="004C55C5">
        <w:t>them</w:t>
      </w:r>
      <w:r w:rsidR="00CC33CE">
        <w:t xml:space="preserve"> into </w:t>
      </w:r>
      <w:r w:rsidR="004C55C5">
        <w:t>a</w:t>
      </w:r>
      <w:r w:rsidR="00CC33CE">
        <w:t xml:space="preserve"> systematic theory. But if contextualism is true, we </w:t>
      </w:r>
      <w:r w:rsidR="00832E72">
        <w:t>rely upon</w:t>
      </w:r>
      <w:r w:rsidR="00CC33CE">
        <w:t xml:space="preserve"> damaged instruments: </w:t>
      </w:r>
      <w:r w:rsidR="0049616F">
        <w:t xml:space="preserve">like Mary, </w:t>
      </w:r>
      <w:r w:rsidR="00CC33CE">
        <w:t>we should n</w:t>
      </w:r>
      <w:r w:rsidR="003401FE">
        <w:t xml:space="preserve">ot be confident </w:t>
      </w:r>
      <w:r w:rsidR="00F3432C">
        <w:t xml:space="preserve">about what our judgments </w:t>
      </w:r>
      <w:r w:rsidR="00F3432C">
        <w:rPr>
          <w:i/>
          <w:iCs/>
        </w:rPr>
        <w:t>are</w:t>
      </w:r>
      <w:r w:rsidR="00C612A8">
        <w:t>, let alone that those judgments (whatever they are) are true</w:t>
      </w:r>
      <w:r w:rsidR="00D60E90">
        <w:t>.</w:t>
      </w:r>
      <w:r w:rsidR="00230CF3">
        <w:t xml:space="preserve"> </w:t>
      </w:r>
      <w:r w:rsidR="00867506">
        <w:t>So, i</w:t>
      </w:r>
      <w:r w:rsidR="00120307">
        <w:t xml:space="preserve">f </w:t>
      </w:r>
      <w:r w:rsidR="00C612A8">
        <w:t>contextualism i</w:t>
      </w:r>
      <w:r w:rsidR="00120307">
        <w:t xml:space="preserve">s true, </w:t>
      </w:r>
      <w:r w:rsidR="00C612A8">
        <w:t xml:space="preserve">the </w:t>
      </w:r>
      <w:r w:rsidR="00867506">
        <w:t>error theory</w:t>
      </w:r>
      <w:r w:rsidR="00C612A8">
        <w:t xml:space="preserve"> it requires to explain why we think non-contradictory knowledge attributions are contradictory </w:t>
      </w:r>
      <w:r w:rsidR="00867506">
        <w:t xml:space="preserve">also </w:t>
      </w:r>
      <w:r w:rsidR="00C612A8">
        <w:t>implies that we should not believe contextualism is true.</w:t>
      </w:r>
    </w:p>
    <w:p w14:paraId="41AFD516" w14:textId="3A9569AF" w:rsidR="00BF6EE6" w:rsidRDefault="00120307" w:rsidP="00657CAC">
      <w:r>
        <w:tab/>
      </w:r>
      <w:r w:rsidR="00EB6061">
        <w:t xml:space="preserve">Strict moderate invariantism </w:t>
      </w:r>
      <w:r w:rsidR="00C612A8">
        <w:t>says (1) is true and (2) is false</w:t>
      </w:r>
      <w:r w:rsidR="000C01CB">
        <w:t xml:space="preserve">, and it </w:t>
      </w:r>
      <w:r w:rsidR="00EB6061">
        <w:t xml:space="preserve">may be even more obviously </w:t>
      </w:r>
      <w:r w:rsidR="00173858">
        <w:t>self-undermining</w:t>
      </w:r>
      <w:r w:rsidR="000C01CB">
        <w:t xml:space="preserve"> than contextualism is, as</w:t>
      </w:r>
      <w:r w:rsidR="00E12E22">
        <w:t xml:space="preserve"> I have argued elsewhere </w:t>
      </w:r>
      <w:r w:rsidR="00CF4E8E">
        <w:fldChar w:fldCharType="begin"/>
      </w:r>
      <w:r w:rsidR="003E5605">
        <w:instrText xml:space="preserve"> ADDIN ZOTERO_ITEM CSL_CITATION {"citationID":"nHG7JjVS","properties":{"formattedCitation":"(2017)","plainCitation":"(2017)","noteIndex":0},"citationItems":[{"id":143,"uris":["http://zotero.org/users/5906299/items/JAUAGNL8"],"uri":["http://zotero.org/users/5906299/items/JAUAGNL8"],"itemData":{"id":143,"type":"article-journal","abstract":"Strict moderate invariantism is the ho-hum, ‘obvious’ view about knowledge attributions. It says knowledge attributions are often true and that only traditional epistemic factors like belief, truth, and justification make them true. As commonsensical as strict moderate invariantism is, it is equally natural to withdraw a knowledge attribution when error possibilities are made salient. If strict moderate invariantism is true, these knowledge-denials are often false because the subject does in fact know the proposition. I argue that strict moderate invariantism needs an explanation of this phenomenon, but it does not have one. That is significant, for if strict moderate invariantism does not square with ordinary intuition, then it cannot rely on ordinary intuition for support. Section 1 introduces the concept of epistemic relevance blindness, which says ordinary subjects are generally insensitive to whether or not error possibilities are relevant to knowledge attributions. Section 2 focuses on Patrick Rysiew’s influential strict moderate invariantist pragmatic explanation of knowledge-denials and argues that such pragmatic explanations of knowledge-denials depend on attributors being epistemic relevance blind. Section 3 targets psychological explanations of epistemic relevance blindness offered separately by Jennifer Nagel and Mikkel Gerken. I argue that strict moderate invariantists lack a plausible explanation of epistemic relevance blindness.","container-title":"Philosophical Studies","DOI":"10.1007/s11098-016-0786-0","ISSN":"1573-0883","issue":"8","journalAbbreviation":"Phil. Stud","page":"2029-2044","title":"Strict Moderate Invariantism and Knowledge-Denials","volume":"174","author":[{"family":"Stoutenburg","given":"Gregory"}],"issued":{"date-parts":[["2017",8,1]]}},"suppress-author":true}],"schema":"https://github.com/citation-style-language/schema/raw/master/csl-citation.json"} </w:instrText>
      </w:r>
      <w:r w:rsidR="00CF4E8E">
        <w:fldChar w:fldCharType="separate"/>
      </w:r>
      <w:r w:rsidR="003E5605" w:rsidRPr="003E5605">
        <w:t>(2017)</w:t>
      </w:r>
      <w:r w:rsidR="00CF4E8E">
        <w:fldChar w:fldCharType="end"/>
      </w:r>
      <w:r w:rsidR="00173858">
        <w:t>.</w:t>
      </w:r>
      <w:r w:rsidR="00CC7F59">
        <w:t xml:space="preserve"> As Smith and Mary have equally good evidence, it is assumed that </w:t>
      </w:r>
      <w:r w:rsidR="00657CAC">
        <w:t xml:space="preserve">Mary </w:t>
      </w:r>
      <w:r w:rsidR="00CC7F59">
        <w:t xml:space="preserve">knows the flight stops in Chicago, but </w:t>
      </w:r>
      <w:r w:rsidR="00977664">
        <w:t xml:space="preserve">falsely denies it for some reason. </w:t>
      </w:r>
      <w:r w:rsidR="00657CAC">
        <w:t xml:space="preserve">Mary’s knowledge-denial seems correct, so strict moderate invariantism must explain </w:t>
      </w:r>
      <w:r w:rsidR="00977664">
        <w:t>it</w:t>
      </w:r>
      <w:r w:rsidR="00902F24">
        <w:t>.</w:t>
      </w:r>
      <w:r w:rsidR="00657CAC">
        <w:tab/>
        <w:t>The standard explanation</w:t>
      </w:r>
      <w:r w:rsidR="005668A4">
        <w:t xml:space="preserve">, </w:t>
      </w:r>
      <w:r w:rsidR="00657CAC">
        <w:t xml:space="preserve">given by Rysiew </w:t>
      </w:r>
      <w:r w:rsidR="00657CAC">
        <w:fldChar w:fldCharType="begin"/>
      </w:r>
      <w:r w:rsidR="00CF4E8E">
        <w:instrText xml:space="preserve"> ADDIN ZOTERO_ITEM CSL_CITATION {"citationID":"cZcVwxNj","properties":{"formattedCitation":"(2001)","plainCitation":"(2001)","noteIndex":0},"citationItems":[{"id":1193,"uris":["http://zotero.org/users/5906299/items/PYAV5DGE"],"uri":["http://zotero.org/users/5906299/items/PYAV5DGE"],"itemData":{"id":1193,"type":"article-journal","container-title":"Noûs","DOI":"10.1111/0029-4624.00349","ISSN":"1468-0068","issue":"4","journalAbbreviation":"Noûs","page":"477-514","title":"The Context-Sensitivity of Knowledge Attributions","volume":"35","author":[{"family":"Rysiew","given":"Patrick"}],"issued":{"date-parts":[["2001"]]}},"suppress-author":true}],"schema":"https://github.com/citation-style-language/schema/raw/master/csl-citation.json"} </w:instrText>
      </w:r>
      <w:r w:rsidR="00657CAC">
        <w:fldChar w:fldCharType="separate"/>
      </w:r>
      <w:r w:rsidR="00CF4E8E" w:rsidRPr="00CF4E8E">
        <w:t>(2001)</w:t>
      </w:r>
      <w:r w:rsidR="00657CAC">
        <w:fldChar w:fldCharType="end"/>
      </w:r>
      <w:r w:rsidR="005668A4">
        <w:t>,</w:t>
      </w:r>
      <w:r w:rsidR="00CF4E8E">
        <w:t xml:space="preserve"> holds that </w:t>
      </w:r>
      <w:r w:rsidR="00BB590D">
        <w:t xml:space="preserve">“S knows that p” expresses that S truly and justifiably believes that p and S can eliminate all </w:t>
      </w:r>
      <w:r w:rsidR="005668A4" w:rsidRPr="006A206D">
        <w:rPr>
          <w:i/>
        </w:rPr>
        <w:t>likely</w:t>
      </w:r>
      <w:r w:rsidR="005668A4">
        <w:t xml:space="preserve"> </w:t>
      </w:r>
      <w:r w:rsidR="00BB590D">
        <w:t>not-p possibilities</w:t>
      </w:r>
      <w:r w:rsidR="005668A4">
        <w:t>;</w:t>
      </w:r>
      <w:r w:rsidR="003E1C9F">
        <w:t xml:space="preserve"> “S knows that p” </w:t>
      </w:r>
      <w:r w:rsidR="009E69BF">
        <w:t>c</w:t>
      </w:r>
      <w:r w:rsidR="003E1C9F">
        <w:t>onvey</w:t>
      </w:r>
      <w:r w:rsidR="009E69BF">
        <w:t>s</w:t>
      </w:r>
      <w:r w:rsidR="003E1C9F">
        <w:t xml:space="preserve"> that S can eliminate all </w:t>
      </w:r>
      <w:r w:rsidR="003E1C9F" w:rsidRPr="006A206D">
        <w:rPr>
          <w:i/>
        </w:rPr>
        <w:t>salient</w:t>
      </w:r>
      <w:r w:rsidR="003E1C9F">
        <w:t xml:space="preserve"> not-p possibilities</w:t>
      </w:r>
      <w:r w:rsidR="006A206D">
        <w:t xml:space="preserve"> (which may or may not be relevant)</w:t>
      </w:r>
      <w:r w:rsidR="003E1C9F">
        <w:t xml:space="preserve">. </w:t>
      </w:r>
      <w:r w:rsidR="005668A4">
        <w:t>Applied to the airport case</w:t>
      </w:r>
      <w:r w:rsidR="003E1C9F">
        <w:t xml:space="preserve">, </w:t>
      </w:r>
      <w:r w:rsidR="00CC348F">
        <w:t xml:space="preserve">after the raising of the misprint possibility, Mary </w:t>
      </w:r>
      <w:r w:rsidR="005668A4">
        <w:t>says (2)</w:t>
      </w:r>
      <w:r w:rsidR="00CC348F">
        <w:t xml:space="preserve"> because she does not want to </w:t>
      </w:r>
      <w:r w:rsidR="00677A75">
        <w:t xml:space="preserve">convey that Smith </w:t>
      </w:r>
      <w:r w:rsidR="00677A75" w:rsidRPr="005668A4">
        <w:rPr>
          <w:i/>
          <w:iCs/>
        </w:rPr>
        <w:t>can</w:t>
      </w:r>
      <w:r w:rsidR="00677A75">
        <w:t xml:space="preserve"> eliminate the misprint possibility.</w:t>
      </w:r>
      <w:r w:rsidR="00405609">
        <w:t xml:space="preserve"> </w:t>
      </w:r>
      <w:r w:rsidR="00BF6EE6">
        <w:t xml:space="preserve">For whatever reason, on this account Mary asserts </w:t>
      </w:r>
      <w:r w:rsidR="005668A4">
        <w:t>the</w:t>
      </w:r>
      <w:r w:rsidR="00BF6EE6">
        <w:t xml:space="preserve"> falsehood </w:t>
      </w:r>
      <w:r w:rsidR="005668A4">
        <w:t>(2)</w:t>
      </w:r>
      <w:r w:rsidR="00BF6EE6">
        <w:t xml:space="preserve"> </w:t>
      </w:r>
      <w:r w:rsidR="008F439F">
        <w:t xml:space="preserve">instead of a relevant truth (“Smith knows the flight stops in Chicago” or “the misprint possibility is irrelevant to whether Smith knows the flight stops in Chicago”), in order </w:t>
      </w:r>
      <w:r w:rsidR="00BF6EE6">
        <w:t xml:space="preserve">to avoid implicating an irrelevant </w:t>
      </w:r>
      <w:r w:rsidR="0098268F">
        <w:t>falsehood</w:t>
      </w:r>
      <w:r w:rsidR="00BE1B14">
        <w:t xml:space="preserve"> (“Smith can eliminate the misprint possibility”)</w:t>
      </w:r>
      <w:r w:rsidR="0098268F">
        <w:t>.</w:t>
      </w:r>
    </w:p>
    <w:p w14:paraId="1CEF7531" w14:textId="338DCE10" w:rsidR="0098268F" w:rsidRDefault="0098268F" w:rsidP="00657CAC">
      <w:r>
        <w:tab/>
      </w:r>
      <w:r w:rsidR="00404D1A">
        <w:t>T</w:t>
      </w:r>
      <w:r w:rsidR="00A24393">
        <w:t xml:space="preserve">he </w:t>
      </w:r>
      <w:r w:rsidR="004761B5">
        <w:t>cause of</w:t>
      </w:r>
      <w:r w:rsidR="00A24393">
        <w:t xml:space="preserve"> the </w:t>
      </w:r>
      <w:r w:rsidR="00404D1A">
        <w:t xml:space="preserve">confusion in the exchange should not be overlooked: it </w:t>
      </w:r>
      <w:r w:rsidR="00A24393">
        <w:t xml:space="preserve">is that Mary </w:t>
      </w:r>
      <w:r w:rsidR="00F50D29">
        <w:t>is</w:t>
      </w:r>
      <w:r w:rsidR="00A24393">
        <w:t xml:space="preserve"> unaware that the misprint possibility is irrelevant to Smith’s knowledge and her own</w:t>
      </w:r>
      <w:r w:rsidR="00B802E5">
        <w:t>, and consequently unaware of the truth</w:t>
      </w:r>
      <w:r w:rsidR="009C4337">
        <w:t>-values of ordinary knowledge attributions in ordinary contexts</w:t>
      </w:r>
      <w:r w:rsidR="00A24393">
        <w:t xml:space="preserve">. </w:t>
      </w:r>
      <w:r w:rsidR="007F315C">
        <w:t xml:space="preserve">I assume </w:t>
      </w:r>
      <w:r w:rsidR="004D490D">
        <w:t xml:space="preserve">that </w:t>
      </w:r>
      <w:r w:rsidR="00403812">
        <w:t>philosophers are ‘ordinary’ speakers</w:t>
      </w:r>
      <w:r w:rsidR="005408E3">
        <w:t>, too</w:t>
      </w:r>
      <w:r w:rsidR="00463261">
        <w:t xml:space="preserve">. </w:t>
      </w:r>
      <w:r w:rsidR="005668A4">
        <w:t xml:space="preserve">We </w:t>
      </w:r>
      <w:r w:rsidR="00463261">
        <w:t xml:space="preserve">access truths about what counts as knowledge </w:t>
      </w:r>
      <w:r w:rsidR="005668A4">
        <w:t xml:space="preserve">only indirectly, </w:t>
      </w:r>
      <w:r w:rsidR="00463261">
        <w:t xml:space="preserve">through considered judgments about hypothetical scenarios. </w:t>
      </w:r>
      <w:r w:rsidR="00E47A7F">
        <w:t xml:space="preserve">So, there is a serious methodological problem with claiming, as strict moderate invariantism </w:t>
      </w:r>
      <w:r w:rsidR="005668A4">
        <w:t>must</w:t>
      </w:r>
      <w:r w:rsidR="00E47A7F">
        <w:t xml:space="preserve">, that </w:t>
      </w:r>
      <w:r w:rsidR="00500FD1">
        <w:t xml:space="preserve">we </w:t>
      </w:r>
      <w:r w:rsidR="0051694F">
        <w:t>ar</w:t>
      </w:r>
      <w:r w:rsidR="00E47A7F">
        <w:t xml:space="preserve">e fundamentally confused about what is and is not relevant to </w:t>
      </w:r>
      <w:r w:rsidR="00E47A7F">
        <w:lastRenderedPageBreak/>
        <w:t>knowledge</w:t>
      </w:r>
      <w:r w:rsidR="0048594B">
        <w:t>, and also that we can use our thoughts about what is and is not relevant to knowledge to discover that strict moderate invariantism is true.</w:t>
      </w:r>
      <w:r w:rsidR="00AA6C27">
        <w:rPr>
          <w:rStyle w:val="FootnoteReference"/>
        </w:rPr>
        <w:footnoteReference w:id="9"/>
      </w:r>
    </w:p>
    <w:p w14:paraId="38431899" w14:textId="05CB0EF3" w:rsidR="00F11F4A" w:rsidRDefault="0028577C" w:rsidP="00657CAC">
      <w:r>
        <w:tab/>
      </w:r>
      <w:r w:rsidR="00025BEE">
        <w:t xml:space="preserve">One might worry that a similar argument </w:t>
      </w:r>
      <w:r w:rsidR="00150CFF">
        <w:t xml:space="preserve">works against skeptical invariantism. After all, </w:t>
      </w:r>
      <w:r w:rsidR="00D71ABE">
        <w:t xml:space="preserve">we often sincerely assert that we know that something is true, but skepticism implies that such claims are false. </w:t>
      </w:r>
      <w:r w:rsidR="00F42F83">
        <w:t xml:space="preserve">While any skeptical view </w:t>
      </w:r>
      <w:r w:rsidR="00397BB1">
        <w:t xml:space="preserve">surely </w:t>
      </w:r>
      <w:r w:rsidR="00F42F83">
        <w:t xml:space="preserve">must meet that demand, it is important to recognize that the arguments I just gave point to </w:t>
      </w:r>
      <w:r w:rsidR="00E76AE7">
        <w:t xml:space="preserve">a general methodological worry that uniquely affects the theories of knowledge attributions highlighted above. Those theories appear to </w:t>
      </w:r>
      <w:r w:rsidR="00E76AE7" w:rsidRPr="00085C3A">
        <w:t>undermine</w:t>
      </w:r>
      <w:r w:rsidR="00E76AE7">
        <w:t xml:space="preserve"> whatever support they </w:t>
      </w:r>
      <w:r w:rsidR="00EA17EE">
        <w:t xml:space="preserve">receive from our ordinary knowledge-attributing practices by calling into question the reliability of </w:t>
      </w:r>
      <w:r w:rsidR="00085C3A">
        <w:t xml:space="preserve">the intuitions </w:t>
      </w:r>
      <w:r w:rsidR="00EA17EE">
        <w:t xml:space="preserve">that govern </w:t>
      </w:r>
      <w:r w:rsidR="00085C3A">
        <w:t>those same</w:t>
      </w:r>
      <w:r w:rsidR="00EA17EE">
        <w:t xml:space="preserve"> practices. </w:t>
      </w:r>
      <w:r w:rsidR="00393E95">
        <w:t xml:space="preserve">The primary way that skeptical invariantists have attempted to </w:t>
      </w:r>
      <w:r w:rsidR="0050602A">
        <w:t>explain the appropriateness of our knowledge thought and talk</w:t>
      </w:r>
      <w:r w:rsidR="00EB2FBA">
        <w:t xml:space="preserve"> is by offering a </w:t>
      </w:r>
      <w:r w:rsidR="00EB2FBA" w:rsidRPr="000648A9">
        <w:rPr>
          <w:i/>
          <w:iCs/>
        </w:rPr>
        <w:t>pragmatic</w:t>
      </w:r>
      <w:r w:rsidR="00EB2FBA">
        <w:t xml:space="preserve"> account of </w:t>
      </w:r>
      <w:r w:rsidR="008817A3">
        <w:t xml:space="preserve">false knowledge attributions, which by design attempt to preserve semantic competence at the expense of </w:t>
      </w:r>
      <w:r w:rsidR="00CC4468">
        <w:t>making ordinary knowledge attributions come out true</w:t>
      </w:r>
      <w:r w:rsidR="008817A3">
        <w:t xml:space="preserve">. </w:t>
      </w:r>
      <w:r w:rsidR="00EB031A">
        <w:t xml:space="preserve">If our willingness to say and think “S knows that p” is similar to our willingness to exaggerate or speak loosely, for example, then </w:t>
      </w:r>
      <w:r w:rsidR="00837F62">
        <w:t xml:space="preserve">it would be a mistake to think that skeptical invariantism is methodologically questionable </w:t>
      </w:r>
      <w:r w:rsidR="00A9505B">
        <w:t>in the ways highlighted above.</w:t>
      </w:r>
    </w:p>
    <w:p w14:paraId="17FC1741" w14:textId="43A54ADB" w:rsidR="00F05C98" w:rsidRDefault="009D3BEF" w:rsidP="00D820FB">
      <w:pPr>
        <w:pStyle w:val="Heading1"/>
      </w:pPr>
      <w:r>
        <w:t xml:space="preserve">Skeptical Invariantism and </w:t>
      </w:r>
      <w:r w:rsidR="00AE362A">
        <w:t>Knowledge</w:t>
      </w:r>
      <w:r>
        <w:t xml:space="preserve">-Talk: </w:t>
      </w:r>
      <w:r w:rsidR="00E26C56">
        <w:t>Error and Pragmatic Solutions</w:t>
      </w:r>
    </w:p>
    <w:p w14:paraId="37358694" w14:textId="661730EB" w:rsidR="004B6716" w:rsidRPr="004B6716" w:rsidRDefault="004B6716" w:rsidP="004B6716">
      <w:r>
        <w:t xml:space="preserve">However, I will now argue </w:t>
      </w:r>
      <w:r w:rsidR="00B478D8">
        <w:t xml:space="preserve">that </w:t>
      </w:r>
      <w:r w:rsidRPr="00DC23AA">
        <w:rPr>
          <w:i/>
          <w:iCs/>
        </w:rPr>
        <w:t>pure</w:t>
      </w:r>
      <w:r w:rsidR="00DC23AA">
        <w:t xml:space="preserve"> error or</w:t>
      </w:r>
      <w:r>
        <w:t xml:space="preserve"> pragmatic explanation</w:t>
      </w:r>
      <w:r w:rsidR="00DC23AA">
        <w:t>s</w:t>
      </w:r>
      <w:r>
        <w:t xml:space="preserve"> of our tendency to </w:t>
      </w:r>
      <w:r w:rsidR="00B478D8">
        <w:t xml:space="preserve">make false knowledge attributions </w:t>
      </w:r>
      <w:r w:rsidR="00D8672E">
        <w:t>faces serious problems</w:t>
      </w:r>
      <w:r>
        <w:t>.</w:t>
      </w:r>
      <w:r>
        <w:rPr>
          <w:rStyle w:val="FootnoteReference"/>
        </w:rPr>
        <w:footnoteReference w:id="10"/>
      </w:r>
      <w:r>
        <w:t xml:space="preserve"> </w:t>
      </w:r>
      <w:r w:rsidR="00DC23AA">
        <w:t xml:space="preserve">A pure error account explains why we fail to recognize that our knowledge attributions are false, but does nothing to account for how our reliance on “knowledge” can be appropriate. </w:t>
      </w:r>
      <w:r>
        <w:t xml:space="preserve">Purely pragmatic accounts imply that speakers do not sincerely attribute knowledge, which is plainly false. </w:t>
      </w:r>
      <w:r w:rsidR="00FD65D5">
        <w:t xml:space="preserve">In this section, I evaluate a few accounts of knowledge attributions that are compatible with or explicitly motivated by skeptical concerns. </w:t>
      </w:r>
      <w:r w:rsidR="0060279D">
        <w:t>In the end, I think</w:t>
      </w:r>
      <w:r>
        <w:t xml:space="preserve"> the skeptical invariantist is forced to accept a compromise between a pragmatic account and an error theory.</w:t>
      </w:r>
      <w:r w:rsidR="007D24A4">
        <w:t xml:space="preserve"> I </w:t>
      </w:r>
      <w:r w:rsidR="00FD65D5">
        <w:t>propose a</w:t>
      </w:r>
      <w:r>
        <w:t xml:space="preserve"> compromise </w:t>
      </w:r>
      <w:r w:rsidR="00FD65D5">
        <w:t>view that</w:t>
      </w:r>
      <w:r>
        <w:t xml:space="preserve"> fits well with a</w:t>
      </w:r>
      <w:r w:rsidR="00FD65D5">
        <w:t>n independently</w:t>
      </w:r>
      <w:r>
        <w:t xml:space="preserve"> plausible conception of how we arrive at a descriptive theory of a </w:t>
      </w:r>
      <w:r w:rsidR="0054695B">
        <w:t xml:space="preserve">habitual </w:t>
      </w:r>
      <w:r>
        <w:t xml:space="preserve">practice. </w:t>
      </w:r>
      <w:r w:rsidR="008A4A36">
        <w:t xml:space="preserve">We skeptical invariantists must </w:t>
      </w:r>
      <w:r>
        <w:t>accept less tha</w:t>
      </w:r>
      <w:r w:rsidR="00CC4468">
        <w:t>n</w:t>
      </w:r>
      <w:r>
        <w:t xml:space="preserve"> what we hoped for, but </w:t>
      </w:r>
      <w:r w:rsidR="008A4A36">
        <w:t>we will have all that</w:t>
      </w:r>
      <w:r>
        <w:t xml:space="preserve"> we need.</w:t>
      </w:r>
    </w:p>
    <w:p w14:paraId="79ED6B6E" w14:textId="03469DD8" w:rsidR="00D820FB" w:rsidRDefault="00C13522" w:rsidP="00D820FB">
      <w:pPr>
        <w:pStyle w:val="Heading2"/>
      </w:pPr>
      <w:r>
        <w:t>Entailment</w:t>
      </w:r>
      <w:r w:rsidR="00D820FB">
        <w:t xml:space="preserve"> Error Theory</w:t>
      </w:r>
    </w:p>
    <w:p w14:paraId="177B63BD" w14:textId="08066F6D" w:rsidR="002729FD" w:rsidRDefault="002729FD" w:rsidP="00D820FB">
      <w:r>
        <w:t xml:space="preserve">Unger </w:t>
      </w:r>
      <w:r>
        <w:fldChar w:fldCharType="begin"/>
      </w:r>
      <w:r>
        <w:instrText xml:space="preserve"> ADDIN EN.CITE &lt;EndNote&gt;&lt;Cite ExcludeAuth="1"&gt;&lt;Author&gt;Unger&lt;/Author&gt;&lt;Year&gt;1975&lt;/Year&gt;&lt;RecNum&gt;625&lt;/RecNum&gt;&lt;DisplayText&gt;(1971, 1975)&lt;/DisplayText&gt;&lt;record&gt;&lt;rec-number&gt;625&lt;/rec-number&gt;&lt;foreign-keys&gt;&lt;key app="EN" db-id="fdfxp9d5i5rvabetvd055ar3wafrxaz9evr2" timestamp="1421095756"&gt;625&lt;/key&gt;&lt;/foreign-keys&gt;&lt;ref-type name="Book"&gt;6&lt;/ref-type&gt;&lt;contributors&gt;&lt;authors&gt;&lt;author&gt;Unger, Peter&lt;/author&gt;&lt;/authors&gt;&lt;/contributors&gt;&lt;titles&gt;&lt;title&gt;Ignorance: A Case for Scepticism&lt;/title&gt;&lt;/titles&gt;&lt;dates&gt;&lt;year&gt;1975&lt;/year&gt;&lt;/dates&gt;&lt;pub-location&gt;New York&lt;/pub-location&gt;&lt;publisher&gt;Oxford University Press&lt;/publisher&gt;&lt;isbn&gt;0191519693&lt;/isbn&gt;&lt;urls&gt;&lt;/urls&gt;&lt;/record&gt;&lt;/Cite&gt;&lt;Cite ExcludeAuth="1"&gt;&lt;Author&gt;Unger&lt;/Author&gt;&lt;Year&gt;1971&lt;/Year&gt;&lt;RecNum&gt;724&lt;/RecNum&gt;&lt;record&gt;&lt;rec-number&gt;724&lt;/rec-number&gt;&lt;foreign-keys&gt;&lt;key app="EN" db-id="fdfxp9d5i5rvabetvd055ar3wafrxaz9evr2" timestamp="1428758883"&gt;724&lt;/key&gt;&lt;/foreign-keys&gt;&lt;ref-type name="Journal Article"&gt;17&lt;/ref-type&gt;&lt;contributors&gt;&lt;authors&gt;&lt;author&gt;Unger, Peter&lt;/author&gt;&lt;/authors&gt;&lt;/contributors&gt;&lt;titles&gt;&lt;title&gt;A Defense of Skepticism&lt;/title&gt;&lt;secondary-title&gt;The Philosophical Review&lt;/secondary-title&gt;&lt;/titles&gt;&lt;periodical&gt;&lt;full-title&gt;The Philosophical Review&lt;/full-title&gt;&lt;abbr-1&gt;Phil. Rev&lt;/abbr-1&gt;&lt;abbr-2&gt;Phil Rev&lt;/abbr-2&gt;&lt;/periodical&gt;&lt;pages&gt;198-219&lt;/pages&gt;&lt;volume&gt;80&lt;/volume&gt;&lt;number&gt;2&lt;/number&gt;&lt;dates&gt;&lt;year&gt;1971&lt;/year&gt;&lt;/dates&gt;&lt;publisher&gt;Duke University Press on behalf of Philosophical Review&lt;/publisher&gt;&lt;isbn&gt;00318108&lt;/isbn&gt;&lt;urls&gt;&lt;related-urls&gt;&lt;url&gt;http://www.jstor.org/stable/2184030&lt;/url&gt;&lt;/related-urls&gt;&lt;/urls&gt;&lt;electronic-resource-num&gt;10.2307/2184030&lt;/electronic-resource-num&gt;&lt;/record&gt;&lt;/Cite&gt;&lt;/EndNote&gt;</w:instrText>
      </w:r>
      <w:r>
        <w:fldChar w:fldCharType="separate"/>
      </w:r>
      <w:r>
        <w:rPr>
          <w:noProof/>
        </w:rPr>
        <w:t>(1971, 1975)</w:t>
      </w:r>
      <w:r>
        <w:fldChar w:fldCharType="end"/>
      </w:r>
      <w:r>
        <w:t xml:space="preserve"> argued that we falsely believe that we know some things because our </w:t>
      </w:r>
      <w:r w:rsidRPr="006C1311">
        <w:t>false</w:t>
      </w:r>
      <w:r w:rsidRPr="18317789">
        <w:rPr>
          <w:i/>
          <w:iCs/>
        </w:rPr>
        <w:t xml:space="preserve"> </w:t>
      </w:r>
      <w:r>
        <w:t xml:space="preserve">unqualified knowledge claims entail </w:t>
      </w:r>
      <w:r w:rsidRPr="004F5E7D">
        <w:t>true</w:t>
      </w:r>
      <w:r w:rsidRPr="18317789">
        <w:rPr>
          <w:i/>
          <w:iCs/>
        </w:rPr>
        <w:t xml:space="preserve"> </w:t>
      </w:r>
      <w:r>
        <w:t xml:space="preserve">qualified knowledge claims </w:t>
      </w:r>
      <w:r>
        <w:fldChar w:fldCharType="begin"/>
      </w:r>
      <w:r>
        <w:instrText xml:space="preserve"> ADDIN EN.CITE &lt;EndNote&gt;&lt;Cite ExcludeAuth="1"&gt;&lt;Author&gt;Unger&lt;/Author&gt;&lt;Year&gt;1975&lt;/Year&gt;&lt;RecNum&gt;625&lt;/RecNum&gt;&lt;Suffix&gt;`, p. 51-52&lt;/Suffix&gt;&lt;DisplayText&gt;(1975, p. 51-52)&lt;/DisplayText&gt;&lt;record&gt;&lt;rec-number&gt;625&lt;/rec-number&gt;&lt;foreign-keys&gt;&lt;key app="EN" db-id="fdfxp9d5i5rvabetvd055ar3wafrxaz9evr2" timestamp="1421095756"&gt;625&lt;/key&gt;&lt;/foreign-keys&gt;&lt;ref-type name="Book"&gt;6&lt;/ref-type&gt;&lt;contributors&gt;&lt;authors&gt;&lt;author&gt;Unger, Peter&lt;/author&gt;&lt;/authors&gt;&lt;/contributors&gt;&lt;titles&gt;&lt;title&gt;Ignorance: A Case for Scepticism&lt;/title&gt;&lt;/titles&gt;&lt;dates&gt;&lt;year&gt;1975&lt;/year&gt;&lt;/dates&gt;&lt;pub-location&gt;New York&lt;/pub-location&gt;&lt;publisher&gt;Oxford University Press&lt;/publisher&gt;&lt;isbn&gt;0191519693&lt;/isbn&gt;&lt;urls&gt;&lt;/urls&gt;&lt;/record&gt;&lt;/Cite&gt;&lt;/EndNote&gt;</w:instrText>
      </w:r>
      <w:r>
        <w:fldChar w:fldCharType="separate"/>
      </w:r>
      <w:r>
        <w:rPr>
          <w:noProof/>
        </w:rPr>
        <w:t>(1975, p. 51-52)</w:t>
      </w:r>
      <w:r>
        <w:fldChar w:fldCharType="end"/>
      </w:r>
      <w:r>
        <w:t>. Since “S knows that p” entails “S is close enough to knowing that p for the purposes at hand”, we fail to notice that our knowledge claims are false because they entail true claims about being close enough to knowing. In Unger's words,</w:t>
      </w:r>
    </w:p>
    <w:p w14:paraId="73ADFF02" w14:textId="77777777" w:rsidR="002729FD" w:rsidRDefault="002729FD" w:rsidP="002729FD">
      <w:pPr>
        <w:pStyle w:val="Quote"/>
      </w:pPr>
      <w:r>
        <w:t xml:space="preserve">[S]uppose that…you falsely believe you </w:t>
      </w:r>
      <w:r>
        <w:rPr>
          <w:i/>
        </w:rPr>
        <w:t xml:space="preserve">know </w:t>
      </w:r>
      <w:r>
        <w:t xml:space="preserve">that there are elephants. As before, there is a true thing which is entailed by what you falsely believe, and which we should notice. The true thing here, which you presumably do not believe, is this: That you are in an intellectual (or ‘epistemic’) position with respect to the matter of whether there are elephants which is such that, for practical purposes, it makes no difference whether you </w:t>
      </w:r>
      <w:r>
        <w:rPr>
          <w:i/>
        </w:rPr>
        <w:t xml:space="preserve">know </w:t>
      </w:r>
      <w:r>
        <w:t xml:space="preserve">there are </w:t>
      </w:r>
      <w:r>
        <w:lastRenderedPageBreak/>
        <w:t>elephants or whether you are in that intellectual position with respect to the matter that you actually are in (1975, p. 52).</w:t>
      </w:r>
    </w:p>
    <w:p w14:paraId="751CD627" w14:textId="77777777" w:rsidR="002729FD" w:rsidRDefault="002729FD" w:rsidP="002729FD">
      <w:r>
        <w:t>What counts as ‘close enough to knowing for the purposes at hand’ varies with context. Since the standard for being close enough to knowing for practical purposes is usually low enough to be satisfied, we do not notice that “S knows that p” is strictly speaking false.</w:t>
      </w:r>
    </w:p>
    <w:p w14:paraId="20A63A4D" w14:textId="19F0F1AE" w:rsidR="002729FD" w:rsidRPr="00DF3A72" w:rsidRDefault="002729FD" w:rsidP="00E26C56">
      <w:r>
        <w:tab/>
        <w:t xml:space="preserve">A virtue of Unger’s account over some alternative skeptical invariantist views is that it accepts that speakers usually </w:t>
      </w:r>
      <w:r>
        <w:rPr>
          <w:i/>
        </w:rPr>
        <w:t xml:space="preserve">do </w:t>
      </w:r>
      <w:r>
        <w:t xml:space="preserve">intend for their knowledge attributions to be taken truly and literally. However, it faces </w:t>
      </w:r>
      <w:r w:rsidRPr="009C715B">
        <w:t>two</w:t>
      </w:r>
      <w:r>
        <w:t xml:space="preserve"> significant shortcomings.</w:t>
      </w:r>
      <w:r w:rsidR="00E26C56">
        <w:t xml:space="preserve"> </w:t>
      </w:r>
      <w:r>
        <w:t xml:space="preserve">The first </w:t>
      </w:r>
      <w:r w:rsidR="00217CD1">
        <w:t>concerns</w:t>
      </w:r>
      <w:r>
        <w:t xml:space="preserve"> the semantics of knowledge attributions that lead to skeptical invariantism. Traditionally, </w:t>
      </w:r>
      <w:r>
        <w:rPr>
          <w:i/>
        </w:rPr>
        <w:t xml:space="preserve">radical </w:t>
      </w:r>
      <w:r>
        <w:t xml:space="preserve">knowledge skeptics have argued that we lack knowledge because our epistemic justification is insufficient for knowledge. If such a skeptic claims that “S knows that p” expresses something like </w:t>
      </w:r>
      <w:r>
        <w:rPr>
          <w:i/>
        </w:rPr>
        <w:t>S’s belief that p is not possibly false given the way that S formed it</w:t>
      </w:r>
      <w:r>
        <w:t xml:space="preserve"> and insists that the only legitimate basis for belief consists in awareness of the intrinsic character of one’s occurrent mental states, as a Cartesian internalist would, then it is doubtful that we are close enough to knowing </w:t>
      </w:r>
      <w:r>
        <w:rPr>
          <w:i/>
        </w:rPr>
        <w:t xml:space="preserve">anything </w:t>
      </w:r>
      <w:r>
        <w:t xml:space="preserve">for </w:t>
      </w:r>
      <w:r w:rsidRPr="008D2C2B">
        <w:rPr>
          <w:i/>
        </w:rPr>
        <w:t>any</w:t>
      </w:r>
      <w:r>
        <w:t xml:space="preserve"> purposes. So, it is </w:t>
      </w:r>
      <w:r>
        <w:rPr>
          <w:i/>
        </w:rPr>
        <w:t xml:space="preserve">false </w:t>
      </w:r>
      <w:r>
        <w:t>that “S is close enough to knowing that p for practical purposes.”</w:t>
      </w:r>
      <w:r w:rsidR="00DD5AA0">
        <w:rPr>
          <w:rStyle w:val="FootnoteReference"/>
        </w:rPr>
        <w:footnoteReference w:id="11"/>
      </w:r>
    </w:p>
    <w:p w14:paraId="2FB12509" w14:textId="24269FC5" w:rsidR="002729FD" w:rsidRPr="009F21E2" w:rsidRDefault="002729FD" w:rsidP="002729FD">
      <w:pPr>
        <w:ind w:firstLine="720"/>
      </w:pPr>
      <w:r>
        <w:t>The second objection is that the view does not even attempt to provide an account of how our knowledge attributing behavior could be appropriate: it only explains why we do not recognize that we lack knowledge. An account of appropriateness needs to show that, given a skeptical semantics for knowledge attributions, there is a pragmatic account of how our knowledge talk is ‘okay’. The Error Theory does not even attempt this</w:t>
      </w:r>
      <w:r w:rsidR="004149AF">
        <w:t>.</w:t>
      </w:r>
      <w:r w:rsidR="004149AF">
        <w:rPr>
          <w:rStyle w:val="FootnoteReference"/>
        </w:rPr>
        <w:footnoteReference w:id="12"/>
      </w:r>
      <w:r w:rsidR="004149AF">
        <w:t xml:space="preserve"> </w:t>
      </w:r>
    </w:p>
    <w:p w14:paraId="39E685FD" w14:textId="77777777" w:rsidR="002729FD" w:rsidRDefault="002729FD" w:rsidP="002729FD">
      <w:pPr>
        <w:pStyle w:val="Heading2"/>
      </w:pPr>
      <w:r>
        <w:t>The Loose Talk Theory</w:t>
      </w:r>
    </w:p>
    <w:p w14:paraId="5BAF0BD5" w14:textId="77777777" w:rsidR="002729FD" w:rsidRDefault="002729FD" w:rsidP="002729FD">
      <w:bookmarkStart w:id="0" w:name="_Hlk496581613"/>
      <w:r>
        <w:t xml:space="preserve">Davis </w:t>
      </w:r>
      <w:r>
        <w:fldChar w:fldCharType="begin"/>
      </w:r>
      <w:r>
        <w:instrText xml:space="preserve"> ADDIN EN.CITE &lt;EndNote&gt;&lt;Cite ExcludeAuth="1"&gt;&lt;Author&gt;Davis&lt;/Author&gt;&lt;Year&gt;2007&lt;/Year&gt;&lt;RecNum&gt;342&lt;/RecNum&gt;&lt;DisplayText&gt;(2007, 2015)&lt;/DisplayText&gt;&lt;record&gt;&lt;rec-number&gt;342&lt;/rec-number&gt;&lt;foreign-keys&gt;&lt;key app="EN" db-id="fdfxp9d5i5rvabetvd055ar3wafrxaz9evr2" timestamp="1416847582"&gt;342&lt;/key&gt;&lt;key app="ENWeb" db-id=""&gt;0&lt;/key&gt;&lt;/foreign-keys&gt;&lt;ref-type name="Journal Article"&gt;17&lt;/ref-type&gt;&lt;contributors&gt;&lt;authors&gt;&lt;author&gt;Davis, Wayne A.&lt;/author&gt;&lt;/authors&gt;&lt;/contributors&gt;&lt;titles&gt;&lt;title&gt;Knowledge Claims and Context: Loose Use&lt;/title&gt;&lt;secondary-title&gt;Philosophical Studies&lt;/secondary-title&gt;&lt;/titles&gt;&lt;periodical&gt;&lt;full-title&gt;Philosophical Studies&lt;/full-title&gt;&lt;abbr-1&gt;Phil. Stud&lt;/abbr-1&gt;&lt;abbr-2&gt;Phil Stud&lt;/abbr-2&gt;&lt;/periodical&gt;&lt;pages&gt;395-438&lt;/pages&gt;&lt;volume&gt;132&lt;/volume&gt;&lt;number&gt;3&lt;/number&gt;&lt;dates&gt;&lt;year&gt;2007&lt;/year&gt;&lt;/dates&gt;&lt;isbn&gt;0031-8116&amp;#xD;1573-0883&lt;/isbn&gt;&lt;urls&gt;&lt;/urls&gt;&lt;electronic-resource-num&gt;10.1007/s11098-006-9035-2&lt;/electronic-resource-num&gt;&lt;/record&gt;&lt;/Cite&gt;&lt;Cite ExcludeAuth="1"&gt;&lt;Author&gt;Davis&lt;/Author&gt;&lt;Year&gt;2015&lt;/Year&gt;&lt;RecNum&gt;1674&lt;/RecNum&gt;&lt;record&gt;&lt;rec-number&gt;1674&lt;/rec-number&gt;&lt;foreign-keys&gt;&lt;key app="EN" db-id="fdfxp9d5i5rvabetvd055ar3wafrxaz9evr2" timestamp="1472594728"&gt;1674&lt;/key&gt;&lt;/foreign-keys&gt;&lt;ref-type name="Journal Article"&gt;17&lt;/ref-type&gt;&lt;contributors&gt;&lt;authors&gt;&lt;author&gt;Davis, Wayne A.&lt;/author&gt;&lt;/authors&gt;&lt;/contributors&gt;&lt;titles&gt;&lt;title&gt;Knowledge Claims and Context: Belief&lt;/title&gt;&lt;secondary-title&gt;Philosophical Studies&lt;/secondary-title&gt;&lt;/titles&gt;&lt;periodical&gt;&lt;full-title&gt;Philosophical Studies&lt;/full-title&gt;&lt;abbr-1&gt;Phil. Stud&lt;/abbr-1&gt;&lt;abbr-2&gt;Phil Stud&lt;/abbr-2&gt;&lt;/periodical&gt;&lt;pages&gt;399-432&lt;/pages&gt;&lt;volume&gt;172&lt;/volume&gt;&lt;number&gt;2&lt;/number&gt;&lt;dates&gt;&lt;year&gt;2015&lt;/year&gt;&lt;/dates&gt;&lt;urls&gt;&lt;/urls&gt;&lt;/record&gt;&lt;/Cite&gt;&lt;/EndNote&gt;</w:instrText>
      </w:r>
      <w:r>
        <w:fldChar w:fldCharType="separate"/>
      </w:r>
      <w:r>
        <w:rPr>
          <w:noProof/>
        </w:rPr>
        <w:t>(2007, 2015)</w:t>
      </w:r>
      <w:r>
        <w:fldChar w:fldCharType="end"/>
      </w:r>
      <w:r>
        <w:t xml:space="preserve"> argues that for many ordinary purposes we are content to utter </w:t>
      </w:r>
      <w:r w:rsidRPr="00DD5F74">
        <w:rPr>
          <w:i/>
        </w:rPr>
        <w:t>approximate</w:t>
      </w:r>
      <w:r>
        <w:t xml:space="preserve"> truths without regard for whether or not what we say is literally true, and knowledge attributions are an example of this pragmatic phenomenon. An example from Davis:</w:t>
      </w:r>
    </w:p>
    <w:p w14:paraId="6565CACF" w14:textId="77777777" w:rsidR="002729FD" w:rsidRDefault="002729FD" w:rsidP="002729FD">
      <w:pPr>
        <w:pStyle w:val="Quote"/>
        <w:tabs>
          <w:tab w:val="left" w:pos="720"/>
        </w:tabs>
      </w:pPr>
      <w:r>
        <w:t xml:space="preserve">A. When the scoop comes up empty in the coffee jar, I yell to my wife, “The coffee is all gone.” B. When my son comes down for breakfast a few minutes later, he announces that he needs a few coffee grounds for his science project, and then asks, “Is the coffee really all gone?” I say with no embarrassment, “No, there may be enough for you.” </w:t>
      </w:r>
    </w:p>
    <w:p w14:paraId="0D225EA3" w14:textId="77777777" w:rsidR="002729FD" w:rsidRPr="003F1A70" w:rsidRDefault="002729FD" w:rsidP="002729FD">
      <w:pPr>
        <w:pStyle w:val="Quote"/>
      </w:pPr>
      <w:r>
        <w:t xml:space="preserve">What I say in A contradicts what I say in B. But what I mean in A is that the coffee is close enough to being all gone for the purpose at hand—making coffee. That is, the coffee is close enough to being all gone to count as all gone for the indicated purpose. This is not what the sentence I use means. But by saying that the coffee is all gone, I convey the less precise thought indicated. By ignoring irrelevant detail, I make my point more effectively. When my conversational purposes change in context B, I use the term more strictly. </w:t>
      </w:r>
      <w:r>
        <w:fldChar w:fldCharType="begin"/>
      </w:r>
      <w:r>
        <w:instrText xml:space="preserve"> ADDIN EN.CITE &lt;EndNote&gt;&lt;Cite&gt;&lt;Author&gt;Davis&lt;/Author&gt;&lt;Year&gt;2007&lt;/Year&gt;&lt;RecNum&gt;342&lt;/RecNum&gt;&lt;Suffix&gt;`, pp. 406-407&lt;/Suffix&gt;&lt;DisplayText&gt;(Davis 2007, pp. 406-407)&lt;/DisplayText&gt;&lt;record&gt;&lt;rec-number&gt;342&lt;/rec-number&gt;&lt;foreign-keys&gt;&lt;key app="EN" db-id="fdfxp9d5i5rvabetvd055ar3wafrxaz9evr2" timestamp="1416847582"&gt;342&lt;/key&gt;&lt;key app="ENWeb" db-id=""&gt;0&lt;/key&gt;&lt;/foreign-keys&gt;&lt;ref-type name="Journal Article"&gt;17&lt;/ref-type&gt;&lt;contributors&gt;&lt;authors&gt;&lt;author&gt;Davis, Wayne A.&lt;/author&gt;&lt;/authors&gt;&lt;/contributors&gt;&lt;titles&gt;&lt;title&gt;Knowledge Claims and Context: Loose Use&lt;/title&gt;&lt;secondary-title&gt;Philosophical Studies&lt;/secondary-title&gt;&lt;/titles&gt;&lt;periodical&gt;&lt;full-title&gt;Philosophical Studies&lt;/full-title&gt;&lt;abbr-1&gt;Phil. Stud&lt;/abbr-1&gt;&lt;abbr-2&gt;Phil Stud&lt;/abbr-2&gt;&lt;/periodical&gt;&lt;pages&gt;395-438&lt;/pages&gt;&lt;volume&gt;132&lt;/volume&gt;&lt;number&gt;3&lt;/number&gt;&lt;dates&gt;&lt;year&gt;2007&lt;/year&gt;&lt;/dates&gt;&lt;isbn&gt;0031-8116&amp;#xD;1573-0883&lt;/isbn&gt;&lt;urls&gt;&lt;/urls&gt;&lt;electronic-resource-num&gt;10.1007/s11098-006-9035-2&lt;/electronic-resource-num&gt;&lt;/record&gt;&lt;/Cite&gt;&lt;/EndNote&gt;</w:instrText>
      </w:r>
      <w:r>
        <w:fldChar w:fldCharType="separate"/>
      </w:r>
      <w:r>
        <w:rPr>
          <w:noProof/>
        </w:rPr>
        <w:t>(Davis 2007, pp. 406-407)</w:t>
      </w:r>
      <w:r>
        <w:fldChar w:fldCharType="end"/>
      </w:r>
    </w:p>
    <w:p w14:paraId="7A955B38" w14:textId="77777777" w:rsidR="002729FD" w:rsidRDefault="002729FD" w:rsidP="002729FD">
      <w:r>
        <w:t xml:space="preserve">The picture Davis gives us is this: A speaker utters U </w:t>
      </w:r>
      <w:r w:rsidRPr="005326C0">
        <w:rPr>
          <w:i/>
        </w:rPr>
        <w:t>loosely</w:t>
      </w:r>
      <w:r>
        <w:t xml:space="preserve"> when A intends to communicate that P, A believes that the content of U is </w:t>
      </w:r>
      <w:r w:rsidRPr="00BC13E8">
        <w:rPr>
          <w:i/>
        </w:rPr>
        <w:t>close to</w:t>
      </w:r>
      <w:r>
        <w:t xml:space="preserve"> the content of P, A recognizes that A’s audience </w:t>
      </w:r>
      <w:r>
        <w:lastRenderedPageBreak/>
        <w:t>will understand P by A’s uttering of U, and A does not accept the semantic content of U.</w:t>
      </w:r>
      <w:r>
        <w:rPr>
          <w:rStyle w:val="FootnoteReference"/>
        </w:rPr>
        <w:footnoteReference w:id="13"/>
      </w:r>
      <w:r>
        <w:t xml:space="preserve"> On this view, speakers are not committed to the truth of their knowledge claims, only to some relevant proposition in the semantic neighborhood. </w:t>
      </w:r>
    </w:p>
    <w:p w14:paraId="4ED96289" w14:textId="348C4585" w:rsidR="002729FD" w:rsidRPr="008E2EAB" w:rsidRDefault="002729FD" w:rsidP="002729FD">
      <w:r>
        <w:tab/>
        <w:t xml:space="preserve">It is instructive to compare Davis’s remarks about loose use with what he says about </w:t>
      </w:r>
      <w:r>
        <w:rPr>
          <w:i/>
        </w:rPr>
        <w:t xml:space="preserve">sloppy </w:t>
      </w:r>
      <w:r w:rsidRPr="008E2EAB">
        <w:t>use</w:t>
      </w:r>
      <w:r>
        <w:t xml:space="preserve">. </w:t>
      </w:r>
      <w:r w:rsidRPr="00E6603B">
        <w:t>One</w:t>
      </w:r>
      <w:r>
        <w:t xml:space="preserve"> uses a term </w:t>
      </w:r>
      <w:r w:rsidRPr="00E6603B">
        <w:t>sloppily</w:t>
      </w:r>
      <w:r>
        <w:t xml:space="preserve"> if it is used “strictly without taking proper care to verify that the term does strictly apply” (p. 410). It would be sloppy use if Davis had answered his son’s question with “yes, the coffee is all gone” without bothering to check that the coffee is indeed gone. So, sloppy use is speech with a </w:t>
      </w:r>
      <w:r w:rsidRPr="00D06E41">
        <w:rPr>
          <w:i/>
        </w:rPr>
        <w:t>disregard</w:t>
      </w:r>
      <w:r>
        <w:t xml:space="preserve"> for truth. Given that loose use and sloppy use are distinct, we can conclude that a speaker uses U loosely only if the speaker </w:t>
      </w:r>
      <w:r>
        <w:rPr>
          <w:i/>
        </w:rPr>
        <w:t xml:space="preserve">is aware that </w:t>
      </w:r>
      <w:r>
        <w:t xml:space="preserve">U is false but </w:t>
      </w:r>
      <w:r>
        <w:rPr>
          <w:i/>
        </w:rPr>
        <w:t xml:space="preserve">is not committed </w:t>
      </w:r>
      <w:r>
        <w:t xml:space="preserve">to U’s truth (otherwise the speaker would just be guessing or lying). </w:t>
      </w:r>
    </w:p>
    <w:p w14:paraId="0A3A82AF" w14:textId="4A113885" w:rsidR="002729FD" w:rsidRDefault="002729FD" w:rsidP="002729FD">
      <w:r>
        <w:tab/>
      </w:r>
      <w:r w:rsidR="009613E0">
        <w:t>Paradigm knowledge attributions are ones that the speaker</w:t>
      </w:r>
      <w:r w:rsidR="00994B1E">
        <w:t xml:space="preserve"> believes are true, however.</w:t>
      </w:r>
      <w:r>
        <w:t xml:space="preserve"> We </w:t>
      </w:r>
      <w:r w:rsidRPr="00E527E0">
        <w:rPr>
          <w:i/>
        </w:rPr>
        <w:t>typically</w:t>
      </w:r>
      <w:r>
        <w:t xml:space="preserve"> use knowledge attributions literally, intending to communicate (among other things) that so-and-so </w:t>
      </w:r>
      <w:r>
        <w:rPr>
          <w:i/>
        </w:rPr>
        <w:t xml:space="preserve">knows </w:t>
      </w:r>
      <w:r>
        <w:t xml:space="preserve">such-and-such. Accounts of knowledge attributions must accept that speakers usually are committed to the truth of their knowledge attributions, even if their communicative purposes are not focused </w:t>
      </w:r>
      <w:r w:rsidR="008C404F">
        <w:t xml:space="preserve">precisely </w:t>
      </w:r>
      <w:r>
        <w:t xml:space="preserve">on </w:t>
      </w:r>
      <w:r w:rsidR="006637D4">
        <w:t>epistemic concerns</w:t>
      </w:r>
      <w:r>
        <w:t>.</w:t>
      </w:r>
      <w:r w:rsidR="008C404F">
        <w:rPr>
          <w:rStyle w:val="FootnoteReference"/>
        </w:rPr>
        <w:footnoteReference w:id="14"/>
      </w:r>
    </w:p>
    <w:p w14:paraId="17A081EE" w14:textId="791AC8F7" w:rsidR="002729FD" w:rsidRDefault="002729FD" w:rsidP="002729FD">
      <w:r>
        <w:tab/>
        <w:t xml:space="preserve">When it comes to skepticism about privileged domains of belief, like our knowledge of arithmetic equalities, how things phenomenally appear, and so forth, entertaining skeptical possibilities and denying knowledge strikes us as a </w:t>
      </w:r>
      <w:r w:rsidRPr="00A94DA3">
        <w:rPr>
          <w:i/>
        </w:rPr>
        <w:t>discovery</w:t>
      </w:r>
      <w:r>
        <w:t xml:space="preserve">, not something that we have been assuming all along </w:t>
      </w:r>
      <w:r>
        <w:fldChar w:fldCharType="begin"/>
      </w:r>
      <w:r>
        <w:instrText xml:space="preserve"> ADDIN EN.CITE &lt;EndNote&gt;&lt;Cite&gt;&lt;Author&gt;Hawthorne&lt;/Author&gt;&lt;Year&gt;2004&lt;/Year&gt;&lt;RecNum&gt;620&lt;/RecNum&gt;&lt;Suffix&gt;`, p. 164-165&lt;/Suffix&gt;&lt;DisplayText&gt;(Dinges 2016, Hawthorne 2004, p. 164-165)&lt;/DisplayText&gt;&lt;record&gt;&lt;rec-number&gt;620&lt;/rec-number&gt;&lt;foreign-keys&gt;&lt;key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Cite&gt;&lt;Author&gt;Dinges&lt;/Author&gt;&lt;Year&gt;2016&lt;/Year&gt;&lt;RecNum&gt;1675&lt;/RecNum&gt;&lt;record&gt;&lt;rec-number&gt;1675&lt;/rec-number&gt;&lt;foreign-keys&gt;&lt;key app="EN" db-id="fdfxp9d5i5rvabetvd055ar3wafrxaz9evr2" timestamp="1472665256"&gt;1675&lt;/key&gt;&lt;/foreign-keys&gt;&lt;ref-type name="Journal Article"&gt;17&lt;/ref-type&gt;&lt;contributors&gt;&lt;authors&gt;&lt;author&gt;Dinges, Alexander&lt;/author&gt;&lt;/authors&gt;&lt;/contributors&gt;&lt;titles&gt;&lt;title&gt;Skeptical Pragmatic Invariantism: Good, but Not Good Enough&lt;/title&gt;&lt;secondary-title&gt;Synthese&lt;/secondary-title&gt;&lt;/titles&gt;&lt;periodical&gt;&lt;full-title&gt;Synthese&lt;/full-title&gt;&lt;abbr-1&gt;Synthese&lt;/abbr-1&gt;&lt;abbr-2&gt;Synthese&lt;/abbr-2&gt;&lt;/periodical&gt;&lt;pages&gt;2577-2593&lt;/pages&gt;&lt;volume&gt;193&lt;/volume&gt;&lt;number&gt;8&lt;/number&gt;&lt;dates&gt;&lt;year&gt;2016&lt;/year&gt;&lt;/dates&gt;&lt;isbn&gt;1573-0964&lt;/isbn&gt;&lt;label&gt;Dinges2016&lt;/label&gt;&lt;work-type&gt;journal article&lt;/work-type&gt;&lt;urls&gt;&lt;related-urls&gt;&lt;url&gt;http://dx.doi.org/10.1007/s11229-015-0867-1&lt;/url&gt;&lt;/related-urls&gt;&lt;/urls&gt;&lt;electronic-resource-num&gt;10.1007/s11229-015-0867-1&lt;/electronic-resource-num&gt;&lt;/record&gt;&lt;/Cite&gt;&lt;/EndNote&gt;</w:instrText>
      </w:r>
      <w:r>
        <w:fldChar w:fldCharType="separate"/>
      </w:r>
      <w:r>
        <w:rPr>
          <w:noProof/>
        </w:rPr>
        <w:t>(Dinges 2016, Hawthorne 2004, p. 164-165)</w:t>
      </w:r>
      <w:r>
        <w:fldChar w:fldCharType="end"/>
      </w:r>
      <w:r>
        <w:t xml:space="preserve">. As Dinges </w:t>
      </w:r>
      <w:r w:rsidR="007D34BC">
        <w:t>argues</w:t>
      </w:r>
      <w:r>
        <w:t xml:space="preserve">, if speakers were typically speaking loosely with their attributions of knowledge, we would expect speakers to reply to challenges to their knowledge attributions with “You know what I meant!” or similar, to communicate that the speaker did not intend to be committed to the literal truth of the utterance </w:t>
      </w:r>
      <w:r>
        <w:fldChar w:fldCharType="begin"/>
      </w:r>
      <w:r>
        <w:instrText xml:space="preserve"> ADDIN EN.CITE &lt;EndNote&gt;&lt;Cite ExcludeAuth="1"&gt;&lt;Author&gt;Dinges&lt;/Author&gt;&lt;Year&gt;2016&lt;/Year&gt;&lt;RecNum&gt;1675&lt;/RecNum&gt;&lt;Suffix&gt;`, pp. 2588-2592&lt;/Suffix&gt;&lt;DisplayText&gt;(2016, pp. 2588-2592)&lt;/DisplayText&gt;&lt;record&gt;&lt;rec-number&gt;1675&lt;/rec-number&gt;&lt;foreign-keys&gt;&lt;key app="EN" db-id="fdfxp9d5i5rvabetvd055ar3wafrxaz9evr2" timestamp="1472665256"&gt;1675&lt;/key&gt;&lt;/foreign-keys&gt;&lt;ref-type name="Journal Article"&gt;17&lt;/ref-type&gt;&lt;contributors&gt;&lt;authors&gt;&lt;author&gt;Dinges, Alexander&lt;/author&gt;&lt;/authors&gt;&lt;/contributors&gt;&lt;titles&gt;&lt;title&gt;Skeptical Pragmatic Invariantism: Good, but Not Good Enough&lt;/title&gt;&lt;secondary-title&gt;Synthese&lt;/secondary-title&gt;&lt;/titles&gt;&lt;periodical&gt;&lt;full-title&gt;Synthese&lt;/full-title&gt;&lt;abbr-1&gt;Synthese&lt;/abbr-1&gt;&lt;abbr-2&gt;Synthese&lt;/abbr-2&gt;&lt;/periodical&gt;&lt;pages&gt;2577-2593&lt;/pages&gt;&lt;volume&gt;193&lt;/volume&gt;&lt;number&gt;8&lt;/number&gt;&lt;dates&gt;&lt;year&gt;2016&lt;/year&gt;&lt;/dates&gt;&lt;isbn&gt;1573-0964&lt;/isbn&gt;&lt;label&gt;Dinges2016&lt;/label&gt;&lt;work-type&gt;journal article&lt;/work-type&gt;&lt;urls&gt;&lt;related-urls&gt;&lt;url&gt;http://dx.doi.org/10.1007/s11229-015-0867-1&lt;/url&gt;&lt;/related-urls&gt;&lt;/urls&gt;&lt;electronic-resource-num&gt;10.1007/s11229-015-0867-1&lt;/electronic-resource-num&gt;&lt;/record&gt;&lt;/Cite&gt;&lt;/EndNote&gt;</w:instrText>
      </w:r>
      <w:r>
        <w:fldChar w:fldCharType="separate"/>
      </w:r>
      <w:r>
        <w:rPr>
          <w:noProof/>
        </w:rPr>
        <w:t>(2016, pp. 2588-2592)</w:t>
      </w:r>
      <w:r>
        <w:fldChar w:fldCharType="end"/>
      </w:r>
      <w:r>
        <w:t>.</w:t>
      </w:r>
    </w:p>
    <w:p w14:paraId="21856357" w14:textId="63378A59" w:rsidR="00095EFD" w:rsidRPr="00431EE8" w:rsidRDefault="00095EFD" w:rsidP="002729FD">
      <w:r>
        <w:tab/>
        <w:t>As we will see, this</w:t>
      </w:r>
      <w:r w:rsidR="00431EE8">
        <w:t xml:space="preserve"> problem affects </w:t>
      </w:r>
      <w:r w:rsidR="00175F2D">
        <w:t>other</w:t>
      </w:r>
      <w:r w:rsidR="00431EE8">
        <w:t xml:space="preserve"> pragmatic accounts of knowledge attributions. Unless we are convinced that </w:t>
      </w:r>
      <w:r w:rsidR="00DD2A6E">
        <w:t>speakers typically ma</w:t>
      </w:r>
      <w:r w:rsidR="003906A9">
        <w:t>k</w:t>
      </w:r>
      <w:r w:rsidR="00DD2A6E">
        <w:t>e knowledge attributions while believing that they are saying something false and not committed to the truth of the</w:t>
      </w:r>
      <w:r w:rsidR="003906A9">
        <w:t>ir</w:t>
      </w:r>
      <w:r w:rsidR="00DD2A6E">
        <w:t xml:space="preserve"> utterance anyway, then a purely pragmatic </w:t>
      </w:r>
      <w:r w:rsidR="00175F2D">
        <w:t>account of the appropriateness of our knowledge attributions cannot help skeptical invariantists reconcile skepticism with our knowledge-attributing practices.</w:t>
      </w:r>
      <w:r w:rsidR="00431EE8">
        <w:t xml:space="preserve"> </w:t>
      </w:r>
    </w:p>
    <w:p w14:paraId="03A54030" w14:textId="77777777" w:rsidR="002729FD" w:rsidRDefault="002729FD" w:rsidP="002729FD">
      <w:pPr>
        <w:pStyle w:val="Heading2"/>
      </w:pPr>
      <w:r w:rsidRPr="00C37C22">
        <w:t>The</w:t>
      </w:r>
      <w:r>
        <w:t xml:space="preserve"> Exaggeration Theory</w:t>
      </w:r>
    </w:p>
    <w:p w14:paraId="759C11CE" w14:textId="77777777" w:rsidR="002729FD" w:rsidRDefault="002729FD" w:rsidP="002729FD">
      <w:bookmarkStart w:id="1" w:name="_Hlk496582265"/>
      <w:r>
        <w:t xml:space="preserve">Some of what we say that we know is plausibly a kind of exaggeration. Take knowledge claims about the distant future—“We know that the population of Earth will be 11 billion by 2100”—or knowledge attributions made for exhortation—“I know that you’ll ace the test!” </w:t>
      </w:r>
      <w:r>
        <w:fldChar w:fldCharType="begin"/>
      </w:r>
      <w:r>
        <w:instrText xml:space="preserve"> ADDIN EN.CITE &lt;EndNote&gt;&lt;Cite AuthorYear="1"&gt;&lt;Author&gt;Butchvarov&lt;/Author&gt;&lt;Year&gt;1970&lt;/Year&gt;&lt;RecNum&gt;615&lt;/RecNum&gt;&lt;DisplayText&gt;Butchvarov (1970)&lt;/DisplayText&gt;&lt;record&gt;&lt;rec-number&gt;615&lt;/rec-number&gt;&lt;foreign-keys&gt;&lt;key app="EN" db-id="fdfxp9d5i5rvabetvd055ar3wafrxaz9evr2" timestamp="1421094840"&gt;615&lt;/key&gt;&lt;/foreign-keys&gt;&lt;ref-type name="Book"&gt;6&lt;/ref-type&gt;&lt;contributors&gt;&lt;authors&gt;&lt;author&gt;Butchvarov, Panayot&lt;/author&gt;&lt;/authors&gt;&lt;/contributors&gt;&lt;titles&gt;&lt;title&gt;The Concept of Knowledge&lt;/title&gt;&lt;/titles&gt;&lt;dates&gt;&lt;year&gt;1970&lt;/year&gt;&lt;/dates&gt;&lt;pub-location&gt;Evanston&lt;/pub-location&gt;&lt;publisher&gt;Northwestern University Press&lt;/publisher&gt;&lt;isbn&gt;0810103192&lt;/isbn&gt;&lt;urls&gt;&lt;/urls&gt;&lt;/record&gt;&lt;/Cite&gt;&lt;/EndNote&gt;</w:instrText>
      </w:r>
      <w:r>
        <w:fldChar w:fldCharType="separate"/>
      </w:r>
      <w:r>
        <w:rPr>
          <w:noProof/>
        </w:rPr>
        <w:t>Butchvarov (1970)</w:t>
      </w:r>
      <w:r>
        <w:fldChar w:fldCharType="end"/>
      </w:r>
      <w:r>
        <w:t xml:space="preserve"> argued that knowledge attributions are exaggerations:</w:t>
      </w:r>
    </w:p>
    <w:p w14:paraId="7F63F7A7" w14:textId="77777777" w:rsidR="002729FD" w:rsidRPr="005053C0" w:rsidRDefault="002729FD" w:rsidP="002729FD">
      <w:pPr>
        <w:pStyle w:val="Quote"/>
      </w:pPr>
      <w:r>
        <w:t xml:space="preserve">[T]he word </w:t>
      </w:r>
      <w:r>
        <w:rPr>
          <w:i/>
        </w:rPr>
        <w:t xml:space="preserve">know </w:t>
      </w:r>
      <w:r>
        <w:t xml:space="preserve">(and related expressions) falls into a class of words that quite naturally lend themselves to habitual yet perfectly justifiable </w:t>
      </w:r>
      <w:r>
        <w:rPr>
          <w:i/>
        </w:rPr>
        <w:lastRenderedPageBreak/>
        <w:t xml:space="preserve">exaggerated </w:t>
      </w:r>
      <w:r>
        <w:t xml:space="preserve">uses. One subgroup of such words consists of words whose very utterance is likely to have considerable </w:t>
      </w:r>
      <w:r>
        <w:rPr>
          <w:i/>
        </w:rPr>
        <w:t>practical import</w:t>
      </w:r>
      <w:r>
        <w:t xml:space="preserve">. Another subgroup consists of words referring to </w:t>
      </w:r>
      <w:r>
        <w:rPr>
          <w:i/>
        </w:rPr>
        <w:t>standards</w:t>
      </w:r>
      <w:r>
        <w:t xml:space="preserve">. </w:t>
      </w:r>
      <w:r>
        <w:rPr>
          <w:i/>
        </w:rPr>
        <w:t xml:space="preserve">Know </w:t>
      </w:r>
      <w:r>
        <w:t xml:space="preserve">belongs to both. </w:t>
      </w:r>
      <w:r>
        <w:fldChar w:fldCharType="begin"/>
      </w:r>
      <w:r>
        <w:instrText xml:space="preserve"> ADDIN EN.CITE &lt;EndNote&gt;&lt;Cite&gt;&lt;Author&gt;Butchvarov&lt;/Author&gt;&lt;Year&gt;1970&lt;/Year&gt;&lt;RecNum&gt;615&lt;/RecNum&gt;&lt;Suffix&gt;`, p. 54&lt;/Suffix&gt;&lt;DisplayText&gt;(Butchvarov 1970, p. 54)&lt;/DisplayText&gt;&lt;record&gt;&lt;rec-number&gt;615&lt;/rec-number&gt;&lt;foreign-keys&gt;&lt;key app="EN" db-id="fdfxp9d5i5rvabetvd055ar3wafrxaz9evr2" timestamp="1421094840"&gt;615&lt;/key&gt;&lt;/foreign-keys&gt;&lt;ref-type name="Book"&gt;6&lt;/ref-type&gt;&lt;contributors&gt;&lt;authors&gt;&lt;author&gt;Butchvarov, Panayot&lt;/author&gt;&lt;/authors&gt;&lt;/contributors&gt;&lt;titles&gt;&lt;title&gt;The Concept of Knowledge&lt;/title&gt;&lt;/titles&gt;&lt;dates&gt;&lt;year&gt;1970&lt;/year&gt;&lt;/dates&gt;&lt;pub-location&gt;Evanston&lt;/pub-location&gt;&lt;publisher&gt;Northwestern University Press&lt;/publisher&gt;&lt;isbn&gt;0810103192&lt;/isbn&gt;&lt;urls&gt;&lt;/urls&gt;&lt;/record&gt;&lt;/Cite&gt;&lt;/EndNote&gt;</w:instrText>
      </w:r>
      <w:r>
        <w:fldChar w:fldCharType="separate"/>
      </w:r>
      <w:r>
        <w:rPr>
          <w:noProof/>
        </w:rPr>
        <w:t>(Butchvarov 1970, p. 54)</w:t>
      </w:r>
      <w:r>
        <w:fldChar w:fldCharType="end"/>
      </w:r>
    </w:p>
    <w:p w14:paraId="3920D08F" w14:textId="77777777" w:rsidR="002729FD" w:rsidRDefault="002729FD" w:rsidP="002729FD">
      <w:r>
        <w:t>He adds that speakers make hyperbolic knowledge attributions for practical purposes, even while aware that literally knowing something is rare:</w:t>
      </w:r>
    </w:p>
    <w:p w14:paraId="3AEDC069" w14:textId="77777777" w:rsidR="002729FD" w:rsidRDefault="002729FD" w:rsidP="002729FD">
      <w:pPr>
        <w:pStyle w:val="Quote"/>
      </w:pPr>
      <w:r>
        <w:t xml:space="preserve">[P]eople very often claim to know when they do not, although they are not ignorant of the meaning of </w:t>
      </w:r>
      <w:r>
        <w:rPr>
          <w:i/>
        </w:rPr>
        <w:t xml:space="preserve">know </w:t>
      </w:r>
      <w:r>
        <w:t xml:space="preserve">or of the circumstances in which they use the word. By using the word, even though illegitimately, one can encourage important actions, gain respect and admiration, cause attitudes one regards as desirable, and… To deplore and attempt to eliminate such exaggerated uses of </w:t>
      </w:r>
      <w:r>
        <w:rPr>
          <w:i/>
        </w:rPr>
        <w:t xml:space="preserve">know </w:t>
      </w:r>
      <w:r>
        <w:t xml:space="preserve">would be a practical mistake. To regard these uses as paradigms of a </w:t>
      </w:r>
      <w:r>
        <w:rPr>
          <w:i/>
        </w:rPr>
        <w:t xml:space="preserve">sense </w:t>
      </w:r>
      <w:r>
        <w:t xml:space="preserve">of </w:t>
      </w:r>
      <w:r>
        <w:rPr>
          <w:i/>
        </w:rPr>
        <w:t xml:space="preserve">know </w:t>
      </w:r>
      <w:r>
        <w:t xml:space="preserve">would be an intellectual mistake. </w:t>
      </w:r>
      <w:r>
        <w:fldChar w:fldCharType="begin"/>
      </w:r>
      <w:r>
        <w:instrText xml:space="preserve"> ADDIN EN.CITE &lt;EndNote&gt;&lt;Cite&gt;&lt;Author&gt;Butchvarov&lt;/Author&gt;&lt;Year&gt;1970&lt;/Year&gt;&lt;RecNum&gt;615&lt;/RecNum&gt;&lt;Suffix&gt;`, p. 55&lt;/Suffix&gt;&lt;DisplayText&gt;(Butchvarov 1970, p. 55)&lt;/DisplayText&gt;&lt;record&gt;&lt;rec-number&gt;615&lt;/rec-number&gt;&lt;foreign-keys&gt;&lt;key app="EN" db-id="fdfxp9d5i5rvabetvd055ar3wafrxaz9evr2" timestamp="1421094840"&gt;615&lt;/key&gt;&lt;/foreign-keys&gt;&lt;ref-type name="Book"&gt;6&lt;/ref-type&gt;&lt;contributors&gt;&lt;authors&gt;&lt;author&gt;Butchvarov, Panayot&lt;/author&gt;&lt;/authors&gt;&lt;/contributors&gt;&lt;titles&gt;&lt;title&gt;The Concept of Knowledge&lt;/title&gt;&lt;/titles&gt;&lt;dates&gt;&lt;year&gt;1970&lt;/year&gt;&lt;/dates&gt;&lt;pub-location&gt;Evanston&lt;/pub-location&gt;&lt;publisher&gt;Northwestern University Press&lt;/publisher&gt;&lt;isbn&gt;0810103192&lt;/isbn&gt;&lt;urls&gt;&lt;/urls&gt;&lt;/record&gt;&lt;/Cite&gt;&lt;/EndNote&gt;</w:instrText>
      </w:r>
      <w:r>
        <w:fldChar w:fldCharType="separate"/>
      </w:r>
      <w:r>
        <w:rPr>
          <w:noProof/>
        </w:rPr>
        <w:t>(Butchvarov 1970, p. 55)</w:t>
      </w:r>
      <w:r>
        <w:fldChar w:fldCharType="end"/>
      </w:r>
      <w:r>
        <w:t xml:space="preserve"> </w:t>
      </w:r>
    </w:p>
    <w:p w14:paraId="4DFB5A67" w14:textId="77777777" w:rsidR="002729FD" w:rsidRDefault="002729FD" w:rsidP="002729FD">
      <w:r>
        <w:t xml:space="preserve">Later, </w:t>
      </w:r>
      <w:r>
        <w:fldChar w:fldCharType="begin"/>
      </w:r>
      <w:r>
        <w:instrText xml:space="preserve"> ADDIN EN.CITE &lt;EndNote&gt;&lt;Cite AuthorYear="1"&gt;&lt;Author&gt;Schaffer&lt;/Author&gt;&lt;Year&gt;2004&lt;/Year&gt;&lt;RecNum&gt;686&lt;/RecNum&gt;&lt;DisplayText&gt;Schaffer (2004)&lt;/DisplayText&gt;&lt;record&gt;&lt;rec-number&gt;686&lt;/rec-number&gt;&lt;foreign-keys&gt;&lt;key app="EN" db-id="fdfxp9d5i5rvabetvd055ar3wafrxaz9evr2" timestamp="1422878462"&gt;686&lt;/key&gt;&lt;/foreign-keys&gt;&lt;ref-type name="Journal Article"&gt;17&lt;/ref-type&gt;&lt;contributors&gt;&lt;authors&gt;&lt;author&gt;Schaffer, Jonathan&lt;/author&gt;&lt;/authors&gt;&lt;/contributors&gt;&lt;titles&gt;&lt;title&gt;Skepticism, Contextualism, and Discrimination&lt;/title&gt;&lt;secondary-title&gt;Philosophy and Phenomenological Research&lt;/secondary-title&gt;&lt;/titles&gt;&lt;periodical&gt;&lt;full-title&gt;Philosophy and Phenomenological Research&lt;/full-title&gt;&lt;abbr-1&gt;Phil. Phenomenol. Res&lt;/abbr-1&gt;&lt;abbr-2&gt;Phil Phenomenol Res&lt;/abbr-2&gt;&lt;/periodical&gt;&lt;pages&gt;138-155&lt;/pages&gt;&lt;volume&gt;69&lt;/volume&gt;&lt;number&gt;1&lt;/number&gt;&lt;dates&gt;&lt;year&gt;2004&lt;/year&gt;&lt;/dates&gt;&lt;publisher&gt;Blackwell Publishing Ltd&lt;/publisher&gt;&lt;isbn&gt;1933-1592&lt;/isbn&gt;&lt;urls&gt;&lt;related-urls&gt;&lt;url&gt;http://dx.doi.org/10.1111/j.1933-1592.2004.tb00387.x&lt;/url&gt;&lt;/related-urls&gt;&lt;/urls&gt;&lt;electronic-resource-num&gt;10.1111/j.1933-1592.2004.tb00387.x&lt;/electronic-resource-num&gt;&lt;/record&gt;&lt;/Cite&gt;&lt;/EndNote&gt;</w:instrText>
      </w:r>
      <w:r>
        <w:fldChar w:fldCharType="separate"/>
      </w:r>
      <w:r>
        <w:rPr>
          <w:noProof/>
        </w:rPr>
        <w:t>Schaffer (2004)</w:t>
      </w:r>
      <w:r>
        <w:fldChar w:fldCharType="end"/>
      </w:r>
      <w:r>
        <w:t xml:space="preserve"> supplemented the Exaggeration account with Grice’s theory of conversational implicature </w:t>
      </w:r>
      <w:r>
        <w:fldChar w:fldCharType="begin"/>
      </w:r>
      <w:r>
        <w:instrText xml:space="preserve"> ADDIN EN.CITE &lt;EndNote&gt;&lt;Cite&gt;&lt;Author&gt;Grice&lt;/Author&gt;&lt;Year&gt;1975&lt;/Year&gt;&lt;RecNum&gt;584&lt;/RecNum&gt;&lt;DisplayText&gt;(Grice 1975)&lt;/DisplayText&gt;&lt;record&gt;&lt;rec-number&gt;584&lt;/rec-number&gt;&lt;foreign-keys&gt;&lt;key app="EN" db-id="fdfxp9d5i5rvabetvd055ar3wafrxaz9evr2" timestamp="1419026843"&gt;584&lt;/key&gt;&lt;/foreign-keys&gt;&lt;ref-type name="Book Section"&gt;5&lt;/ref-type&gt;&lt;contributors&gt;&lt;authors&gt;&lt;author&gt;Grice, H.P.&lt;/author&gt;&lt;/authors&gt;&lt;secondary-authors&gt;&lt;author&gt;Peter Cole&lt;/author&gt;&lt;author&gt;Jerry Morgan&lt;/author&gt;&lt;/secondary-authors&gt;&lt;/contributors&gt;&lt;titles&gt;&lt;title&gt;Logic and Conversation&lt;/title&gt;&lt;secondary-title&gt;Syntax and Semantics, vol. 3: Speech Acts&lt;/secondary-title&gt;&lt;/titles&gt;&lt;dates&gt;&lt;year&gt;1975&lt;/year&gt;&lt;/dates&gt;&lt;pub-location&gt;New York&lt;/pub-location&gt;&lt;publisher&gt;Academic Press&lt;/publisher&gt;&lt;urls&gt;&lt;/urls&gt;&lt;/record&gt;&lt;/Cite&gt;&lt;/EndNote&gt;</w:instrText>
      </w:r>
      <w:r>
        <w:fldChar w:fldCharType="separate"/>
      </w:r>
      <w:r>
        <w:rPr>
          <w:noProof/>
        </w:rPr>
        <w:t>(Grice 1975)</w:t>
      </w:r>
      <w:r>
        <w:fldChar w:fldCharType="end"/>
      </w:r>
      <w:r>
        <w:t>.</w:t>
      </w:r>
      <w:r>
        <w:rPr>
          <w:rStyle w:val="FootnoteReference"/>
        </w:rPr>
        <w:footnoteReference w:id="15"/>
      </w:r>
      <w:r>
        <w:t xml:space="preserve"> In Schaffer’s telling, knowledge attributions express that a subject meets a very high epistemic standard that is typically unmet. Hearers, accepting this same standard, hear a knowledge attribution as straightforwardly false. Expecting that the speaker intends to comply with the Cooperative Principle and its maxims, including Quality (“Try to make your contribution one that is true”), infer that the speaker intends to comply with the Cooperative Principle with what the speaker means. Hearers thus infer that the speaker intends to communicate something else: perhaps that the subject is close enough to knowing for the present purposes. </w:t>
      </w:r>
    </w:p>
    <w:p w14:paraId="3EC80E97" w14:textId="77777777" w:rsidR="002729FD" w:rsidRPr="007F6ED4" w:rsidRDefault="002729FD" w:rsidP="002729FD">
      <w:r>
        <w:tab/>
        <w:t xml:space="preserve">But knowledge attributions usually do not strike us as deliberate overstatements, unlike </w:t>
      </w:r>
      <w:r w:rsidRPr="001E1EA6">
        <w:rPr>
          <w:i/>
        </w:rPr>
        <w:t>uncontroversial</w:t>
      </w:r>
      <w:r>
        <w:t xml:space="preserve"> examples of hyperbole. I say “it took me forever to get here” as I walk in late to the meeting, very obviously exaggerating with “forever”. “The swimming pool is a mile long” behaves similarly.</w:t>
      </w:r>
      <w:r>
        <w:rPr>
          <w:rStyle w:val="FootnoteReference"/>
        </w:rPr>
        <w:footnoteReference w:id="16"/>
      </w:r>
      <w:r>
        <w:t xml:space="preserve"> When we hear an utterance used hyperbolically it </w:t>
      </w:r>
      <w:r>
        <w:rPr>
          <w:i/>
        </w:rPr>
        <w:t xml:space="preserve">sounds </w:t>
      </w:r>
      <w:r>
        <w:t>false because it sounds like an overstatement.</w:t>
      </w:r>
    </w:p>
    <w:p w14:paraId="1BE48349" w14:textId="77777777" w:rsidR="002729FD" w:rsidRDefault="002729FD" w:rsidP="002729FD">
      <w:pPr>
        <w:ind w:firstLine="720"/>
      </w:pPr>
      <w:r>
        <w:t xml:space="preserve">Contrast that with ordinary knowledge attributions: a new faculty member needs help logging into the department’s scanner, and I say, “Come with me, I know the code.” A friend asks what time the tee-ball game starts, and after a reflective pause, I say, “Oh, I know: 6:30.” It is extremely hard to accept the idea that hearers would take these straightforward knowledge claims as deliberate </w:t>
      </w:r>
      <w:r w:rsidRPr="004E31F7">
        <w:rPr>
          <w:i/>
        </w:rPr>
        <w:t>overstatements</w:t>
      </w:r>
      <w:r>
        <w:t xml:space="preserve"> and thus as sparking a search for a true implicature. But without hearers taking knowledge attributions as straightforward overstatements, no search for an implicature begins.</w:t>
      </w:r>
      <w:r>
        <w:rPr>
          <w:rStyle w:val="FootnoteReference"/>
        </w:rPr>
        <w:footnoteReference w:id="17"/>
      </w:r>
      <w:r>
        <w:t xml:space="preserve"> </w:t>
      </w:r>
    </w:p>
    <w:p w14:paraId="288D457D" w14:textId="7B319BD3" w:rsidR="002729FD" w:rsidRDefault="002729FD" w:rsidP="002729FD">
      <w:pPr>
        <w:ind w:firstLine="720"/>
      </w:pPr>
      <w:r>
        <w:t xml:space="preserve">Schaffer anticipated this objection and replied that expressions that are </w:t>
      </w:r>
      <w:r>
        <w:rPr>
          <w:i/>
        </w:rPr>
        <w:t>usually</w:t>
      </w:r>
      <w:r>
        <w:t xml:space="preserve"> used hyperbolically often do not strike us as hyperbolic </w:t>
      </w:r>
      <w:r>
        <w:fldChar w:fldCharType="begin"/>
      </w:r>
      <w:r>
        <w:instrText xml:space="preserve"> ADDIN EN.CITE &lt;EndNote&gt;&lt;Cite ExcludeAuth="1"&gt;&lt;Author&gt;Schaffer&lt;/Author&gt;&lt;Year&gt;2004&lt;/Year&gt;&lt;RecNum&gt;686&lt;/RecNum&gt;&lt;Suffix&gt;`, fn. 3&lt;/Suffix&gt;&lt;DisplayText&gt;(2004, fn. 3)&lt;/DisplayText&gt;&lt;record&gt;&lt;rec-number&gt;686&lt;/rec-number&gt;&lt;foreign-keys&gt;&lt;key app="EN" db-id="fdfxp9d5i5rvabetvd055ar3wafrxaz9evr2" timestamp="1422878462"&gt;686&lt;/key&gt;&lt;/foreign-keys&gt;&lt;ref-type name="Journal Article"&gt;17&lt;/ref-type&gt;&lt;contributors&gt;&lt;authors&gt;&lt;author&gt;Schaffer, Jonathan&lt;/author&gt;&lt;/authors&gt;&lt;/contributors&gt;&lt;titles&gt;&lt;title&gt;Skepticism, Contextualism, and Discrimination&lt;/title&gt;&lt;secondary-title&gt;Philosophy and Phenomenological Research&lt;/secondary-title&gt;&lt;/titles&gt;&lt;periodical&gt;&lt;full-title&gt;Philosophy and Phenomenological Research&lt;/full-title&gt;&lt;abbr-1&gt;Phil. Phenomenol. Res&lt;/abbr-1&gt;&lt;abbr-2&gt;Phil Phenomenol Res&lt;/abbr-2&gt;&lt;/periodical&gt;&lt;pages&gt;138-155&lt;/pages&gt;&lt;volume&gt;69&lt;/volume&gt;&lt;number&gt;1&lt;/number&gt;&lt;dates&gt;&lt;year&gt;2004&lt;/year&gt;&lt;/dates&gt;&lt;publisher&gt;Blackwell Publishing Ltd&lt;/publisher&gt;&lt;isbn&gt;1933-1592&lt;/isbn&gt;&lt;urls&gt;&lt;related-urls&gt;&lt;url&gt;http://dx.doi.org/10.1111/j.1933-1592.2004.tb00387.x&lt;/url&gt;&lt;/related-urls&gt;&lt;/urls&gt;&lt;electronic-resource-num&gt;10.1111/j.1933-1592.2004.tb00387.x&lt;/electronic-resource-num&gt;&lt;/record&gt;&lt;/Cite&gt;&lt;/EndNote&gt;</w:instrText>
      </w:r>
      <w:r>
        <w:fldChar w:fldCharType="separate"/>
      </w:r>
      <w:r>
        <w:rPr>
          <w:noProof/>
        </w:rPr>
        <w:t>(2004, fn. 3)</w:t>
      </w:r>
      <w:r>
        <w:fldChar w:fldCharType="end"/>
      </w:r>
      <w:r>
        <w:t xml:space="preserve">. But that reply gets the </w:t>
      </w:r>
      <w:r>
        <w:lastRenderedPageBreak/>
        <w:t xml:space="preserve">argumentative burden exactly backward. A principled account would begin with an understanding of hyperbole and argue that knowledge attributions are an instance of the kind. Instead, Schaffer’s reply shows that knowledge attributions are </w:t>
      </w:r>
      <w:r>
        <w:rPr>
          <w:i/>
        </w:rPr>
        <w:t xml:space="preserve">not </w:t>
      </w:r>
      <w:r>
        <w:t xml:space="preserve">like </w:t>
      </w:r>
      <w:r>
        <w:rPr>
          <w:i/>
        </w:rPr>
        <w:t xml:space="preserve">uncontroversial </w:t>
      </w:r>
      <w:r>
        <w:t xml:space="preserve">examples of hyperbole at all. </w:t>
      </w:r>
      <w:bookmarkEnd w:id="1"/>
    </w:p>
    <w:bookmarkEnd w:id="0"/>
    <w:p w14:paraId="4EAF8834" w14:textId="77777777" w:rsidR="002729FD" w:rsidRDefault="002729FD" w:rsidP="002729FD">
      <w:pPr>
        <w:pStyle w:val="Heading2"/>
      </w:pPr>
      <w:r>
        <w:t xml:space="preserve"> The Disguised Conditionals Theory</w:t>
      </w:r>
    </w:p>
    <w:p w14:paraId="3F090AC8" w14:textId="604A5380" w:rsidR="002729FD" w:rsidRDefault="002729FD" w:rsidP="002729FD">
      <w:r>
        <w:fldChar w:fldCharType="begin"/>
      </w:r>
      <w:r>
        <w:instrText xml:space="preserve"> ADDIN EN.CITE &lt;EndNote&gt;&lt;Cite AuthorYear="1"&gt;&lt;Author&gt;Everett&lt;/Author&gt;&lt;Year&gt;2006&lt;/Year&gt;&lt;RecNum&gt;1656&lt;/RecNum&gt;&lt;DisplayText&gt;Everett (2006)&lt;/DisplayText&gt;&lt;record&gt;&lt;rec-number&gt;1656&lt;/rec-number&gt;&lt;foreign-keys&gt;&lt;key app="EN" db-id="fdfxp9d5i5rvabetvd055ar3wafrxaz9evr2" timestamp="1469111719"&gt;1656&lt;/key&gt;&lt;/foreign-keys&gt;&lt;ref-type name="Journal Article"&gt;17&lt;/ref-type&gt;&lt;contributors&gt;&lt;authors&gt;&lt;author&gt;Everett, Theodore&lt;/author&gt;&lt;/authors&gt;&lt;/contributors&gt;&lt;titles&gt;&lt;title&gt;Antiskeptical Conditionals&lt;/title&gt;&lt;secondary-title&gt;Philosophy and Phenomenological Research&lt;/secondary-title&gt;&lt;/titles&gt;&lt;periodical&gt;&lt;full-title&gt;Philosophy and Phenomenological Research&lt;/full-title&gt;&lt;abbr-1&gt;Phil. Phenomenol. Res&lt;/abbr-1&gt;&lt;abbr-2&gt;Phil Phenomenol Res&lt;/abbr-2&gt;&lt;/periodical&gt;&lt;pages&gt;505-536&lt;/pages&gt;&lt;volume&gt;73&lt;/volume&gt;&lt;number&gt;2&lt;/number&gt;&lt;dates&gt;&lt;year&gt;2006&lt;/year&gt;&lt;/dates&gt;&lt;urls&gt;&lt;/urls&gt;&lt;/record&gt;&lt;/Cite&gt;&lt;/EndNote&gt;</w:instrText>
      </w:r>
      <w:r>
        <w:fldChar w:fldCharType="separate"/>
      </w:r>
      <w:r>
        <w:rPr>
          <w:noProof/>
        </w:rPr>
        <w:t>Everett (2006)</w:t>
      </w:r>
      <w:r>
        <w:fldChar w:fldCharType="end"/>
      </w:r>
      <w:r>
        <w:t xml:space="preserve"> proposed that our ordinary knowledge attributions are disguised conditional claims. We utter sentences like “I know that p”, but the semantic content of the utterance (and the speaker’s intention behind uttering it) is a disguised conditional of the form, “I know that if I am not undetectably deceived, then p”.</w:t>
      </w:r>
    </w:p>
    <w:p w14:paraId="58EF76F7" w14:textId="77777777" w:rsidR="002729FD" w:rsidRDefault="002729FD" w:rsidP="002729FD">
      <w:pPr>
        <w:ind w:firstLine="720"/>
      </w:pPr>
      <w:r>
        <w:t xml:space="preserve">Undoubtedly, we do sometimes offer conditional statements as </w:t>
      </w:r>
      <w:r w:rsidRPr="00720923">
        <w:rPr>
          <w:i/>
        </w:rPr>
        <w:t>revisions</w:t>
      </w:r>
      <w:r>
        <w:t xml:space="preserve"> of our claims to know:</w:t>
      </w:r>
    </w:p>
    <w:p w14:paraId="75B3D98A" w14:textId="77777777" w:rsidR="002729FD" w:rsidRDefault="002729FD" w:rsidP="002729FD">
      <w:pPr>
        <w:spacing w:after="40"/>
        <w:ind w:firstLine="720"/>
      </w:pPr>
      <w:r w:rsidRPr="00D76DA6">
        <w:rPr>
          <w:u w:val="single"/>
        </w:rPr>
        <w:t xml:space="preserve">The </w:t>
      </w:r>
      <w:r>
        <w:rPr>
          <w:u w:val="single"/>
        </w:rPr>
        <w:t>Airport Case, Conditional Version 1:</w:t>
      </w:r>
    </w:p>
    <w:p w14:paraId="0FAD6DFC" w14:textId="77777777" w:rsidR="002729FD" w:rsidRPr="000F6AED" w:rsidRDefault="002729FD" w:rsidP="002729FD">
      <w:pPr>
        <w:pStyle w:val="Quote"/>
      </w:pPr>
      <w:r>
        <w:t>Smith: I know that the flight stops in Chicago.</w:t>
      </w:r>
      <w:r>
        <w:br/>
        <w:t>Mary: How do you know that the flight stops in Chicago? The itinerary could contain a misprint.</w:t>
      </w:r>
      <w:r>
        <w:br/>
        <w:t>Smith: I just meant that I know that if there is no misprint or other strange error, then the flight stops in Chicago.</w:t>
      </w:r>
    </w:p>
    <w:p w14:paraId="0B6110ED" w14:textId="6BF0FD51" w:rsidR="002729FD" w:rsidRDefault="002729FD" w:rsidP="002729FD">
      <w:r>
        <w:t xml:space="preserve">But the Conditionalist goes further than this. It is not </w:t>
      </w:r>
      <w:r>
        <w:rPr>
          <w:i/>
        </w:rPr>
        <w:t xml:space="preserve">just </w:t>
      </w:r>
      <w:r>
        <w:t xml:space="preserve">that we sometimes back off from straightforward knowledge attributions and offer a conditional knowledge attribution in retreat. The claim is that straightforward, unqualified knowledge attributions </w:t>
      </w:r>
      <w:r w:rsidR="0002554A">
        <w:t>semantically express</w:t>
      </w:r>
      <w:r>
        <w:t xml:space="preserve"> disguised conditional propositions. The Conditionalist claims that “S knows that p” is </w:t>
      </w:r>
      <w:r>
        <w:rPr>
          <w:i/>
        </w:rPr>
        <w:t xml:space="preserve">equivalent </w:t>
      </w:r>
      <w:r>
        <w:t>to “S knows that (if S is not undetectably deceived, then p)”.</w:t>
      </w:r>
    </w:p>
    <w:p w14:paraId="25D3064D" w14:textId="77777777" w:rsidR="002729FD" w:rsidRDefault="002729FD" w:rsidP="002729FD">
      <w:pPr>
        <w:ind w:firstLine="720"/>
      </w:pPr>
      <w:r>
        <w:t xml:space="preserve">If we </w:t>
      </w:r>
      <w:r w:rsidRPr="00167B98">
        <w:rPr>
          <w:i/>
        </w:rPr>
        <w:t>never</w:t>
      </w:r>
      <w:r>
        <w:t xml:space="preserve"> assert that we have unconditional knowledge, then many skeptical worries are irrelevant to ordinary (conditional!) knowledge. If I claim to know that ‘if p then q’ and an interlocutor objects that perhaps not-p because not-q, those concerns have no bearing on my claimed </w:t>
      </w:r>
      <w:r>
        <w:rPr>
          <w:i/>
        </w:rPr>
        <w:t xml:space="preserve">conditional </w:t>
      </w:r>
      <w:r>
        <w:t>knowledge of ‘if p then q’. Skeptical concerns are bracketed as ‘undetectable’ possibilities that do not threaten ordinary (conditional) knowledge. One might claim this ability to bypass skepticism as a feature of the view.</w:t>
      </w:r>
    </w:p>
    <w:p w14:paraId="2BA58646" w14:textId="2223039C" w:rsidR="002729FD" w:rsidRDefault="002729FD" w:rsidP="002729FD">
      <w:r>
        <w:tab/>
        <w:t xml:space="preserve">There is a significant associated cost, however. In the Smith-Mary exchange above, it is hard to accept that Smith really </w:t>
      </w:r>
      <w:r w:rsidR="0002554A">
        <w:t>asserted</w:t>
      </w:r>
      <w:r>
        <w:t xml:space="preserve"> the conditional </w:t>
      </w:r>
      <w:r w:rsidR="0002554A">
        <w:t xml:space="preserve">claim </w:t>
      </w:r>
      <w:r>
        <w:t xml:space="preserve">when he made his first utterance. It is more plausible that when challenges are made to our knowledge attributions and we cannot rebut the challenge, we hedge by offering a conditional </w:t>
      </w:r>
      <w:r w:rsidRPr="00D05092">
        <w:rPr>
          <w:i/>
        </w:rPr>
        <w:t>replacement</w:t>
      </w:r>
      <w:r>
        <w:t xml:space="preserve"> for our original claim. But if that is right, then speakers are not </w:t>
      </w:r>
      <w:r w:rsidR="00196777">
        <w:t>making</w:t>
      </w:r>
      <w:r>
        <w:t xml:space="preserve"> conditional claims in the first place. If the theory were true, exchanges like the following would be perfectly acceptable:</w:t>
      </w:r>
    </w:p>
    <w:p w14:paraId="081CFE27" w14:textId="77777777" w:rsidR="002729FD" w:rsidRDefault="002729FD" w:rsidP="002729FD">
      <w:pPr>
        <w:spacing w:after="40"/>
        <w:ind w:firstLine="720"/>
      </w:pPr>
      <w:r w:rsidRPr="00D76DA6">
        <w:rPr>
          <w:u w:val="single"/>
        </w:rPr>
        <w:t xml:space="preserve">The </w:t>
      </w:r>
      <w:r>
        <w:rPr>
          <w:u w:val="single"/>
        </w:rPr>
        <w:t>Airport Case, Conditional Version 2:</w:t>
      </w:r>
    </w:p>
    <w:p w14:paraId="5B4EE606" w14:textId="77777777" w:rsidR="002729FD" w:rsidRPr="000F6AED" w:rsidRDefault="002729FD" w:rsidP="002729FD">
      <w:pPr>
        <w:pStyle w:val="Quote"/>
      </w:pPr>
      <w:r>
        <w:t>Smith: I know that the flight stops in Chicago.</w:t>
      </w:r>
      <w:r>
        <w:br/>
        <w:t>Mary: How do you know that the flight stops in Chicago? The itinerary could contain a misprint.</w:t>
      </w:r>
      <w:r>
        <w:br/>
        <w:t xml:space="preserve">Smith: </w:t>
      </w:r>
      <w:r>
        <w:rPr>
          <w:i/>
        </w:rPr>
        <w:t>Like I said the first time</w:t>
      </w:r>
      <w:r>
        <w:t>,</w:t>
      </w:r>
      <w:r>
        <w:rPr>
          <w:i/>
        </w:rPr>
        <w:t xml:space="preserve"> </w:t>
      </w:r>
      <w:r>
        <w:t>I know that if there is no misprint or other strange error, then the flight stops in Chicago.</w:t>
      </w:r>
    </w:p>
    <w:p w14:paraId="7CDB556F" w14:textId="6EDE8CBD" w:rsidR="002729FD" w:rsidRPr="00D76DA6" w:rsidRDefault="002729FD" w:rsidP="002729FD">
      <w:r>
        <w:lastRenderedPageBreak/>
        <w:t xml:space="preserve">If the Disguised Conditionals Theory is true, Smith </w:t>
      </w:r>
      <w:r w:rsidRPr="0025456F">
        <w:rPr>
          <w:i/>
        </w:rPr>
        <w:t>should</w:t>
      </w:r>
      <w:r>
        <w:t xml:space="preserve"> sound like he is repeating himself. Instead, it sounds like he does not want to acknowledge that Mary undermined his knowledge claim.</w:t>
      </w:r>
      <w:r>
        <w:rPr>
          <w:rStyle w:val="FootnoteReference"/>
        </w:rPr>
        <w:footnoteReference w:id="18"/>
      </w:r>
      <w:r w:rsidR="00556112">
        <w:t>,</w:t>
      </w:r>
      <w:r w:rsidR="00556112" w:rsidRPr="00556112">
        <w:rPr>
          <w:rStyle w:val="FootnoteReference"/>
        </w:rPr>
        <w:t xml:space="preserve"> </w:t>
      </w:r>
      <w:r w:rsidR="00556112">
        <w:rPr>
          <w:rStyle w:val="FootnoteReference"/>
        </w:rPr>
        <w:footnoteReference w:id="19"/>
      </w:r>
    </w:p>
    <w:p w14:paraId="6330E81C" w14:textId="03FA2D72" w:rsidR="002729FD" w:rsidRDefault="002729FD" w:rsidP="002729FD">
      <w:pPr>
        <w:pStyle w:val="Heading1"/>
      </w:pPr>
      <w:r>
        <w:tab/>
      </w:r>
      <w:r w:rsidR="003A7053">
        <w:t>Combining Pragmatics and Error Theory</w:t>
      </w:r>
    </w:p>
    <w:p w14:paraId="372C34FB" w14:textId="77777777" w:rsidR="002105FA" w:rsidRDefault="002729FD" w:rsidP="00140C82">
      <w:r>
        <w:t xml:space="preserve">Each account </w:t>
      </w:r>
      <w:r w:rsidR="00C25EBC">
        <w:t xml:space="preserve">just considered </w:t>
      </w:r>
      <w:r>
        <w:t xml:space="preserve">failed </w:t>
      </w:r>
      <w:r w:rsidR="000C2353">
        <w:t xml:space="preserve">either </w:t>
      </w:r>
      <w:r>
        <w:t xml:space="preserve">by not explaining the appropriateness of knowledge attributions, by denying that speakers assert knowledge claims, or by implying that speakers take skepticism for granted as obviously true. </w:t>
      </w:r>
    </w:p>
    <w:p w14:paraId="11B3EF37" w14:textId="68A70EA5" w:rsidR="002729FD" w:rsidRDefault="002729FD" w:rsidP="002105FA">
      <w:pPr>
        <w:ind w:firstLine="720"/>
      </w:pPr>
      <w:r>
        <w:t>I propose a new skeptical invariantist account of knowledge attributions</w:t>
      </w:r>
      <w:r w:rsidR="002105FA">
        <w:t xml:space="preserve"> that avoids these failures</w:t>
      </w:r>
      <w:r>
        <w:t xml:space="preserve">. The view incorporates some insights from the positions </w:t>
      </w:r>
      <w:r w:rsidR="00BB4D9D">
        <w:t>just</w:t>
      </w:r>
      <w:r>
        <w:t xml:space="preserve"> criticized. There is something important about the idea that speakers often make false claims about what they know without realizing it, as the Error Theory suggests. There is </w:t>
      </w:r>
      <w:r w:rsidR="00140C82">
        <w:t xml:space="preserve">also </w:t>
      </w:r>
      <w:r>
        <w:t xml:space="preserve">an important truth in the suggestion that </w:t>
      </w:r>
      <w:r w:rsidR="00631FC2">
        <w:t>the appropriateness of much</w:t>
      </w:r>
      <w:r>
        <w:t xml:space="preserve"> knowledge-talk </w:t>
      </w:r>
      <w:r w:rsidR="00140C82">
        <w:t>involves a</w:t>
      </w:r>
      <w:r w:rsidR="0042738C">
        <w:t>n important</w:t>
      </w:r>
      <w:r w:rsidR="00140C82">
        <w:t xml:space="preserve"> pragmatic element</w:t>
      </w:r>
      <w:r>
        <w:t>.</w:t>
      </w:r>
      <w:r w:rsidR="00140C82">
        <w:t xml:space="preserve"> The view I propose accommodate</w:t>
      </w:r>
      <w:r w:rsidR="00EA1096">
        <w:t>s</w:t>
      </w:r>
      <w:r w:rsidR="00140C82">
        <w:t xml:space="preserve"> both. </w:t>
      </w:r>
      <w:r w:rsidR="003E64F4">
        <w:t>C</w:t>
      </w:r>
      <w:r>
        <w:t xml:space="preserve">all </w:t>
      </w:r>
      <w:r w:rsidR="00140C82">
        <w:t>it</w:t>
      </w:r>
      <w:r>
        <w:t xml:space="preserve"> </w:t>
      </w:r>
      <w:r w:rsidRPr="00553173">
        <w:t>Pragmatic Error Skepticism</w:t>
      </w:r>
      <w:r>
        <w:t xml:space="preserve">. </w:t>
      </w:r>
    </w:p>
    <w:p w14:paraId="3EECCB93" w14:textId="6C788081" w:rsidR="002729FD" w:rsidRDefault="002729FD" w:rsidP="002729FD">
      <w:pPr>
        <w:pStyle w:val="Quote"/>
      </w:pPr>
      <w:r>
        <w:rPr>
          <w:i/>
        </w:rPr>
        <w:t xml:space="preserve">Pragmatic Error Skepticism </w:t>
      </w:r>
      <w:r>
        <w:t xml:space="preserve">claims that “S knows that p” (invariantly) expresses that S has infallible justification for believing that p; that ordinary speakers implicitly accept this standard and that it implies some form of knowledge skepticism; and that “S knows that p” is regularly and appropriately used </w:t>
      </w:r>
      <w:r w:rsidRPr="00612065">
        <w:rPr>
          <w:iCs w:val="0"/>
        </w:rPr>
        <w:t>because</w:t>
      </w:r>
      <w:r>
        <w:t xml:space="preserve"> it communicates a proposition that is practically relevant.</w:t>
      </w:r>
    </w:p>
    <w:p w14:paraId="65E6BBF6" w14:textId="34A3194E" w:rsidR="008B3D2B" w:rsidRPr="008B3D2B" w:rsidRDefault="008B3D2B" w:rsidP="008B3D2B">
      <w:r>
        <w:rPr>
          <w:color w:val="000000" w:themeColor="text1"/>
        </w:rPr>
        <w:t>In the rest of this section, I will show that pragmatic error skepticism avoids the</w:t>
      </w:r>
      <w:r w:rsidR="00451F45">
        <w:rPr>
          <w:color w:val="000000" w:themeColor="text1"/>
        </w:rPr>
        <w:t xml:space="preserve"> problems of other accounts </w:t>
      </w:r>
      <w:r w:rsidR="00237538">
        <w:rPr>
          <w:color w:val="000000" w:themeColor="text1"/>
        </w:rPr>
        <w:t>while plausibly explaining the appropriateness of our knowledge-attributing behavior.</w:t>
      </w:r>
    </w:p>
    <w:p w14:paraId="53317959" w14:textId="77777777" w:rsidR="002729FD" w:rsidRDefault="002729FD" w:rsidP="002729FD">
      <w:pPr>
        <w:pStyle w:val="Heading2"/>
      </w:pPr>
      <w:r>
        <w:t xml:space="preserve"> Appropriateness in Ordinary Contexts</w:t>
      </w:r>
    </w:p>
    <w:p w14:paraId="2C093D26" w14:textId="5AAC34F2" w:rsidR="002729FD" w:rsidRDefault="002729FD" w:rsidP="002729FD">
      <w:r w:rsidRPr="0067122B">
        <w:t>A</w:t>
      </w:r>
      <w:r>
        <w:t xml:space="preserve"> desideratum for </w:t>
      </w:r>
      <w:r w:rsidR="00C805D8">
        <w:t xml:space="preserve">any theory of knowledge, including </w:t>
      </w:r>
      <w:r>
        <w:t>skeptical invariantism</w:t>
      </w:r>
      <w:r w:rsidR="00C805D8">
        <w:t>,</w:t>
      </w:r>
      <w:r>
        <w:t xml:space="preserve"> is to show that ordinary knowledge attributions are at least usually appropriate. Pragmatic Error Skepticism claims that speakers implicitly accept that “S knows that p” expresses demanding standards that are rarely met, and that speakers nevertheless use “S knows that p” for ordinary, practical purposes. Showing how this works is possible using Grice’s maxim</w:t>
      </w:r>
      <w:r w:rsidR="005A58DC">
        <w:t>s</w:t>
      </w:r>
      <w:r w:rsidR="005E5A4E">
        <w:t xml:space="preserve"> in a straightforward way</w:t>
      </w:r>
      <w:r>
        <w:t>.</w:t>
      </w:r>
    </w:p>
    <w:p w14:paraId="797BB145" w14:textId="4304C1B5" w:rsidR="002729FD" w:rsidRDefault="002729FD" w:rsidP="002729FD">
      <w:pPr>
        <w:pStyle w:val="Quote"/>
      </w:pPr>
      <w:r w:rsidRPr="00B90EBB">
        <w:rPr>
          <w:u w:val="single"/>
        </w:rPr>
        <w:t>Distinguishing Relevant Alternatives</w:t>
      </w:r>
      <w:r>
        <w:t xml:space="preserve">: </w:t>
      </w:r>
      <w:r w:rsidR="0062127A">
        <w:t>Landon</w:t>
      </w:r>
      <w:r>
        <w:t xml:space="preserve"> and </w:t>
      </w:r>
      <w:r w:rsidR="0062127A">
        <w:t>Jill</w:t>
      </w:r>
      <w:r>
        <w:t xml:space="preserve"> are looking at a map of the </w:t>
      </w:r>
      <w:r w:rsidR="00793ADC">
        <w:t>wildlife sanctuary</w:t>
      </w:r>
      <w:r>
        <w:t xml:space="preserve">, searching for the zebras. Thanks to a convoluted map key, visitors looking for the zebra exhibit often wind up at the tiger exhibit, and vice versa. </w:t>
      </w:r>
      <w:r w:rsidR="0062127A">
        <w:t>Jill</w:t>
      </w:r>
      <w:r>
        <w:t xml:space="preserve"> thinks they should go right—but she is not sure—and </w:t>
      </w:r>
      <w:r w:rsidR="0062127A">
        <w:lastRenderedPageBreak/>
        <w:t>Landon</w:t>
      </w:r>
      <w:r>
        <w:t xml:space="preserve"> thinks they should go left—but he is not sure, either. Fred overhears their conversation and says, “I know where the zebras are. They are [pointing] that way, to the right.”</w:t>
      </w:r>
    </w:p>
    <w:p w14:paraId="194C9570" w14:textId="0B149367" w:rsidR="002729FD" w:rsidRDefault="002729FD" w:rsidP="002729FD">
      <w:r>
        <w:t xml:space="preserve">Fred’s knowledge attribution </w:t>
      </w:r>
      <w:r w:rsidR="005573FF">
        <w:t>semantically expresses</w:t>
      </w:r>
      <w:r>
        <w:t xml:space="preserve"> that he meets an extremely demanding epistemic standard, which at the level of what is said is false and thus violates Quality</w:t>
      </w:r>
      <w:r w:rsidR="00793ADC">
        <w:t>. (“Try to make your contribution one that is true”)</w:t>
      </w:r>
      <w:r>
        <w:t>.</w:t>
      </w:r>
      <w:r>
        <w:rPr>
          <w:rStyle w:val="FootnoteReference"/>
        </w:rPr>
        <w:footnoteReference w:id="20"/>
      </w:r>
      <w:r>
        <w:t xml:space="preserve"> Assuming that Fred intends to satisfy the conversational maxims using implicature</w:t>
      </w:r>
      <w:r w:rsidR="00793ADC">
        <w:t xml:space="preserve"> rather than with what he said</w:t>
      </w:r>
      <w:r>
        <w:t xml:space="preserve">, </w:t>
      </w:r>
      <w:r w:rsidR="0062127A">
        <w:t>Landon</w:t>
      </w:r>
      <w:r>
        <w:t xml:space="preserve"> and </w:t>
      </w:r>
      <w:r w:rsidR="0062127A">
        <w:t>Jill</w:t>
      </w:r>
      <w:r>
        <w:t xml:space="preserve"> infer that Fred means to </w:t>
      </w:r>
      <w:r w:rsidR="00793ADC">
        <w:t>communicate</w:t>
      </w:r>
      <w:r>
        <w:t xml:space="preserve"> something that satisfies Quality, which is that he can distinguish the things they are looking for—zebras—from an alternative that is conversationally relevant—the tigers. Furthermore, </w:t>
      </w:r>
      <w:r w:rsidR="0062127A">
        <w:t>Jill and Landon</w:t>
      </w:r>
      <w:r>
        <w:t xml:space="preserve"> infer that by implicating that he can distinguish these alternatives, Fred intends to direct them to the exhibit that they are looking for.</w:t>
      </w:r>
      <w:r>
        <w:rPr>
          <w:rStyle w:val="FootnoteReference"/>
        </w:rPr>
        <w:footnoteReference w:id="21"/>
      </w:r>
    </w:p>
    <w:p w14:paraId="6E5BC434" w14:textId="54DBE8D8" w:rsidR="00503053" w:rsidRPr="00190686" w:rsidRDefault="00503053" w:rsidP="00503053">
      <w:r>
        <w:tab/>
        <w:t xml:space="preserve">More schematically, in this example, Fred </w:t>
      </w:r>
      <w:r w:rsidR="002E359F">
        <w:t xml:space="preserve">makes an ordinary knowledge attribution, saying “I know where the zebras are.” </w:t>
      </w:r>
      <w:r w:rsidR="00F3408C">
        <w:t xml:space="preserve">According to Pragmatic Error Skepticism, </w:t>
      </w:r>
      <w:r w:rsidR="00FF72E8">
        <w:t>Fred’s utterance</w:t>
      </w:r>
      <w:r w:rsidR="002E359F">
        <w:t xml:space="preserve"> expresses the proposition </w:t>
      </w:r>
      <w:r w:rsidR="00190686">
        <w:rPr>
          <w:i/>
          <w:iCs/>
        </w:rPr>
        <w:t xml:space="preserve">that Fred has infallible justification for </w:t>
      </w:r>
      <w:r w:rsidR="00B54CFB">
        <w:rPr>
          <w:i/>
          <w:iCs/>
        </w:rPr>
        <w:t>believing</w:t>
      </w:r>
      <w:r w:rsidR="00FF72E8">
        <w:rPr>
          <w:i/>
          <w:iCs/>
        </w:rPr>
        <w:t xml:space="preserve"> that the zebras are </w:t>
      </w:r>
      <w:r w:rsidR="00B54CFB">
        <w:rPr>
          <w:i/>
          <w:iCs/>
        </w:rPr>
        <w:t xml:space="preserve">[demonstrating] </w:t>
      </w:r>
      <w:r w:rsidR="00FF72E8">
        <w:rPr>
          <w:i/>
          <w:iCs/>
        </w:rPr>
        <w:t>that way</w:t>
      </w:r>
      <w:r w:rsidR="00190686">
        <w:t xml:space="preserve">. Landon and Jill </w:t>
      </w:r>
      <w:r w:rsidR="00E276FD">
        <w:t>hear this proposition as</w:t>
      </w:r>
      <w:r w:rsidR="00190686">
        <w:t xml:space="preserve"> false</w:t>
      </w:r>
      <w:r w:rsidR="00E276FD">
        <w:t xml:space="preserve"> as thus as violation of Quality</w:t>
      </w:r>
      <w:r w:rsidR="00173333">
        <w:t xml:space="preserve">. </w:t>
      </w:r>
      <w:r w:rsidR="009B0707">
        <w:t>Thus, they</w:t>
      </w:r>
      <w:r w:rsidR="00173333">
        <w:t xml:space="preserve"> search f</w:t>
      </w:r>
      <w:r w:rsidR="00E276FD">
        <w:t xml:space="preserve">or a </w:t>
      </w:r>
      <w:r w:rsidR="00173333">
        <w:t xml:space="preserve">contextually </w:t>
      </w:r>
      <w:r w:rsidR="00E276FD">
        <w:t>relevant</w:t>
      </w:r>
      <w:r w:rsidR="00173333">
        <w:t xml:space="preserve">, true proposition that satisfies </w:t>
      </w:r>
      <w:r w:rsidR="009B0707">
        <w:t>all</w:t>
      </w:r>
      <w:r w:rsidR="00173333">
        <w:t xml:space="preserve"> </w:t>
      </w:r>
      <w:r w:rsidR="009B0707">
        <w:t xml:space="preserve">of </w:t>
      </w:r>
      <w:r w:rsidR="00173333">
        <w:t>the maxims, including Quality.</w:t>
      </w:r>
      <w:r w:rsidR="00900E53">
        <w:t xml:space="preserve"> </w:t>
      </w:r>
      <w:r w:rsidR="009B0707">
        <w:t>They arrive at</w:t>
      </w:r>
      <w:r w:rsidR="00900E53">
        <w:t xml:space="preserve"> </w:t>
      </w:r>
      <w:r w:rsidR="00FC525D">
        <w:t xml:space="preserve">the proposition that </w:t>
      </w:r>
      <w:r w:rsidR="005F57D9">
        <w:t xml:space="preserve">Fred </w:t>
      </w:r>
      <w:r w:rsidR="009E3F82">
        <w:t>can distinguish the zebras from the tiger</w:t>
      </w:r>
      <w:r w:rsidR="00BC6C76">
        <w:t xml:space="preserve">s, and further infer </w:t>
      </w:r>
      <w:r w:rsidR="006C4ADB">
        <w:t>from this that</w:t>
      </w:r>
      <w:r w:rsidR="00BC6C76">
        <w:t xml:space="preserve"> by expressing himself in this way, Fred is providing directions</w:t>
      </w:r>
      <w:r w:rsidR="009964C0">
        <w:t>.</w:t>
      </w:r>
    </w:p>
    <w:p w14:paraId="66507191" w14:textId="265F0058" w:rsidR="002729FD" w:rsidRDefault="002729FD" w:rsidP="002729FD">
      <w:r>
        <w:tab/>
        <w:t xml:space="preserve">The </w:t>
      </w:r>
      <w:r w:rsidR="00426C18">
        <w:t xml:space="preserve">general </w:t>
      </w:r>
      <w:r>
        <w:t>pattern here is that when a speaker utters “S knows that p” hearers will take the utterance to violate Quality. Hearers assume that speakers intend to comply with Quality and the other maxims at the level of what is meant, so they infer a true and relevant implicature.</w:t>
      </w:r>
      <w:r>
        <w:rPr>
          <w:rStyle w:val="FootnoteReference"/>
        </w:rPr>
        <w:footnoteReference w:id="22"/>
      </w:r>
      <w:r w:rsidR="004C5CD3">
        <w:t xml:space="preserve"> </w:t>
      </w:r>
      <w:r>
        <w:tab/>
        <w:t xml:space="preserve">This way of speaking allows for knowledge-talk to be very expressive and useful in ordinary contexts. In general, the Pragmatic Error Skeptic can tell a story using implicature to accommodate roles for knowledge attributions that non-skeptical epistemologists have identified. </w:t>
      </w:r>
      <w:r w:rsidR="00AD6731">
        <w:t>My</w:t>
      </w:r>
      <w:r>
        <w:t xml:space="preserve"> example had to do with distinguishing relevant alternatives </w:t>
      </w:r>
      <w:r>
        <w:fldChar w:fldCharType="begin">
          <w:fldData xml:space="preserve">PEVuZE5vdGU+PENpdGU+PEF1dGhvcj5EcmV0c2tlPC9BdXRob3I+PFllYXI+MTk3MTwvWWVhcj48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</w:fldData>
        </w:fldChar>
      </w:r>
      <w:r>
        <w:instrText xml:space="preserve"> ADDIN EN.CITE </w:instrText>
      </w:r>
      <w:r>
        <w:fldChar w:fldCharType="begin">
          <w:fldData xml:space="preserve">PEVuZE5vdGU+PENpdGU+PEF1dGhvcj5EcmV0c2tlPC9BdXRob3I+PFllYXI+MTk3MTwvWWVhcj48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</w:fldData>
        </w:fldChar>
      </w:r>
      <w:r>
        <w:instrText xml:space="preserve"> ADDIN EN.CITE.DATA </w:instrText>
      </w:r>
      <w:r>
        <w:fldChar w:fldCharType="end"/>
      </w:r>
      <w:r>
        <w:fldChar w:fldCharType="separate"/>
      </w:r>
      <w:r>
        <w:rPr>
          <w:noProof/>
        </w:rPr>
        <w:t>(Dretske 1971, Goldman 1976, Stein 1976)</w:t>
      </w:r>
      <w:r>
        <w:fldChar w:fldCharType="end"/>
      </w:r>
      <w:r>
        <w:t xml:space="preserve">, but in principle the same basic pattern could also be used to show that false knowledge attributions can communicate that a subject is a reliable informant on a topic </w:t>
      </w:r>
      <w:r>
        <w:fldChar w:fldCharType="begin"/>
      </w:r>
      <w:r>
        <w:instrText xml:space="preserve"> ADDIN EN.CITE &lt;EndNote&gt;&lt;Cite&gt;&lt;Author&gt;Craig&lt;/Author&gt;&lt;Year&gt;1990&lt;/Year&gt;&lt;RecNum&gt;1620&lt;/RecNum&gt;&lt;DisplayText&gt;(Craig 1990)&lt;/DisplayText&gt;&lt;record&gt;&lt;rec-number&gt;1620&lt;/rec-number&gt;&lt;foreign-keys&gt;&lt;key app="EN" db-id="fdfxp9d5i5rvabetvd055ar3wafrxaz9evr2" timestamp="1455637918"&gt;1620&lt;/key&gt;&lt;/foreign-keys&gt;&lt;ref-type name="Book"&gt;6&lt;/ref-type&gt;&lt;contributors&gt;&lt;authors&gt;&lt;author&gt;Craig, Edward&lt;/author&gt;&lt;/authors&gt;&lt;/contributors&gt;&lt;titles&gt;&lt;title&gt;Knowledge and the State of Nature&lt;/title&gt;&lt;/titles&gt;&lt;dates&gt;&lt;year&gt;1990&lt;/year&gt;&lt;/dates&gt;&lt;pub-location&gt;Oxford&lt;/pub-location&gt;&lt;publisher&gt;Clarendon Press&lt;/publisher&gt;&lt;urls&gt;&lt;/urls&gt;&lt;/record&gt;&lt;/Cite&gt;&lt;/EndNote&gt;</w:instrText>
      </w:r>
      <w:r>
        <w:fldChar w:fldCharType="separate"/>
      </w:r>
      <w:r>
        <w:rPr>
          <w:noProof/>
        </w:rPr>
        <w:t>(Craig 1990)</w:t>
      </w:r>
      <w:r>
        <w:fldChar w:fldCharType="end"/>
      </w:r>
      <w:r>
        <w:t xml:space="preserve"> or that a proposition can be assumed to be true for the purposes of inquiry </w:t>
      </w:r>
      <w:r>
        <w:fldChar w:fldCharType="begin">
          <w:fldData xml:space="preserve">PEVuZE5vdGU+PENpdGU+PEF1dGhvcj5LZWxwPC9BdXRob3I+PFllYXI+MjAxMTwvWWVhcj48UmVj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</w:fldData>
        </w:fldChar>
      </w:r>
      <w:r>
        <w:instrText xml:space="preserve"> ADDIN EN.CITE </w:instrText>
      </w:r>
      <w:r>
        <w:fldChar w:fldCharType="begin">
          <w:fldData xml:space="preserve">PEVuZE5vdGU+PENpdGU+PEF1dGhvcj5LZWxwPC9BdXRob3I+PFllYXI+MjAxMTwvWWVhcj48UmVj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</w:fldData>
        </w:fldChar>
      </w:r>
      <w:r>
        <w:instrText xml:space="preserve"> ADDIN EN.CITE.DATA </w:instrText>
      </w:r>
      <w:r>
        <w:fldChar w:fldCharType="end"/>
      </w:r>
      <w:r>
        <w:fldChar w:fldCharType="separate"/>
      </w:r>
      <w:r>
        <w:rPr>
          <w:noProof/>
        </w:rPr>
        <w:t>(Kappel 2010, Kelp 2011, Rysiew 2012)</w:t>
      </w:r>
      <w:r>
        <w:fldChar w:fldCharType="end"/>
      </w:r>
      <w:r>
        <w:t xml:space="preserve">. </w:t>
      </w:r>
      <w:r w:rsidR="004C3FD5">
        <w:t xml:space="preserve">In each case, </w:t>
      </w:r>
      <w:r w:rsidR="00C60F71">
        <w:t>hearers</w:t>
      </w:r>
      <w:r w:rsidR="004C3FD5">
        <w:t xml:space="preserve"> </w:t>
      </w:r>
      <w:r w:rsidR="004C3FD5" w:rsidRPr="00902081">
        <w:rPr>
          <w:i/>
          <w:iCs/>
        </w:rPr>
        <w:t>implicitly</w:t>
      </w:r>
      <w:r w:rsidR="004C3FD5">
        <w:t xml:space="preserve"> take a knowledge claim to be false and search for a</w:t>
      </w:r>
      <w:r w:rsidR="00F93C46">
        <w:t xml:space="preserve"> relevant and true</w:t>
      </w:r>
      <w:r w:rsidR="004C3FD5">
        <w:t xml:space="preserve"> implicature that </w:t>
      </w:r>
      <w:r w:rsidR="002445B7">
        <w:t>has something to do with their</w:t>
      </w:r>
      <w:r w:rsidR="00C6339E">
        <w:t xml:space="preserve"> </w:t>
      </w:r>
      <w:r w:rsidR="00C60F71">
        <w:t>salient practical or theoretical interests</w:t>
      </w:r>
      <w:r>
        <w:t>.</w:t>
      </w:r>
    </w:p>
    <w:p w14:paraId="259CE4F2" w14:textId="0DC27E30" w:rsidR="00172322" w:rsidRDefault="00172322" w:rsidP="00172322">
      <w:pPr>
        <w:ind w:firstLine="720"/>
      </w:pPr>
      <w:r>
        <w:lastRenderedPageBreak/>
        <w:t xml:space="preserve">Pragmatic Error Skepticism is not a version of the loose talk view, as I respect the plausible assumption that speakers and hearers typically do not conceive of </w:t>
      </w:r>
      <w:r w:rsidR="008C64EA">
        <w:t>n</w:t>
      </w:r>
      <w:r>
        <w:t>or intend their knowledge attributions to be imprecise</w:t>
      </w:r>
      <w:r w:rsidR="008C64EA">
        <w:t xml:space="preserve"> and </w:t>
      </w:r>
      <w:r w:rsidR="0041192B">
        <w:t>therefore</w:t>
      </w:r>
      <w:r w:rsidR="008C64EA">
        <w:t xml:space="preserve"> false</w:t>
      </w:r>
      <w:r>
        <w:t>.</w:t>
      </w:r>
      <w:r w:rsidR="00C15EA3">
        <w:t xml:space="preserve"> Rather, knowledge attributions serve as a seemingly accurate way of </w:t>
      </w:r>
      <w:r w:rsidR="002E0B12">
        <w:t>communicating</w:t>
      </w:r>
      <w:r w:rsidR="00C15EA3">
        <w:t xml:space="preserve"> something of practical relevance</w:t>
      </w:r>
      <w:r w:rsidR="008C2378">
        <w:t xml:space="preserve">. </w:t>
      </w:r>
      <w:r w:rsidR="002E0B12">
        <w:t>But like the loose talk view and others that</w:t>
      </w:r>
      <w:r w:rsidR="009665A3">
        <w:t xml:space="preserve"> </w:t>
      </w:r>
      <w:r w:rsidR="009E562C">
        <w:t xml:space="preserve">rely on pragmatic principles to explain how knowledge attributions work </w:t>
      </w:r>
      <w:r w:rsidR="00034722">
        <w:t>in a way consistent with skepticism, there must be something that accounts for why speakers and hearers implicitly take positive knowledge attributions to be false</w:t>
      </w:r>
      <w:r w:rsidR="00281F96">
        <w:t>.</w:t>
      </w:r>
    </w:p>
    <w:p w14:paraId="3721BAB1" w14:textId="77777777" w:rsidR="002729FD" w:rsidRDefault="002729FD" w:rsidP="002729FD">
      <w:pPr>
        <w:pStyle w:val="Heading2"/>
      </w:pPr>
      <w:r>
        <w:t>Implicit Skepticism</w:t>
      </w:r>
    </w:p>
    <w:p w14:paraId="527A8F0F" w14:textId="092126A8" w:rsidR="00C81D17" w:rsidRDefault="002729FD" w:rsidP="002729FD">
      <w:r>
        <w:t xml:space="preserve">That account of appropriateness </w:t>
      </w:r>
      <w:r w:rsidR="006E7AB3">
        <w:t>says</w:t>
      </w:r>
      <w:r>
        <w:t xml:space="preserve"> that </w:t>
      </w:r>
      <w:r w:rsidR="006E7AB3">
        <w:t>subjects</w:t>
      </w:r>
      <w:r>
        <w:t xml:space="preserve"> </w:t>
      </w:r>
      <w:r w:rsidR="005E6414">
        <w:t xml:space="preserve">(at least often) </w:t>
      </w:r>
      <w:r>
        <w:t xml:space="preserve">implicitly </w:t>
      </w:r>
      <w:r w:rsidR="006E7AB3">
        <w:t xml:space="preserve">take </w:t>
      </w:r>
      <w:r w:rsidR="002A3D49">
        <w:t>literal knowledge attributions to be false because they implicitly accept</w:t>
      </w:r>
      <w:r>
        <w:t xml:space="preserve"> that knowing requires meeting the infallibilist standard. </w:t>
      </w:r>
      <w:r w:rsidR="00E05AB0">
        <w:t xml:space="preserve">The assumption that speakers implicitly accept skeptical standards </w:t>
      </w:r>
      <w:r w:rsidR="000276C9">
        <w:t xml:space="preserve">is </w:t>
      </w:r>
      <w:r w:rsidR="008D58DD">
        <w:t>necessary</w:t>
      </w:r>
      <w:r w:rsidR="000276C9">
        <w:t xml:space="preserve"> because </w:t>
      </w:r>
      <w:r w:rsidR="00592C45">
        <w:t>on a Gricean account,</w:t>
      </w:r>
      <w:r w:rsidR="000840C4">
        <w:t xml:space="preserve"> </w:t>
      </w:r>
      <w:r w:rsidR="004E146E">
        <w:t xml:space="preserve">assumptions held by hearers </w:t>
      </w:r>
      <w:r w:rsidR="001C65BE">
        <w:t>govern which contents are implicated and when.</w:t>
      </w:r>
    </w:p>
    <w:p w14:paraId="4561CCC7" w14:textId="5B66A9F4" w:rsidR="002729FD" w:rsidRDefault="002729FD" w:rsidP="002729FD">
      <w:r>
        <w:tab/>
      </w:r>
      <w:r w:rsidR="00700239">
        <w:t>We must distinguish implicit belief from</w:t>
      </w:r>
      <w:r>
        <w:t xml:space="preserve"> occurrent belief, dispositional belief, and having a disposition to form a belief</w:t>
      </w:r>
      <w:r w:rsidR="00A87483">
        <w:t xml:space="preserve"> </w:t>
      </w:r>
      <w:r w:rsidR="00A87483">
        <w:fldChar w:fldCharType="begin"/>
      </w:r>
      <w:r w:rsidR="00145BED">
        <w:instrText xml:space="preserve"> ADDIN ZOTERO_ITEM CSL_CITATION {"citationID":"nyDy07uS","properties":{"formattedCitation":"(cf. Audi 1994)","plainCitation":"(cf. Audi 1994)","noteIndex":0},"citationItems":[{"id":74,"uris":["http://zotero.org/users/5906299/items/WP5VX3W8"],"uri":["http://zotero.org/users/5906299/items/WP5VX3W8"],"itemData":{"id":74,"type":"article-journal","container-title":"Noûs","issue":"4","journalAbbreviation":"Noûs","page":"419-434","title":"Dispositional Beliefs and Dispositions to Believe","volume":"28","author":[{"family":"Audi","given":"Robert"}],"issued":{"date-parts":[["1994"]]}},"prefix":"cf. "}],"schema":"https://github.com/citation-style-language/schema/raw/master/csl-citation.json"} </w:instrText>
      </w:r>
      <w:r w:rsidR="00A87483">
        <w:fldChar w:fldCharType="separate"/>
      </w:r>
      <w:r w:rsidR="00145BED" w:rsidRPr="00145BED">
        <w:t>(cf. Audi 1994)</w:t>
      </w:r>
      <w:r w:rsidR="00A87483">
        <w:fldChar w:fldCharType="end"/>
      </w:r>
      <w:r>
        <w:t xml:space="preserve">. Speakers do not </w:t>
      </w:r>
      <w:r w:rsidRPr="00047561">
        <w:rPr>
          <w:i/>
        </w:rPr>
        <w:t>occurrently</w:t>
      </w:r>
      <w:r>
        <w:t xml:space="preserve"> believe that knowledge is demanding because knowledge claims are not usually disingenuous. If a person claims to know and means it, and you ask: “Do you know whether p?” you will get an affirmative answer. Moreover, few </w:t>
      </w:r>
      <w:r>
        <w:rPr>
          <w:i/>
        </w:rPr>
        <w:t xml:space="preserve">dispositionally </w:t>
      </w:r>
      <w:r>
        <w:t xml:space="preserve">believe that the standards for knowledge are high because few have considered skeptical arguments and arrived at </w:t>
      </w:r>
      <w:r>
        <w:rPr>
          <w:i/>
        </w:rPr>
        <w:t xml:space="preserve">any </w:t>
      </w:r>
      <w:r>
        <w:t xml:space="preserve">belief about standards for knowledge. Perhaps few are even </w:t>
      </w:r>
      <w:r>
        <w:rPr>
          <w:i/>
        </w:rPr>
        <w:t xml:space="preserve">disposed to believe </w:t>
      </w:r>
      <w:r>
        <w:t xml:space="preserve">that knowledge is demanding. It could be that once confronted with skeptical opposition to their ordinary practice of knowledge attribution, speakers realize that many of their beliefs are incompatible with this new information, so they stop thinking about the matter further to reduce cognitive dissonance and thus </w:t>
      </w:r>
      <w:r w:rsidRPr="00B70C60">
        <w:rPr>
          <w:i/>
        </w:rPr>
        <w:t>never</w:t>
      </w:r>
      <w:r>
        <w:t xml:space="preserve"> outright believe skepticism.</w:t>
      </w:r>
    </w:p>
    <w:p w14:paraId="53F9C74F" w14:textId="20245869" w:rsidR="002729FD" w:rsidRPr="00831575" w:rsidRDefault="002729FD" w:rsidP="002729FD">
      <w:r>
        <w:tab/>
        <w:t xml:space="preserve">My view is that speakers </w:t>
      </w:r>
      <w:r>
        <w:rPr>
          <w:i/>
        </w:rPr>
        <w:t xml:space="preserve">implicitly </w:t>
      </w:r>
      <w:r>
        <w:t xml:space="preserve">believe that knowing is demanding. By that, I mean that speakers have a set of beliefs (B) about what they and others know and when appropriately prompted by challenges to their knowledge attributions speakers recognize that B </w:t>
      </w:r>
      <w:r w:rsidRPr="00831575">
        <w:rPr>
          <w:i/>
        </w:rPr>
        <w:t>entails</w:t>
      </w:r>
      <w:r>
        <w:t xml:space="preserve"> that knowing requires meeting very demanding standards that are rarely met, thus the beliefs in B do not amount to knowledge. Speakers implicitly believe that knowing is demanding in the sense that they are logically committed to it and can easily become aware that they are logically committed to it. I do not think it is </w:t>
      </w:r>
      <w:r w:rsidR="00D2255D">
        <w:t xml:space="preserve">always </w:t>
      </w:r>
      <w:r w:rsidRPr="00FB155E">
        <w:rPr>
          <w:i/>
        </w:rPr>
        <w:t>obvious</w:t>
      </w:r>
      <w:r>
        <w:t xml:space="preserve"> to speakers that knowledge attributions are </w:t>
      </w:r>
      <w:r w:rsidR="00D2255D">
        <w:t xml:space="preserve">usually </w:t>
      </w:r>
      <w:r>
        <w:t xml:space="preserve">false. Pragmatic Error Skepticism involves error. </w:t>
      </w:r>
    </w:p>
    <w:p w14:paraId="305FF373" w14:textId="77777777" w:rsidR="002729FD" w:rsidRDefault="002729FD" w:rsidP="002729FD">
      <w:pPr>
        <w:ind w:firstLine="720"/>
      </w:pPr>
      <w:r>
        <w:t xml:space="preserve">There is precedent for thinking that speakers can regularly and sincerely use an expression that contains a word denoting a standard while being implicitly committed to the falsity of the utterance </w:t>
      </w:r>
      <w:r>
        <w:rPr>
          <w:i/>
        </w:rPr>
        <w:t xml:space="preserve">because </w:t>
      </w:r>
      <w:r>
        <w:t>they implicitly recognize that the standard is extremely demanding. Claims involving geometric properties and specific quantities are like this.</w:t>
      </w:r>
    </w:p>
    <w:p w14:paraId="6C0B3CC5" w14:textId="77777777" w:rsidR="002729FD" w:rsidRDefault="002729FD" w:rsidP="002729FD">
      <w:pPr>
        <w:pStyle w:val="Quote"/>
      </w:pPr>
      <w:r w:rsidRPr="00734CFF">
        <w:rPr>
          <w:u w:val="single"/>
        </w:rPr>
        <w:t>Geometry Class</w:t>
      </w:r>
      <w:r>
        <w:t>: Geometry class has just started.  The teacher poorly draws a four-sided figure on the whiteboard.  The ‘lines’ are visibly crooked.  Two of the ‘corners’ do not connect.  The teacher puts small ‘boxes’ in the ‘corners’ and tick marks on the sides.  The teacher asks the class, “What shape is this?”  They reply in unison, “A square.”  The teacher replies, “Yes, that’s a square.”</w:t>
      </w:r>
    </w:p>
    <w:p w14:paraId="0627420A" w14:textId="5B9FE035" w:rsidR="002729FD" w:rsidRPr="000A44FC" w:rsidRDefault="002729FD" w:rsidP="002729FD">
      <w:r>
        <w:t xml:space="preserve">The teacher could point out that the figure on the board has </w:t>
      </w:r>
      <w:r>
        <w:rPr>
          <w:i/>
        </w:rPr>
        <w:t xml:space="preserve">none </w:t>
      </w:r>
      <w:r>
        <w:t xml:space="preserve">of the properties of a rectangle and by doing so get the class to retract their identification of the figure as a square. The class implicitly recognizes that calling the thing on the board a square is a useful falsehood in the </w:t>
      </w:r>
      <w:r>
        <w:lastRenderedPageBreak/>
        <w:t>context of geometry class, even if they were not actively thinking about the falsity of “that is a square” while agreeing to the utterance. Geometric properties are precisely defined, and speakers know this. Speakers regularly claim that a figure has some geometric property but they implicitly believe that such attributions are usually false because the shape in question does not meet the standard.</w:t>
      </w:r>
      <w:r w:rsidR="009C10B3">
        <w:rPr>
          <w:rStyle w:val="FootnoteReference"/>
        </w:rPr>
        <w:footnoteReference w:id="23"/>
      </w:r>
    </w:p>
    <w:p w14:paraId="2B1D1F79" w14:textId="6FF56A50" w:rsidR="002729FD" w:rsidRDefault="002729FD" w:rsidP="002729FD">
      <w:r>
        <w:tab/>
        <w:t xml:space="preserve">Quantity attributions are similar, as in “I will be ready in five minutes” to mean “it won’t be long,” “there were a million cars in front of me” offered as an excuse for being late, “I paid the bill last week” when it may have been eight days ago, and so on. In these cases, speakers are implicitly committed to standards for “five”, “one million”, and “last week”, even though while using such expressions they are </w:t>
      </w:r>
      <w:r w:rsidRPr="006F3C69">
        <w:rPr>
          <w:i/>
        </w:rPr>
        <w:t>not</w:t>
      </w:r>
      <w:r>
        <w:t xml:space="preserve"> thinking about whether the standard is met</w:t>
      </w:r>
      <w:r w:rsidR="00943B63">
        <w:t xml:space="preserve">. </w:t>
      </w:r>
      <w:r>
        <w:t xml:space="preserve">However, speakers </w:t>
      </w:r>
      <w:r w:rsidR="00D2255D">
        <w:t>can</w:t>
      </w:r>
      <w:r>
        <w:t xml:space="preserve"> recognize the falsity of such utterances, whether or not they entertain occurrent beliefs about the standards in question.</w:t>
      </w:r>
      <w:r>
        <w:rPr>
          <w:rStyle w:val="FootnoteReference"/>
        </w:rPr>
        <w:footnoteReference w:id="24"/>
      </w:r>
    </w:p>
    <w:p w14:paraId="174D3462" w14:textId="1661D4FD" w:rsidR="002729FD" w:rsidRDefault="002729FD" w:rsidP="002729FD">
      <w:r>
        <w:tab/>
        <w:t xml:space="preserve">In each of these cases, a speaker who is probably not thinking about the literal truth or falsity of utterances makes or hears an utterance that </w:t>
      </w:r>
      <w:r w:rsidR="00ED41E6">
        <w:t>expresses</w:t>
      </w:r>
      <w:r>
        <w:t xml:space="preserve"> that a standard is met. The speaker is also able to recognize an easy </w:t>
      </w:r>
      <w:r w:rsidRPr="000F0528">
        <w:t>entailment</w:t>
      </w:r>
      <w:r>
        <w:rPr>
          <w:i/>
        </w:rPr>
        <w:t xml:space="preserve"> </w:t>
      </w:r>
      <w:r>
        <w:t>from the expressed content to some other, obviously false statement about the standard in question. For example, a student in the class understands “That is a square”, applied to the shape on the board, entails “that figure has four (perfectly straight) sides of equal length that meet at ninety-degree angles”, which the student implicitly believes is false. It is usually not necessary to consider the inference and the entailed statement, but that is only because contextually-relevant purposes usually do not call for it.</w:t>
      </w:r>
    </w:p>
    <w:p w14:paraId="07DF5BC3" w14:textId="77777777" w:rsidR="002729FD" w:rsidRDefault="002729FD" w:rsidP="002729FD">
      <w:r>
        <w:tab/>
        <w:t>The same pattern works for knowledge attributions. Speakers are generally quick to recognize that their knowledge claims entail other claims that they cannot know because of what knowing requires:</w:t>
      </w:r>
    </w:p>
    <w:p w14:paraId="1ECFF83F" w14:textId="77777777" w:rsidR="002729FD" w:rsidRDefault="002729FD" w:rsidP="002729FD">
      <w:pPr>
        <w:pStyle w:val="Quote"/>
      </w:pPr>
      <w:r>
        <w:rPr>
          <w:u w:val="single"/>
        </w:rPr>
        <w:t>Skeptical Bank Case</w:t>
      </w:r>
      <w:r>
        <w:t>: I drive a friend to the bank to initiate a wire transfer, which requires presenting identification in person. I ask, “Do you know what forms of ID the bank will accept?” He replies, “Yeah, I brought my license.” I say, “Are you sure that’s enough?” He says, “I hadn’t thought about it before. I’ll check.”</w:t>
      </w:r>
      <w:r>
        <w:rPr>
          <w:rStyle w:val="FootnoteReference"/>
        </w:rPr>
        <w:footnoteReference w:id="25"/>
      </w:r>
    </w:p>
    <w:p w14:paraId="2B734967" w14:textId="37621842" w:rsidR="002729FD" w:rsidRDefault="002729FD" w:rsidP="002729FD">
      <w:r>
        <w:t>Here a subject recognizes that knowing would enable him to disregard various possibilities, including the possibility that his driver’s license is insufficient as identification for initiating a wire transfer. He further implicitly believes that his belief that his driver’s license is sufficient identification does not meet that standard, and concludes that he does not know after all.</w:t>
      </w:r>
    </w:p>
    <w:p w14:paraId="00D3B6F5" w14:textId="6B2C870E" w:rsidR="002729FD" w:rsidRDefault="002729FD" w:rsidP="002729FD">
      <w:pPr>
        <w:ind w:firstLine="720"/>
      </w:pPr>
      <w:r>
        <w:lastRenderedPageBreak/>
        <w:t xml:space="preserve">If he did </w:t>
      </w:r>
      <w:r>
        <w:rPr>
          <w:i/>
        </w:rPr>
        <w:t xml:space="preserve">not </w:t>
      </w:r>
      <w:r>
        <w:t>implicitly believe that knowing which forms of identification are permitted involved meeting such a demanding standard, then there would be no way to make sense of his subtle retraction of his (also subtle) claim to know what forms of identification are acceptable, without his acquiring any new information. He would then be giving up his knowledge claim for no reason.</w:t>
      </w:r>
    </w:p>
    <w:p w14:paraId="551E93DE" w14:textId="15331359" w:rsidR="002729FD" w:rsidRDefault="002729FD" w:rsidP="002729FD">
      <w:r>
        <w:tab/>
        <w:t>In general, it is often not difficult to prompt speakers to retract or diminish previously-made knowledge claims by raising possibilities of error. The practice only makes sense, though, if speakers implicitly believe that knowing involves meeting a very demanding standard, one what requires them, if they truly know, to be able to eliminate a very wide class of possibilities of error or maintain true belief in distant possible worlds.</w:t>
      </w:r>
    </w:p>
    <w:p w14:paraId="111B94B4" w14:textId="6379F36E" w:rsidR="002729FD" w:rsidRDefault="002729FD" w:rsidP="002729FD">
      <w:pPr>
        <w:pStyle w:val="Heading2"/>
      </w:pPr>
      <w:r>
        <w:t>Semantic Ignorance</w:t>
      </w:r>
      <w:r w:rsidR="004C1A24">
        <w:t>?</w:t>
      </w:r>
    </w:p>
    <w:p w14:paraId="6A246F4A" w14:textId="77777777" w:rsidR="002729FD" w:rsidRDefault="002729FD" w:rsidP="002729FD">
      <w:r>
        <w:t xml:space="preserve">It is plainly much harder to get anyone to </w:t>
      </w:r>
      <w:r>
        <w:rPr>
          <w:i/>
        </w:rPr>
        <w:t xml:space="preserve">explicitly </w:t>
      </w:r>
      <w:r>
        <w:t xml:space="preserve">believe that standards for knowledge are </w:t>
      </w:r>
      <w:r>
        <w:rPr>
          <w:i/>
        </w:rPr>
        <w:t xml:space="preserve">in general </w:t>
      </w:r>
      <w:r>
        <w:t xml:space="preserve">unmet. The source of the difficulty is </w:t>
      </w:r>
      <w:r>
        <w:rPr>
          <w:i/>
        </w:rPr>
        <w:t xml:space="preserve">not </w:t>
      </w:r>
      <w:r>
        <w:t>that subjects fail to understand the entailment from demanding standards for knowledge to their lack of knowledge in general. The source is that it is very difficult to get subjects to accept the skeptic’s account of what the standards for knowledge are in the first place.</w:t>
      </w:r>
    </w:p>
    <w:p w14:paraId="12CE690A" w14:textId="77777777" w:rsidR="002729FD" w:rsidRDefault="002729FD" w:rsidP="002729FD">
      <w:r>
        <w:tab/>
        <w:t>Speakers do not have an explicit belief with the content ‘</w:t>
      </w:r>
      <w:r w:rsidRPr="000D3CED">
        <w:t>knowledge is infallible justification</w:t>
      </w:r>
      <w:r>
        <w:t xml:space="preserve">’. That may seem like a major concession, but it is not, because philosophical accounts are </w:t>
      </w:r>
      <w:r w:rsidRPr="007660E7">
        <w:rPr>
          <w:i/>
        </w:rPr>
        <w:t>discoveries</w:t>
      </w:r>
      <w:r>
        <w:t>. We cannot read the correct standard for “knows” off of speaker behavior any more than we can for “object”, “responsible action”, “person”, “morally right”, “rational”, “God”, “virtue”, and so on. So, when the Pragmatic Error Skeptic claims that “S knows that p” expresses that S has infallible justification for believing that p and that subjects implicitly believe this, it is no objection that subjects asked to define “knowledge” do not state the infallibilist answer.</w:t>
      </w:r>
    </w:p>
    <w:p w14:paraId="13A0617A" w14:textId="77777777" w:rsidR="002729FD" w:rsidRDefault="002729FD" w:rsidP="002729FD">
      <w:r>
        <w:tab/>
        <w:t>R.M. Hare provides a helpful analogy. He compared the act of trying to analyze a concept that one uses regularly with a group of veteran dancers attempting to formulate the rules that constitute dancing a particular dance.</w:t>
      </w:r>
    </w:p>
    <w:p w14:paraId="0AC84BAE" w14:textId="77AFE759" w:rsidR="002729FD" w:rsidRDefault="002729FD" w:rsidP="002729FD">
      <w:pPr>
        <w:pStyle w:val="Quote"/>
      </w:pPr>
      <w:r>
        <w:t xml:space="preserve">Suppose that we are sitting at dinner and discussing how a certain dance is danced. Let us suppose that the dance in question is one requiring the participation of a number of people – say one of the Scottish reels. And let us suppose that we have a dispute about what happens at a particular point in the dance; and that, in order to settle it, we decide to dance the dance after dinner and find out. We have to imagine that there is among us a sufficiency of people who know, or say they know, how to dance the dance – in the sense of ‘know’ in which one may know how to do something without being able to </w:t>
      </w:r>
      <w:r>
        <w:rPr>
          <w:i/>
        </w:rPr>
        <w:t xml:space="preserve">say </w:t>
      </w:r>
      <w:r>
        <w:t xml:space="preserve">how it is done. </w:t>
      </w:r>
      <w:r>
        <w:fldChar w:fldCharType="begin"/>
      </w:r>
      <w:r>
        <w:instrText xml:space="preserve"> ADDIN EN.CITE &lt;EndNote&gt;&lt;Cite&gt;&lt;Author&gt;Hare&lt;/Author&gt;&lt;Year&gt;1960&lt;/Year&gt;&lt;RecNum&gt;772&lt;/RecNum&gt;&lt;Suffix&gt;`, p. 208&lt;/Suffix&gt;&lt;DisplayText&gt;(Hare 1960, p. 208)&lt;/DisplayText&gt;&lt;record&gt;&lt;rec-number&gt;772&lt;/rec-number&gt;&lt;foreign-keys&gt;&lt;key app="EN" db-id="fdfxp9d5i5rvabetvd055ar3wafrxaz9evr2" timestamp="1439714538"&gt;772&lt;/key&gt;&lt;/foreign-keys&gt;&lt;ref-type name="Journal Article"&gt;17&lt;/ref-type&gt;&lt;contributors&gt;&lt;authors&gt;&lt;author&gt;Hare, R.M.&lt;/author&gt;&lt;/authors&gt;&lt;/contributors&gt;&lt;titles&gt;&lt;title&gt;Philosophical Discoveries&lt;/title&gt;&lt;secondary-title&gt;Mind&lt;/secondary-title&gt;&lt;/titles&gt;&lt;periodical&gt;&lt;full-title&gt;Mind: A Quarterly Review of Philosophy&lt;/full-title&gt;&lt;abbr-1&gt;Mind&lt;/abbr-1&gt;&lt;abbr-2&gt;Mind&lt;/abbr-2&gt;&lt;/periodical&gt;&lt;pages&gt;145-162&lt;/pages&gt;&lt;volume&gt;LXIX&lt;/volume&gt;&lt;number&gt;274&lt;/number&gt;&lt;dates&gt;&lt;year&gt;1960&lt;/year&gt;&lt;/dates&gt;&lt;urls&gt;&lt;/urls&gt;&lt;electronic-resource-num&gt;10.1093/mind/LXIX.274.145&lt;/electronic-resource-num&gt;&lt;/record&gt;&lt;/Cite&gt;&lt;/EndNote&gt;</w:instrText>
      </w:r>
      <w:r>
        <w:fldChar w:fldCharType="separate"/>
      </w:r>
      <w:r>
        <w:rPr>
          <w:noProof/>
        </w:rPr>
        <w:t>(Hare 1960, p. 208)</w:t>
      </w:r>
      <w:r>
        <w:fldChar w:fldCharType="end"/>
      </w:r>
    </w:p>
    <w:p w14:paraId="410C1B31" w14:textId="2AB3BAE4" w:rsidR="002729FD" w:rsidRDefault="00277C8F" w:rsidP="002729FD">
      <w:r>
        <w:t>Continuing</w:t>
      </w:r>
      <w:r w:rsidR="002729FD">
        <w:t>:</w:t>
      </w:r>
    </w:p>
    <w:p w14:paraId="087BFD7F" w14:textId="77777777" w:rsidR="002729FD" w:rsidRDefault="002729FD" w:rsidP="002729FD">
      <w:pPr>
        <w:pStyle w:val="Quote"/>
      </w:pPr>
      <w:r>
        <w:t xml:space="preserve">If they know already how the dance is danced, what can they be arguing about? But if they do not know already, how will they know, when they have danced the dance, whether they have danced it correctly? The solution to the paradox lies in distinguishing between knowing how to dance a dance and being able to say how it is danced. Before the enquiry begins, they are able to do the former, but not the latter; after the enquiry is over they can do the </w:t>
      </w:r>
      <w:r>
        <w:lastRenderedPageBreak/>
        <w:t>latter, and they know that they are right because all along they could do the former. And it is the same with the analysis of concepts. We know how to use a certain expression, but are unable to say how it is used. Then we try to do the latter; and we know we have succeeded when we have found an analysis which is in accordance with our hitherto unformulated knowledge of how to use the word. (216)</w:t>
      </w:r>
    </w:p>
    <w:p w14:paraId="17B8AAAF" w14:textId="77777777" w:rsidR="002729FD" w:rsidRDefault="002729FD" w:rsidP="002729FD">
      <w:r>
        <w:t xml:space="preserve">Hare makes two important points here. One is that competent users of a term may actively dispute whether some </w:t>
      </w:r>
      <w:r w:rsidRPr="008B69EE">
        <w:t>use</w:t>
      </w:r>
      <w:r>
        <w:t xml:space="preserve"> of a term is correct. The other is that competent users may be unable to provide an account of a concept without trying very hard to do so, and they may fail even then. Speakers, including philosophers, struggle to identify the correct account of “knowledge” and a whole slew of other concepts. So what? That is no objection to the plausibility of a skeptical semantics of knowledge attributions, or any other philosophical account, or any other account of how we do anything.</w:t>
      </w:r>
    </w:p>
    <w:p w14:paraId="2278C23C" w14:textId="10864817" w:rsidR="002729FD" w:rsidRPr="00CF4669" w:rsidRDefault="002729FD" w:rsidP="002729FD">
      <w:r>
        <w:tab/>
        <w:t xml:space="preserve">Perhaps there is a further explanation of why describing the rules of the dance and stating the standards for knowledge (and other concepts) is so difficult. It is plausible that some of our beliefs have propositional contents that are sensorily </w:t>
      </w:r>
      <w:r w:rsidR="00912B12">
        <w:t xml:space="preserve">or kinesthetically </w:t>
      </w:r>
      <w:r>
        <w:t>encoded.</w:t>
      </w:r>
      <w:r>
        <w:rPr>
          <w:rStyle w:val="FootnoteReference"/>
        </w:rPr>
        <w:footnoteReference w:id="26"/>
      </w:r>
      <w:r>
        <w:t xml:space="preserve"> If so, we could say that the dancers </w:t>
      </w:r>
      <w:r w:rsidRPr="00972544">
        <w:rPr>
          <w:i/>
        </w:rPr>
        <w:t>do</w:t>
      </w:r>
      <w:r>
        <w:t xml:space="preserve"> have </w:t>
      </w:r>
      <w:r w:rsidRPr="00972544">
        <w:t>beliefs</w:t>
      </w:r>
      <w:r>
        <w:rPr>
          <w:i/>
        </w:rPr>
        <w:t xml:space="preserve"> </w:t>
      </w:r>
      <w:r>
        <w:t xml:space="preserve">about what the steps of the dance are and what counts as “knowing”, but because those beliefs are encoded as sights and sounds and the feelings of movement of specific steps and turns, rather than remembered </w:t>
      </w:r>
      <w:r w:rsidRPr="001C6BC1">
        <w:t>in language</w:t>
      </w:r>
      <w:r>
        <w:t xml:space="preserve">, it is very difficult to focus on the encoded propositional content to the exclusion of the sensory content that encodes it. Likewise, perhaps ordinary speakers using knowledge-talk </w:t>
      </w:r>
      <w:r>
        <w:rPr>
          <w:i/>
        </w:rPr>
        <w:t xml:space="preserve">do </w:t>
      </w:r>
      <w:r>
        <w:t xml:space="preserve">believe that knowledge </w:t>
      </w:r>
      <w:r w:rsidR="003377BA">
        <w:t>requires</w:t>
      </w:r>
      <w:r>
        <w:t xml:space="preserve"> infallible justification, but because beliefs about that standard are encoded as scenarios of conceding ignorance when error possibilities arise, being reluctant to ascribe knowledge of explicitly probabilistic propositions, and expecting “knowers” to be able to discriminate true belief from false belief, it is difficult to separate the encoded propositional content that includes the infallibilist standard of knowledge from the distinct knowledge-attributing sights and sounds that make up the belief.</w:t>
      </w:r>
    </w:p>
    <w:p w14:paraId="0DC0364A" w14:textId="77777777" w:rsidR="002729FD" w:rsidRDefault="002729FD" w:rsidP="002729FD">
      <w:pPr>
        <w:pStyle w:val="Heading1"/>
      </w:pPr>
      <w:r>
        <w:t>Pragmatic Error Skepticism and Epistemic Contexts</w:t>
      </w:r>
    </w:p>
    <w:p w14:paraId="21EF7B18" w14:textId="77777777" w:rsidR="002729FD" w:rsidRDefault="002729FD" w:rsidP="002729FD">
      <w:r>
        <w:t xml:space="preserve">The examples I used to demonstrate how false knowledge attributions can be appropriate work in everyday contexts, where whether someone knows is almost never the focus of inquiry. But what about a context where knowledge </w:t>
      </w:r>
      <w:r>
        <w:rPr>
          <w:i/>
        </w:rPr>
        <w:t xml:space="preserve">is </w:t>
      </w:r>
      <w:r>
        <w:t>the focus, such as in criminal proceedings or a debate? There are two options for Pragmatic Error Skepticism here, and which one the skeptic will accept depends on the extent of the skeptic’s skepticism.</w:t>
      </w:r>
    </w:p>
    <w:p w14:paraId="7B5202C2" w14:textId="77777777" w:rsidR="002729FD" w:rsidRDefault="002729FD" w:rsidP="002729FD">
      <w:r>
        <w:tab/>
        <w:t>The first option is for less-extreme skeptics who think that although our epistemic justification rarely or never meets the infallibilist standard expressed by a claim to know, we nevertheless enjoy solid justification for many ordinary beliefs. Assuming such a view, speakers and hearers will calculate to a relevant implicature using the maxim of Quality, just as before. They will hear “S knows that p” as false and calculate to an implicature that concerns a more reasonable standard of epistemic justification, short of infallibility.</w:t>
      </w:r>
    </w:p>
    <w:p w14:paraId="1440D1C7" w14:textId="77777777" w:rsidR="002729FD" w:rsidRDefault="002729FD" w:rsidP="002729FD">
      <w:r>
        <w:tab/>
        <w:t xml:space="preserve">The second option is for extreme skeptics who think that even our epistemic justification is questionable or non-existent. Assuming that kind of skepticism, there will be no reasonable epistemic standard to which speakers and hearers are held. Instead, the skeptic will claim that </w:t>
      </w:r>
      <w:r>
        <w:lastRenderedPageBreak/>
        <w:t xml:space="preserve">our utterances that directly concern whether someone knows must be </w:t>
      </w:r>
      <w:r>
        <w:rPr>
          <w:i/>
        </w:rPr>
        <w:t xml:space="preserve">replaced </w:t>
      </w:r>
      <w:r>
        <w:t xml:space="preserve">by claims that associate “knowing that p” in a particular context with certain ways of forming beliefs. For example, a witness testifying on the stand, asked directly “Do you know whether p?” (and assuming that everyone takes the point of the inquiry to be whether the witness knows p and not thinking of the overarching point of the proceedings, namely whether some particular person is guilty of some particular crime) will count in this context as knowing that p if the witness had a sensory experience that we would normally call “seeing” some facts that entail p when a wide range of possibilities are ignored. </w:t>
      </w:r>
    </w:p>
    <w:p w14:paraId="08A30B17" w14:textId="5141B0EB" w:rsidR="0028577C" w:rsidRDefault="002729FD" w:rsidP="003856AE">
      <w:pPr>
        <w:ind w:firstLine="720"/>
      </w:pPr>
      <w:r>
        <w:t>Using a strategy like this, the skeptic will claim that when the focus is on knowledge, the normal mechanisms that make our knowledge-talk appropriate fail, so knowledge-talk must be replaced by something more accurate. It is a revisionary view, which surely counts against it. But the overall merits of the view</w:t>
      </w:r>
      <w:r w:rsidR="00843736">
        <w:t xml:space="preserve">, and problems </w:t>
      </w:r>
      <w:r w:rsidR="008B5A3E">
        <w:t>with</w:t>
      </w:r>
      <w:r w:rsidR="00843736">
        <w:t xml:space="preserve"> </w:t>
      </w:r>
      <w:r w:rsidR="004A5D5B">
        <w:t xml:space="preserve">its </w:t>
      </w:r>
      <w:r w:rsidR="00843736">
        <w:t>alternatives,</w:t>
      </w:r>
      <w:r>
        <w:t xml:space="preserve"> should also be remembered </w:t>
      </w:r>
      <w:r w:rsidR="004F23C1">
        <w:t>when</w:t>
      </w:r>
      <w:r>
        <w:t xml:space="preserve"> </w:t>
      </w:r>
      <w:r w:rsidR="00A73BC6">
        <w:t>making a</w:t>
      </w:r>
      <w:r>
        <w:t xml:space="preserve"> judgment.</w:t>
      </w:r>
      <w:r w:rsidR="00C03815">
        <w:rPr>
          <w:rStyle w:val="FootnoteReference"/>
        </w:rPr>
        <w:footnoteReference w:id="27"/>
      </w:r>
    </w:p>
    <w:p w14:paraId="13FEEFD8" w14:textId="3643E9AA" w:rsidR="00E24820" w:rsidRDefault="00E24820">
      <w:r>
        <w:br w:type="page"/>
      </w:r>
    </w:p>
    <w:p w14:paraId="66680170" w14:textId="2987284F" w:rsidR="00E24820" w:rsidRDefault="00E24820" w:rsidP="00E24820">
      <w:pPr>
        <w:jc w:val="center"/>
      </w:pPr>
      <w:r>
        <w:lastRenderedPageBreak/>
        <w:t>References</w:t>
      </w:r>
    </w:p>
    <w:p w14:paraId="2FAFA27E" w14:textId="77777777" w:rsidR="009A1D9F" w:rsidRPr="009A1D9F" w:rsidRDefault="00B67A24" w:rsidP="009A1D9F">
      <w:pPr>
        <w:pStyle w:val="Bibliography"/>
        <w:rPr>
          <w:rFonts w:cs="Times New Roman"/>
          <w:sz w:val="24"/>
          <w:szCs w:val="24"/>
        </w:rPr>
      </w:pPr>
      <w:r>
        <w:fldChar w:fldCharType="begin"/>
      </w:r>
      <w:r w:rsidR="00317984">
        <w:instrText xml:space="preserve"> ADDIN ZOTERO_BIBL {"uncited":[["http://zotero.org/users/5906299/items/8D7UJWYE"],["http://zotero.org/users/5906299/items/GFJT5RTT"],["http://zotero.org/users/5906299/items/G4NIZJWF"],["http://zotero.org/users/5906299/items/E47FZIKS"],["http://zotero.org/users/5906299/items/NCRXR5CW"],["http://zotero.org/users/5906299/items/U3M47U57"],["http://zotero.org/users/5906299/items/53BREVTR"],["http://zotero.org/users/5906299/items/QUBJFUGE"],["http://zotero.org/users/5906299/items/QR9FFDIW"],["http://zotero.org/users/5906299/items/VV9SW66V"],["http://zotero.org/users/5906299/items/HIR2YLUA"],["http://zotero.org/users/5906299/items/FMY37BYH"],["http://zotero.org/users/5906299/items/XPBP72XW"],["http://zotero.org/users/5906299/items/JU8KVYKI"],["http://zotero.org/users/5906299/items/YIHXZEVG"],["http://zotero.org/users/5906299/items/TSAZ3Z59"],["http://zotero.org/users/5906299/items/9J2XCVFQ"],["http://zotero.org/users/5906299/items/V43RPXDB"],["http://zotero.org/users/5906299/items/ZY4PHF6L"],["http://zotero.org/users/5906299/items/9Z9M7RL7"]],"omitted":[],"custom":[]} CSL_BIBLIOGRAPHY </w:instrText>
      </w:r>
      <w:r>
        <w:fldChar w:fldCharType="separate"/>
      </w:r>
      <w:r w:rsidR="009A1D9F" w:rsidRPr="009A1D9F">
        <w:rPr>
          <w:rFonts w:cs="Times New Roman"/>
          <w:sz w:val="24"/>
          <w:szCs w:val="24"/>
        </w:rPr>
        <w:t xml:space="preserve">Abath, A. J. (2012). Epistemic Contextualism, Semantic Blindness and Content Unawareness. </w:t>
      </w:r>
      <w:r w:rsidR="009A1D9F" w:rsidRPr="009A1D9F">
        <w:rPr>
          <w:rFonts w:cs="Times New Roman"/>
          <w:i/>
          <w:iCs/>
          <w:sz w:val="24"/>
          <w:szCs w:val="24"/>
        </w:rPr>
        <w:t>Australasian Journal of Philosophy</w:t>
      </w:r>
      <w:r w:rsidR="009A1D9F" w:rsidRPr="009A1D9F">
        <w:rPr>
          <w:rFonts w:cs="Times New Roman"/>
          <w:sz w:val="24"/>
          <w:szCs w:val="24"/>
        </w:rPr>
        <w:t xml:space="preserve">, </w:t>
      </w:r>
      <w:r w:rsidR="009A1D9F" w:rsidRPr="009A1D9F">
        <w:rPr>
          <w:rFonts w:cs="Times New Roman"/>
          <w:i/>
          <w:iCs/>
          <w:sz w:val="24"/>
          <w:szCs w:val="24"/>
        </w:rPr>
        <w:t>90</w:t>
      </w:r>
      <w:r w:rsidR="009A1D9F" w:rsidRPr="009A1D9F">
        <w:rPr>
          <w:rFonts w:cs="Times New Roman"/>
          <w:sz w:val="24"/>
          <w:szCs w:val="24"/>
        </w:rPr>
        <w:t>(3), 593–597. https://doi.org/10.1080/00048402.2011.631021</w:t>
      </w:r>
    </w:p>
    <w:p w14:paraId="7FF9813A"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Audi, R. (1994). Dispositional Beliefs and Dispositions to Believe. </w:t>
      </w:r>
      <w:r w:rsidRPr="009A1D9F">
        <w:rPr>
          <w:rFonts w:cs="Times New Roman"/>
          <w:i/>
          <w:iCs/>
          <w:sz w:val="24"/>
          <w:szCs w:val="24"/>
        </w:rPr>
        <w:t>Noûs</w:t>
      </w:r>
      <w:r w:rsidRPr="009A1D9F">
        <w:rPr>
          <w:rFonts w:cs="Times New Roman"/>
          <w:sz w:val="24"/>
          <w:szCs w:val="24"/>
        </w:rPr>
        <w:t xml:space="preserve">, </w:t>
      </w:r>
      <w:r w:rsidRPr="009A1D9F">
        <w:rPr>
          <w:rFonts w:cs="Times New Roman"/>
          <w:i/>
          <w:iCs/>
          <w:sz w:val="24"/>
          <w:szCs w:val="24"/>
        </w:rPr>
        <w:t>28</w:t>
      </w:r>
      <w:r w:rsidRPr="009A1D9F">
        <w:rPr>
          <w:rFonts w:cs="Times New Roman"/>
          <w:sz w:val="24"/>
          <w:szCs w:val="24"/>
        </w:rPr>
        <w:t>(4), 419–434.</w:t>
      </w:r>
    </w:p>
    <w:p w14:paraId="21DF9CE3"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Austin, J. L. (1962). </w:t>
      </w:r>
      <w:r w:rsidRPr="009A1D9F">
        <w:rPr>
          <w:rFonts w:cs="Times New Roman"/>
          <w:i/>
          <w:iCs/>
          <w:sz w:val="24"/>
          <w:szCs w:val="24"/>
        </w:rPr>
        <w:t>How to Do Things with Words</w:t>
      </w:r>
      <w:r w:rsidRPr="009A1D9F">
        <w:rPr>
          <w:rFonts w:cs="Times New Roman"/>
          <w:sz w:val="24"/>
          <w:szCs w:val="24"/>
        </w:rPr>
        <w:t>. (J. O. Urmson &amp; M. Sbisa, Eds.) (2nd ed.). Oxford: Oxford University Press.</w:t>
      </w:r>
    </w:p>
    <w:p w14:paraId="1A926C09"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Bach, K. (2005). The Emperor’s New ‘Knows.’ In Gerhard Preyer &amp; Georg Peter (Eds.), </w:t>
      </w:r>
      <w:r w:rsidRPr="009A1D9F">
        <w:rPr>
          <w:rFonts w:cs="Times New Roman"/>
          <w:i/>
          <w:iCs/>
          <w:sz w:val="24"/>
          <w:szCs w:val="24"/>
        </w:rPr>
        <w:t>Contextualism in Philosophy: Knowledge, Meaning, and Truth</w:t>
      </w:r>
      <w:r w:rsidRPr="009A1D9F">
        <w:rPr>
          <w:rFonts w:cs="Times New Roman"/>
          <w:sz w:val="24"/>
          <w:szCs w:val="24"/>
        </w:rPr>
        <w:t xml:space="preserve"> (pp. 51–89). New York: Oxford University Press.</w:t>
      </w:r>
    </w:p>
    <w:p w14:paraId="7E475840"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Brown, J. (2018). </w:t>
      </w:r>
      <w:r w:rsidRPr="009A1D9F">
        <w:rPr>
          <w:rFonts w:cs="Times New Roman"/>
          <w:i/>
          <w:iCs/>
          <w:sz w:val="24"/>
          <w:szCs w:val="24"/>
        </w:rPr>
        <w:t>Fallibilism: Evidence and Knowledge</w:t>
      </w:r>
      <w:r w:rsidRPr="009A1D9F">
        <w:rPr>
          <w:rFonts w:cs="Times New Roman"/>
          <w:sz w:val="24"/>
          <w:szCs w:val="24"/>
        </w:rPr>
        <w:t>. Oxford: Oxford University Press. https://doi.org/10.1093/oso/9780198801771.001.0001</w:t>
      </w:r>
    </w:p>
    <w:p w14:paraId="12119E4B"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Butchvarov, P. (1970). </w:t>
      </w:r>
      <w:r w:rsidRPr="009A1D9F">
        <w:rPr>
          <w:rFonts w:cs="Times New Roman"/>
          <w:i/>
          <w:iCs/>
          <w:sz w:val="24"/>
          <w:szCs w:val="24"/>
        </w:rPr>
        <w:t>The Concept of Knowledge</w:t>
      </w:r>
      <w:r w:rsidRPr="009A1D9F">
        <w:rPr>
          <w:rFonts w:cs="Times New Roman"/>
          <w:sz w:val="24"/>
          <w:szCs w:val="24"/>
        </w:rPr>
        <w:t>. Evanston: Northwestern University Press.</w:t>
      </w:r>
    </w:p>
    <w:p w14:paraId="48F24D48"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Chung, J. (2017). Could Knowledge-Talk be Largely Non-Literal? </w:t>
      </w:r>
      <w:r w:rsidRPr="009A1D9F">
        <w:rPr>
          <w:rFonts w:cs="Times New Roman"/>
          <w:i/>
          <w:iCs/>
          <w:sz w:val="24"/>
          <w:szCs w:val="24"/>
        </w:rPr>
        <w:t>Episteme</w:t>
      </w:r>
      <w:r w:rsidRPr="009A1D9F">
        <w:rPr>
          <w:rFonts w:cs="Times New Roman"/>
          <w:sz w:val="24"/>
          <w:szCs w:val="24"/>
        </w:rPr>
        <w:t>, 1–29. https://doi.org/10.1017/epi.2017.7</w:t>
      </w:r>
    </w:p>
    <w:p w14:paraId="128B992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Cohen, S. (1999). Contextualism, Skepticism, and the Structure of Reasons. </w:t>
      </w:r>
      <w:r w:rsidRPr="009A1D9F">
        <w:rPr>
          <w:rFonts w:cs="Times New Roman"/>
          <w:i/>
          <w:iCs/>
          <w:sz w:val="24"/>
          <w:szCs w:val="24"/>
        </w:rPr>
        <w:t>Noûs</w:t>
      </w:r>
      <w:r w:rsidRPr="009A1D9F">
        <w:rPr>
          <w:rFonts w:cs="Times New Roman"/>
          <w:sz w:val="24"/>
          <w:szCs w:val="24"/>
        </w:rPr>
        <w:t xml:space="preserve">, </w:t>
      </w:r>
      <w:r w:rsidRPr="009A1D9F">
        <w:rPr>
          <w:rFonts w:cs="Times New Roman"/>
          <w:i/>
          <w:iCs/>
          <w:sz w:val="24"/>
          <w:szCs w:val="24"/>
        </w:rPr>
        <w:t>33</w:t>
      </w:r>
      <w:r w:rsidRPr="009A1D9F">
        <w:rPr>
          <w:rFonts w:cs="Times New Roman"/>
          <w:sz w:val="24"/>
          <w:szCs w:val="24"/>
        </w:rPr>
        <w:t>, 57–89. https://doi.org/10.2307/2676096</w:t>
      </w:r>
    </w:p>
    <w:p w14:paraId="10801AE8"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Craig, E. (1990). </w:t>
      </w:r>
      <w:r w:rsidRPr="009A1D9F">
        <w:rPr>
          <w:rFonts w:cs="Times New Roman"/>
          <w:i/>
          <w:iCs/>
          <w:sz w:val="24"/>
          <w:szCs w:val="24"/>
        </w:rPr>
        <w:t>Knowledge and the State of Nature</w:t>
      </w:r>
      <w:r w:rsidRPr="009A1D9F">
        <w:rPr>
          <w:rFonts w:cs="Times New Roman"/>
          <w:sz w:val="24"/>
          <w:szCs w:val="24"/>
        </w:rPr>
        <w:t>. Oxford: Clarendon Press.</w:t>
      </w:r>
    </w:p>
    <w:p w14:paraId="1D94FBAB"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Davis, W. A. (2007). Knowledge Claims and Context: Loose Use. </w:t>
      </w:r>
      <w:r w:rsidRPr="009A1D9F">
        <w:rPr>
          <w:rFonts w:cs="Times New Roman"/>
          <w:i/>
          <w:iCs/>
          <w:sz w:val="24"/>
          <w:szCs w:val="24"/>
        </w:rPr>
        <w:t>Philosophical Studies</w:t>
      </w:r>
      <w:r w:rsidRPr="009A1D9F">
        <w:rPr>
          <w:rFonts w:cs="Times New Roman"/>
          <w:sz w:val="24"/>
          <w:szCs w:val="24"/>
        </w:rPr>
        <w:t xml:space="preserve">, </w:t>
      </w:r>
      <w:r w:rsidRPr="009A1D9F">
        <w:rPr>
          <w:rFonts w:cs="Times New Roman"/>
          <w:i/>
          <w:iCs/>
          <w:sz w:val="24"/>
          <w:szCs w:val="24"/>
        </w:rPr>
        <w:t>132</w:t>
      </w:r>
      <w:r w:rsidRPr="009A1D9F">
        <w:rPr>
          <w:rFonts w:cs="Times New Roman"/>
          <w:sz w:val="24"/>
          <w:szCs w:val="24"/>
        </w:rPr>
        <w:t>(3), 395–438. https://doi.org/10.1007/s11098-006-9035-2</w:t>
      </w:r>
    </w:p>
    <w:p w14:paraId="77878A3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DeRose, K. (2002). Assertion, Knowledge, and Context. </w:t>
      </w:r>
      <w:r w:rsidRPr="009A1D9F">
        <w:rPr>
          <w:rFonts w:cs="Times New Roman"/>
          <w:i/>
          <w:iCs/>
          <w:sz w:val="24"/>
          <w:szCs w:val="24"/>
        </w:rPr>
        <w:t>Philosophical Review</w:t>
      </w:r>
      <w:r w:rsidRPr="009A1D9F">
        <w:rPr>
          <w:rFonts w:cs="Times New Roman"/>
          <w:sz w:val="24"/>
          <w:szCs w:val="24"/>
        </w:rPr>
        <w:t xml:space="preserve">, </w:t>
      </w:r>
      <w:r w:rsidRPr="009A1D9F">
        <w:rPr>
          <w:rFonts w:cs="Times New Roman"/>
          <w:i/>
          <w:iCs/>
          <w:sz w:val="24"/>
          <w:szCs w:val="24"/>
        </w:rPr>
        <w:t>111</w:t>
      </w:r>
      <w:r w:rsidRPr="009A1D9F">
        <w:rPr>
          <w:rFonts w:cs="Times New Roman"/>
          <w:sz w:val="24"/>
          <w:szCs w:val="24"/>
        </w:rPr>
        <w:t>(2), 167–203. https://doi.org/10.1215/00318108-111-2-167</w:t>
      </w:r>
    </w:p>
    <w:p w14:paraId="25CF2C11"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Dinges, A. (2015). Innocent Implicatures. </w:t>
      </w:r>
      <w:r w:rsidRPr="009A1D9F">
        <w:rPr>
          <w:rFonts w:cs="Times New Roman"/>
          <w:i/>
          <w:iCs/>
          <w:sz w:val="24"/>
          <w:szCs w:val="24"/>
        </w:rPr>
        <w:t>Journal of Pragmatics</w:t>
      </w:r>
      <w:r w:rsidRPr="009A1D9F">
        <w:rPr>
          <w:rFonts w:cs="Times New Roman"/>
          <w:sz w:val="24"/>
          <w:szCs w:val="24"/>
        </w:rPr>
        <w:t xml:space="preserve">, </w:t>
      </w:r>
      <w:r w:rsidRPr="009A1D9F">
        <w:rPr>
          <w:rFonts w:cs="Times New Roman"/>
          <w:i/>
          <w:iCs/>
          <w:sz w:val="24"/>
          <w:szCs w:val="24"/>
        </w:rPr>
        <w:t>87</w:t>
      </w:r>
      <w:r w:rsidRPr="009A1D9F">
        <w:rPr>
          <w:rFonts w:cs="Times New Roman"/>
          <w:sz w:val="24"/>
          <w:szCs w:val="24"/>
        </w:rPr>
        <w:t>, 54–63.</w:t>
      </w:r>
    </w:p>
    <w:p w14:paraId="17DA3CDA" w14:textId="77777777" w:rsidR="009A1D9F" w:rsidRPr="009A1D9F" w:rsidRDefault="009A1D9F" w:rsidP="009A1D9F">
      <w:pPr>
        <w:pStyle w:val="Bibliography"/>
        <w:rPr>
          <w:rFonts w:cs="Times New Roman"/>
          <w:sz w:val="24"/>
          <w:szCs w:val="24"/>
        </w:rPr>
      </w:pPr>
      <w:r w:rsidRPr="009A1D9F">
        <w:rPr>
          <w:rFonts w:cs="Times New Roman"/>
          <w:sz w:val="24"/>
          <w:szCs w:val="24"/>
        </w:rPr>
        <w:lastRenderedPageBreak/>
        <w:t xml:space="preserve">Dinges, A. (2016). Skeptical Pragmatic Invariantism: Good, but Not Good Enough. </w:t>
      </w:r>
      <w:r w:rsidRPr="009A1D9F">
        <w:rPr>
          <w:rFonts w:cs="Times New Roman"/>
          <w:i/>
          <w:iCs/>
          <w:sz w:val="24"/>
          <w:szCs w:val="24"/>
        </w:rPr>
        <w:t>Synthese</w:t>
      </w:r>
      <w:r w:rsidRPr="009A1D9F">
        <w:rPr>
          <w:rFonts w:cs="Times New Roman"/>
          <w:sz w:val="24"/>
          <w:szCs w:val="24"/>
        </w:rPr>
        <w:t xml:space="preserve">, </w:t>
      </w:r>
      <w:r w:rsidRPr="009A1D9F">
        <w:rPr>
          <w:rFonts w:cs="Times New Roman"/>
          <w:i/>
          <w:iCs/>
          <w:sz w:val="24"/>
          <w:szCs w:val="24"/>
        </w:rPr>
        <w:t>193</w:t>
      </w:r>
      <w:r w:rsidRPr="009A1D9F">
        <w:rPr>
          <w:rFonts w:cs="Times New Roman"/>
          <w:sz w:val="24"/>
          <w:szCs w:val="24"/>
        </w:rPr>
        <w:t>(8), 2577–2593. https://doi.org/10.1007/s11229-015-0867-1</w:t>
      </w:r>
    </w:p>
    <w:p w14:paraId="2A5D4546"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Dretske, F. I. (1970). Epistemic Operators. </w:t>
      </w:r>
      <w:r w:rsidRPr="009A1D9F">
        <w:rPr>
          <w:rFonts w:cs="Times New Roman"/>
          <w:i/>
          <w:iCs/>
          <w:sz w:val="24"/>
          <w:szCs w:val="24"/>
        </w:rPr>
        <w:t>The Journal of Philosophy</w:t>
      </w:r>
      <w:r w:rsidRPr="009A1D9F">
        <w:rPr>
          <w:rFonts w:cs="Times New Roman"/>
          <w:sz w:val="24"/>
          <w:szCs w:val="24"/>
        </w:rPr>
        <w:t xml:space="preserve">, </w:t>
      </w:r>
      <w:r w:rsidRPr="009A1D9F">
        <w:rPr>
          <w:rFonts w:cs="Times New Roman"/>
          <w:i/>
          <w:iCs/>
          <w:sz w:val="24"/>
          <w:szCs w:val="24"/>
        </w:rPr>
        <w:t>67</w:t>
      </w:r>
      <w:r w:rsidRPr="009A1D9F">
        <w:rPr>
          <w:rFonts w:cs="Times New Roman"/>
          <w:sz w:val="24"/>
          <w:szCs w:val="24"/>
        </w:rPr>
        <w:t>(24), 1007–1023. https://doi.org/10.2307/2024710</w:t>
      </w:r>
    </w:p>
    <w:p w14:paraId="57374C3F"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Dutant, J. (2015). The Legend of the Justified True Belief Analysis. </w:t>
      </w:r>
      <w:r w:rsidRPr="009A1D9F">
        <w:rPr>
          <w:rFonts w:cs="Times New Roman"/>
          <w:i/>
          <w:iCs/>
          <w:sz w:val="24"/>
          <w:szCs w:val="24"/>
        </w:rPr>
        <w:t>Philosophical Perspectives</w:t>
      </w:r>
      <w:r w:rsidRPr="009A1D9F">
        <w:rPr>
          <w:rFonts w:cs="Times New Roman"/>
          <w:sz w:val="24"/>
          <w:szCs w:val="24"/>
        </w:rPr>
        <w:t xml:space="preserve">, </w:t>
      </w:r>
      <w:r w:rsidRPr="009A1D9F">
        <w:rPr>
          <w:rFonts w:cs="Times New Roman"/>
          <w:i/>
          <w:iCs/>
          <w:sz w:val="24"/>
          <w:szCs w:val="24"/>
        </w:rPr>
        <w:t>29</w:t>
      </w:r>
      <w:r w:rsidRPr="009A1D9F">
        <w:rPr>
          <w:rFonts w:cs="Times New Roman"/>
          <w:sz w:val="24"/>
          <w:szCs w:val="24"/>
        </w:rPr>
        <w:t>(1), 95–145.</w:t>
      </w:r>
    </w:p>
    <w:p w14:paraId="7F74E11A"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Dutant, J. (2016). How to be an Infallibilist. </w:t>
      </w:r>
      <w:r w:rsidRPr="009A1D9F">
        <w:rPr>
          <w:rFonts w:cs="Times New Roman"/>
          <w:i/>
          <w:iCs/>
          <w:sz w:val="24"/>
          <w:szCs w:val="24"/>
        </w:rPr>
        <w:t>Philosophical Issues</w:t>
      </w:r>
      <w:r w:rsidRPr="009A1D9F">
        <w:rPr>
          <w:rFonts w:cs="Times New Roman"/>
          <w:sz w:val="24"/>
          <w:szCs w:val="24"/>
        </w:rPr>
        <w:t xml:space="preserve">, </w:t>
      </w:r>
      <w:r w:rsidRPr="009A1D9F">
        <w:rPr>
          <w:rFonts w:cs="Times New Roman"/>
          <w:i/>
          <w:iCs/>
          <w:sz w:val="24"/>
          <w:szCs w:val="24"/>
        </w:rPr>
        <w:t>26</w:t>
      </w:r>
      <w:r w:rsidRPr="009A1D9F">
        <w:rPr>
          <w:rFonts w:cs="Times New Roman"/>
          <w:sz w:val="24"/>
          <w:szCs w:val="24"/>
        </w:rPr>
        <w:t>(1), 148–171. https://doi.org/10.1111/phis.12085</w:t>
      </w:r>
    </w:p>
    <w:p w14:paraId="41ECA8F1"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Everett, T. (2006). Antiskeptical Conditionals. </w:t>
      </w:r>
      <w:r w:rsidRPr="009A1D9F">
        <w:rPr>
          <w:rFonts w:cs="Times New Roman"/>
          <w:i/>
          <w:iCs/>
          <w:sz w:val="24"/>
          <w:szCs w:val="24"/>
        </w:rPr>
        <w:t>Philosophy and Phenomenological Research</w:t>
      </w:r>
      <w:r w:rsidRPr="009A1D9F">
        <w:rPr>
          <w:rFonts w:cs="Times New Roman"/>
          <w:sz w:val="24"/>
          <w:szCs w:val="24"/>
        </w:rPr>
        <w:t xml:space="preserve">, </w:t>
      </w:r>
      <w:r w:rsidRPr="009A1D9F">
        <w:rPr>
          <w:rFonts w:cs="Times New Roman"/>
          <w:i/>
          <w:iCs/>
          <w:sz w:val="24"/>
          <w:szCs w:val="24"/>
        </w:rPr>
        <w:t>73</w:t>
      </w:r>
      <w:r w:rsidRPr="009A1D9F">
        <w:rPr>
          <w:rFonts w:cs="Times New Roman"/>
          <w:sz w:val="24"/>
          <w:szCs w:val="24"/>
        </w:rPr>
        <w:t>(2), 505–536.</w:t>
      </w:r>
    </w:p>
    <w:p w14:paraId="2F1A0130"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Fantl, J., &amp; McGrath, M. (2009). </w:t>
      </w:r>
      <w:r w:rsidRPr="009A1D9F">
        <w:rPr>
          <w:rFonts w:cs="Times New Roman"/>
          <w:i/>
          <w:iCs/>
          <w:sz w:val="24"/>
          <w:szCs w:val="24"/>
        </w:rPr>
        <w:t>Knowledge in an Uncertain World</w:t>
      </w:r>
      <w:r w:rsidRPr="009A1D9F">
        <w:rPr>
          <w:rFonts w:cs="Times New Roman"/>
          <w:sz w:val="24"/>
          <w:szCs w:val="24"/>
        </w:rPr>
        <w:t>. New York: Oxford University Press.</w:t>
      </w:r>
    </w:p>
    <w:p w14:paraId="13AC6DE6"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Frankfurt, H. G. (2005). </w:t>
      </w:r>
      <w:r w:rsidRPr="009A1D9F">
        <w:rPr>
          <w:rFonts w:cs="Times New Roman"/>
          <w:i/>
          <w:iCs/>
          <w:sz w:val="24"/>
          <w:szCs w:val="24"/>
        </w:rPr>
        <w:t>On Bullshit</w:t>
      </w:r>
      <w:r w:rsidRPr="009A1D9F">
        <w:rPr>
          <w:rFonts w:cs="Times New Roman"/>
          <w:sz w:val="24"/>
          <w:szCs w:val="24"/>
        </w:rPr>
        <w:t>. Princeton: Princeton University Press.</w:t>
      </w:r>
    </w:p>
    <w:p w14:paraId="5900D3C4"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Gerken, M. (2017). </w:t>
      </w:r>
      <w:r w:rsidRPr="009A1D9F">
        <w:rPr>
          <w:rFonts w:cs="Times New Roman"/>
          <w:i/>
          <w:iCs/>
          <w:sz w:val="24"/>
          <w:szCs w:val="24"/>
        </w:rPr>
        <w:t>On Folk Epistemology: How we Think and Talk about Knowledge</w:t>
      </w:r>
      <w:r w:rsidRPr="009A1D9F">
        <w:rPr>
          <w:rFonts w:cs="Times New Roman"/>
          <w:sz w:val="24"/>
          <w:szCs w:val="24"/>
        </w:rPr>
        <w:t>. New York: Oxford University Press.</w:t>
      </w:r>
    </w:p>
    <w:p w14:paraId="0FC8DD6C"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Gettier, E. L. (1963). Is Justified True Belief Knowledge? </w:t>
      </w:r>
      <w:r w:rsidRPr="009A1D9F">
        <w:rPr>
          <w:rFonts w:cs="Times New Roman"/>
          <w:i/>
          <w:iCs/>
          <w:sz w:val="24"/>
          <w:szCs w:val="24"/>
        </w:rPr>
        <w:t>Analysis</w:t>
      </w:r>
      <w:r w:rsidRPr="009A1D9F">
        <w:rPr>
          <w:rFonts w:cs="Times New Roman"/>
          <w:sz w:val="24"/>
          <w:szCs w:val="24"/>
        </w:rPr>
        <w:t xml:space="preserve">, </w:t>
      </w:r>
      <w:r w:rsidRPr="009A1D9F">
        <w:rPr>
          <w:rFonts w:cs="Times New Roman"/>
          <w:i/>
          <w:iCs/>
          <w:sz w:val="24"/>
          <w:szCs w:val="24"/>
        </w:rPr>
        <w:t>23</w:t>
      </w:r>
      <w:r w:rsidRPr="009A1D9F">
        <w:rPr>
          <w:rFonts w:cs="Times New Roman"/>
          <w:sz w:val="24"/>
          <w:szCs w:val="24"/>
        </w:rPr>
        <w:t>(6), 121–123. https://doi.org/10.2307/3326922</w:t>
      </w:r>
    </w:p>
    <w:p w14:paraId="27E33C32"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Goldman, A. I. (1976). Discrimination and Perceptual Knowledge. </w:t>
      </w:r>
      <w:r w:rsidRPr="009A1D9F">
        <w:rPr>
          <w:rFonts w:cs="Times New Roman"/>
          <w:i/>
          <w:iCs/>
          <w:sz w:val="24"/>
          <w:szCs w:val="24"/>
        </w:rPr>
        <w:t>The Journal of Philosophy</w:t>
      </w:r>
      <w:r w:rsidRPr="009A1D9F">
        <w:rPr>
          <w:rFonts w:cs="Times New Roman"/>
          <w:sz w:val="24"/>
          <w:szCs w:val="24"/>
        </w:rPr>
        <w:t xml:space="preserve">, </w:t>
      </w:r>
      <w:r w:rsidRPr="009A1D9F">
        <w:rPr>
          <w:rFonts w:cs="Times New Roman"/>
          <w:i/>
          <w:iCs/>
          <w:sz w:val="24"/>
          <w:szCs w:val="24"/>
        </w:rPr>
        <w:t>73</w:t>
      </w:r>
      <w:r w:rsidRPr="009A1D9F">
        <w:rPr>
          <w:rFonts w:cs="Times New Roman"/>
          <w:sz w:val="24"/>
          <w:szCs w:val="24"/>
        </w:rPr>
        <w:t>(20), 771–791. https://doi.org/10.2307/2025679</w:t>
      </w:r>
    </w:p>
    <w:p w14:paraId="53891A56"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Grice, H. P. (1975). Logic and Conversation. In Peter Cole &amp; Jerry Morgan (Eds.), </w:t>
      </w:r>
      <w:r w:rsidRPr="009A1D9F">
        <w:rPr>
          <w:rFonts w:cs="Times New Roman"/>
          <w:i/>
          <w:iCs/>
          <w:sz w:val="24"/>
          <w:szCs w:val="24"/>
        </w:rPr>
        <w:t>Syntax and Semantics, vol. 3: Speech Acts</w:t>
      </w:r>
      <w:r w:rsidRPr="009A1D9F">
        <w:rPr>
          <w:rFonts w:cs="Times New Roman"/>
          <w:sz w:val="24"/>
          <w:szCs w:val="24"/>
        </w:rPr>
        <w:t>. New York: Academic Press.</w:t>
      </w:r>
    </w:p>
    <w:p w14:paraId="4DC43CB8"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Hare, R. M. (1960). Philosophical Discoveries. </w:t>
      </w:r>
      <w:r w:rsidRPr="009A1D9F">
        <w:rPr>
          <w:rFonts w:cs="Times New Roman"/>
          <w:i/>
          <w:iCs/>
          <w:sz w:val="24"/>
          <w:szCs w:val="24"/>
        </w:rPr>
        <w:t>Mind: A Quarterly Review of Philosophy</w:t>
      </w:r>
      <w:r w:rsidRPr="009A1D9F">
        <w:rPr>
          <w:rFonts w:cs="Times New Roman"/>
          <w:sz w:val="24"/>
          <w:szCs w:val="24"/>
        </w:rPr>
        <w:t xml:space="preserve">, </w:t>
      </w:r>
      <w:r w:rsidRPr="009A1D9F">
        <w:rPr>
          <w:rFonts w:cs="Times New Roman"/>
          <w:i/>
          <w:iCs/>
          <w:sz w:val="24"/>
          <w:szCs w:val="24"/>
        </w:rPr>
        <w:t>LXIX</w:t>
      </w:r>
      <w:r w:rsidRPr="009A1D9F">
        <w:rPr>
          <w:rFonts w:cs="Times New Roman"/>
          <w:sz w:val="24"/>
          <w:szCs w:val="24"/>
        </w:rPr>
        <w:t>(274), 145–162. https://doi.org/10.1093/mind/LXIX.274.145</w:t>
      </w:r>
    </w:p>
    <w:p w14:paraId="7C5A32C3"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Hawthorne, J. (2004). </w:t>
      </w:r>
      <w:r w:rsidRPr="009A1D9F">
        <w:rPr>
          <w:rFonts w:cs="Times New Roman"/>
          <w:i/>
          <w:iCs/>
          <w:sz w:val="24"/>
          <w:szCs w:val="24"/>
        </w:rPr>
        <w:t>Knowledge and Lotteries</w:t>
      </w:r>
      <w:r w:rsidRPr="009A1D9F">
        <w:rPr>
          <w:rFonts w:cs="Times New Roman"/>
          <w:sz w:val="24"/>
          <w:szCs w:val="24"/>
        </w:rPr>
        <w:t>. New York: Oxford University Press.</w:t>
      </w:r>
    </w:p>
    <w:p w14:paraId="2B5A4D77" w14:textId="77777777" w:rsidR="009A1D9F" w:rsidRPr="009A1D9F" w:rsidRDefault="009A1D9F" w:rsidP="009A1D9F">
      <w:pPr>
        <w:pStyle w:val="Bibliography"/>
        <w:rPr>
          <w:rFonts w:cs="Times New Roman"/>
          <w:sz w:val="24"/>
          <w:szCs w:val="24"/>
        </w:rPr>
      </w:pPr>
      <w:r w:rsidRPr="009A1D9F">
        <w:rPr>
          <w:rFonts w:cs="Times New Roman"/>
          <w:sz w:val="24"/>
          <w:szCs w:val="24"/>
        </w:rPr>
        <w:lastRenderedPageBreak/>
        <w:t xml:space="preserve">Hofweber, T. (1999). Contextualism and the Meaning-Intention Problem. In K. Korta, E. Sosa, &amp; X. Arrazola (Eds.), </w:t>
      </w:r>
      <w:r w:rsidRPr="009A1D9F">
        <w:rPr>
          <w:rFonts w:cs="Times New Roman"/>
          <w:i/>
          <w:iCs/>
          <w:sz w:val="24"/>
          <w:szCs w:val="24"/>
        </w:rPr>
        <w:t>Cognition, Agency and Rationality: Proceedings of the Fifth International Colloquium on Cognitive Science</w:t>
      </w:r>
      <w:r w:rsidRPr="009A1D9F">
        <w:rPr>
          <w:rFonts w:cs="Times New Roman"/>
          <w:sz w:val="24"/>
          <w:szCs w:val="24"/>
        </w:rPr>
        <w:t xml:space="preserve"> (pp. 93–104). Dordrecht: Springer Netherlands.</w:t>
      </w:r>
    </w:p>
    <w:p w14:paraId="425A93F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Hume, D. (1739). </w:t>
      </w:r>
      <w:r w:rsidRPr="009A1D9F">
        <w:rPr>
          <w:rFonts w:cs="Times New Roman"/>
          <w:i/>
          <w:iCs/>
          <w:sz w:val="24"/>
          <w:szCs w:val="24"/>
        </w:rPr>
        <w:t>A Treatise of Human Nature</w:t>
      </w:r>
      <w:r w:rsidRPr="009A1D9F">
        <w:rPr>
          <w:rFonts w:cs="Times New Roman"/>
          <w:sz w:val="24"/>
          <w:szCs w:val="24"/>
        </w:rPr>
        <w:t>. (D. F. Norton &amp; M. Norton, Eds.). New York: Oxford University Press.</w:t>
      </w:r>
    </w:p>
    <w:p w14:paraId="27EC2EDF"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Kappel, K. (2010). On Saying That Someone Knows: Themes from Craig. In A. Haddock, A. Millar, &amp; D. Pritchard (Eds.), </w:t>
      </w:r>
      <w:r w:rsidRPr="009A1D9F">
        <w:rPr>
          <w:rFonts w:cs="Times New Roman"/>
          <w:i/>
          <w:iCs/>
          <w:sz w:val="24"/>
          <w:szCs w:val="24"/>
        </w:rPr>
        <w:t>Social Epistemology</w:t>
      </w:r>
      <w:r w:rsidRPr="009A1D9F">
        <w:rPr>
          <w:rFonts w:cs="Times New Roman"/>
          <w:sz w:val="24"/>
          <w:szCs w:val="24"/>
        </w:rPr>
        <w:t xml:space="preserve"> (pp. 69–88). New York: Oxford University Press.</w:t>
      </w:r>
    </w:p>
    <w:p w14:paraId="2ACEF24F"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Kelp, C. (2011). What is the Point of “Knowledge” Anyway? </w:t>
      </w:r>
      <w:r w:rsidRPr="009A1D9F">
        <w:rPr>
          <w:rFonts w:cs="Times New Roman"/>
          <w:i/>
          <w:iCs/>
          <w:sz w:val="24"/>
          <w:szCs w:val="24"/>
        </w:rPr>
        <w:t>Episteme</w:t>
      </w:r>
      <w:r w:rsidRPr="009A1D9F">
        <w:rPr>
          <w:rFonts w:cs="Times New Roman"/>
          <w:sz w:val="24"/>
          <w:szCs w:val="24"/>
        </w:rPr>
        <w:t xml:space="preserve">, </w:t>
      </w:r>
      <w:r w:rsidRPr="009A1D9F">
        <w:rPr>
          <w:rFonts w:cs="Times New Roman"/>
          <w:i/>
          <w:iCs/>
          <w:sz w:val="24"/>
          <w:szCs w:val="24"/>
        </w:rPr>
        <w:t>8</w:t>
      </w:r>
      <w:r w:rsidRPr="009A1D9F">
        <w:rPr>
          <w:rFonts w:cs="Times New Roman"/>
          <w:sz w:val="24"/>
          <w:szCs w:val="24"/>
        </w:rPr>
        <w:t>(1), 53–66.</w:t>
      </w:r>
    </w:p>
    <w:p w14:paraId="60329D9C"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Kyriacou, C. (n.d.). Semantic Awareness for Skeptical Pragmatic Invariantism. </w:t>
      </w:r>
      <w:r w:rsidRPr="009A1D9F">
        <w:rPr>
          <w:rFonts w:cs="Times New Roman"/>
          <w:i/>
          <w:iCs/>
          <w:sz w:val="24"/>
          <w:szCs w:val="24"/>
        </w:rPr>
        <w:t>Episteme</w:t>
      </w:r>
      <w:r w:rsidRPr="009A1D9F">
        <w:rPr>
          <w:rFonts w:cs="Times New Roman"/>
          <w:sz w:val="24"/>
          <w:szCs w:val="24"/>
        </w:rPr>
        <w:t>, 1–19. https://doi.org/10.1017/epi.2019.7</w:t>
      </w:r>
    </w:p>
    <w:p w14:paraId="10D54C81"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Lawlor, K. (2013). </w:t>
      </w:r>
      <w:r w:rsidRPr="009A1D9F">
        <w:rPr>
          <w:rFonts w:cs="Times New Roman"/>
          <w:i/>
          <w:iCs/>
          <w:sz w:val="24"/>
          <w:szCs w:val="24"/>
        </w:rPr>
        <w:t>Assurance: An Austinian View of Knowledge and Knowledge Claims</w:t>
      </w:r>
      <w:r w:rsidRPr="009A1D9F">
        <w:rPr>
          <w:rFonts w:cs="Times New Roman"/>
          <w:sz w:val="24"/>
          <w:szCs w:val="24"/>
        </w:rPr>
        <w:t>. New York: Oxford University Press.</w:t>
      </w:r>
    </w:p>
    <w:p w14:paraId="61E4BABE"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Lewis, D. (1996). Elusive Knowledge. </w:t>
      </w:r>
      <w:r w:rsidRPr="009A1D9F">
        <w:rPr>
          <w:rFonts w:cs="Times New Roman"/>
          <w:i/>
          <w:iCs/>
          <w:sz w:val="24"/>
          <w:szCs w:val="24"/>
        </w:rPr>
        <w:t>Australasian Journal of Philosophy</w:t>
      </w:r>
      <w:r w:rsidRPr="009A1D9F">
        <w:rPr>
          <w:rFonts w:cs="Times New Roman"/>
          <w:sz w:val="24"/>
          <w:szCs w:val="24"/>
        </w:rPr>
        <w:t xml:space="preserve">, </w:t>
      </w:r>
      <w:r w:rsidRPr="009A1D9F">
        <w:rPr>
          <w:rFonts w:cs="Times New Roman"/>
          <w:i/>
          <w:iCs/>
          <w:sz w:val="24"/>
          <w:szCs w:val="24"/>
        </w:rPr>
        <w:t>74</w:t>
      </w:r>
      <w:r w:rsidRPr="009A1D9F">
        <w:rPr>
          <w:rFonts w:cs="Times New Roman"/>
          <w:sz w:val="24"/>
          <w:szCs w:val="24"/>
        </w:rPr>
        <w:t>(4), 549–567. https://doi.org/10.1080/00048409612347521</w:t>
      </w:r>
    </w:p>
    <w:p w14:paraId="1EDCE89C"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Nozick, R. (1981). </w:t>
      </w:r>
      <w:r w:rsidRPr="009A1D9F">
        <w:rPr>
          <w:rFonts w:cs="Times New Roman"/>
          <w:i/>
          <w:iCs/>
          <w:sz w:val="24"/>
          <w:szCs w:val="24"/>
        </w:rPr>
        <w:t>Philosophical Explanations</w:t>
      </w:r>
      <w:r w:rsidRPr="009A1D9F">
        <w:rPr>
          <w:rFonts w:cs="Times New Roman"/>
          <w:sz w:val="24"/>
          <w:szCs w:val="24"/>
        </w:rPr>
        <w:t>. Harvard University Press.</w:t>
      </w:r>
    </w:p>
    <w:p w14:paraId="1BD47D7E"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Patrick Rysiew. (2012). Epistemic Scorekeeping. In J. G. Brown (Ed.), </w:t>
      </w:r>
      <w:r w:rsidRPr="009A1D9F">
        <w:rPr>
          <w:rFonts w:cs="Times New Roman"/>
          <w:i/>
          <w:iCs/>
          <w:sz w:val="24"/>
          <w:szCs w:val="24"/>
        </w:rPr>
        <w:t>Knowledge Ascriptions</w:t>
      </w:r>
      <w:r w:rsidRPr="009A1D9F">
        <w:rPr>
          <w:rFonts w:cs="Times New Roman"/>
          <w:sz w:val="24"/>
          <w:szCs w:val="24"/>
        </w:rPr>
        <w:t xml:space="preserve"> (pp. 270–293). Oxford: Oxford University Press.</w:t>
      </w:r>
    </w:p>
    <w:p w14:paraId="41DF15E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Pritchard, D. (2005). </w:t>
      </w:r>
      <w:r w:rsidRPr="009A1D9F">
        <w:rPr>
          <w:rFonts w:cs="Times New Roman"/>
          <w:i/>
          <w:iCs/>
          <w:sz w:val="24"/>
          <w:szCs w:val="24"/>
        </w:rPr>
        <w:t>Epistemic Luck</w:t>
      </w:r>
      <w:r w:rsidRPr="009A1D9F">
        <w:rPr>
          <w:rFonts w:cs="Times New Roman"/>
          <w:sz w:val="24"/>
          <w:szCs w:val="24"/>
        </w:rPr>
        <w:t>. New York: Oxford University Press.</w:t>
      </w:r>
    </w:p>
    <w:p w14:paraId="2659060F"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Roush, S. (2012). Sensitivity and Closure. In K. Becker &amp; T. Black (Eds.), </w:t>
      </w:r>
      <w:r w:rsidRPr="009A1D9F">
        <w:rPr>
          <w:rFonts w:cs="Times New Roman"/>
          <w:i/>
          <w:iCs/>
          <w:sz w:val="24"/>
          <w:szCs w:val="24"/>
        </w:rPr>
        <w:t>The Sensitivity Principle in Epistemology</w:t>
      </w:r>
      <w:r w:rsidRPr="009A1D9F">
        <w:rPr>
          <w:rFonts w:cs="Times New Roman"/>
          <w:sz w:val="24"/>
          <w:szCs w:val="24"/>
        </w:rPr>
        <w:t xml:space="preserve"> (pp. 242–268). New York: Cambridge University Press.</w:t>
      </w:r>
    </w:p>
    <w:p w14:paraId="404A2293" w14:textId="77777777" w:rsidR="009A1D9F" w:rsidRPr="009A1D9F" w:rsidRDefault="009A1D9F" w:rsidP="009A1D9F">
      <w:pPr>
        <w:pStyle w:val="Bibliography"/>
        <w:rPr>
          <w:rFonts w:cs="Times New Roman"/>
          <w:sz w:val="24"/>
          <w:szCs w:val="24"/>
        </w:rPr>
      </w:pPr>
      <w:r w:rsidRPr="009A1D9F">
        <w:rPr>
          <w:rFonts w:cs="Times New Roman"/>
          <w:sz w:val="24"/>
          <w:szCs w:val="24"/>
        </w:rPr>
        <w:lastRenderedPageBreak/>
        <w:t xml:space="preserve">Rysiew, P. (2001). The Context-Sensitivity of Knowledge Attributions. </w:t>
      </w:r>
      <w:r w:rsidRPr="009A1D9F">
        <w:rPr>
          <w:rFonts w:cs="Times New Roman"/>
          <w:i/>
          <w:iCs/>
          <w:sz w:val="24"/>
          <w:szCs w:val="24"/>
        </w:rPr>
        <w:t>Noûs</w:t>
      </w:r>
      <w:r w:rsidRPr="009A1D9F">
        <w:rPr>
          <w:rFonts w:cs="Times New Roman"/>
          <w:sz w:val="24"/>
          <w:szCs w:val="24"/>
        </w:rPr>
        <w:t xml:space="preserve">, </w:t>
      </w:r>
      <w:r w:rsidRPr="009A1D9F">
        <w:rPr>
          <w:rFonts w:cs="Times New Roman"/>
          <w:i/>
          <w:iCs/>
          <w:sz w:val="24"/>
          <w:szCs w:val="24"/>
        </w:rPr>
        <w:t>35</w:t>
      </w:r>
      <w:r w:rsidRPr="009A1D9F">
        <w:rPr>
          <w:rFonts w:cs="Times New Roman"/>
          <w:sz w:val="24"/>
          <w:szCs w:val="24"/>
        </w:rPr>
        <w:t>(4), 477–514. https://doi.org/10.1111/0029-4624.00349</w:t>
      </w:r>
    </w:p>
    <w:p w14:paraId="771D32EC"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Schaffer, J. (2004). Skepticism, Contextualism, and Discrimination. </w:t>
      </w:r>
      <w:r w:rsidRPr="009A1D9F">
        <w:rPr>
          <w:rFonts w:cs="Times New Roman"/>
          <w:i/>
          <w:iCs/>
          <w:sz w:val="24"/>
          <w:szCs w:val="24"/>
        </w:rPr>
        <w:t>Philosophy and Phenomenological Research</w:t>
      </w:r>
      <w:r w:rsidRPr="009A1D9F">
        <w:rPr>
          <w:rFonts w:cs="Times New Roman"/>
          <w:sz w:val="24"/>
          <w:szCs w:val="24"/>
        </w:rPr>
        <w:t xml:space="preserve">, </w:t>
      </w:r>
      <w:r w:rsidRPr="009A1D9F">
        <w:rPr>
          <w:rFonts w:cs="Times New Roman"/>
          <w:i/>
          <w:iCs/>
          <w:sz w:val="24"/>
          <w:szCs w:val="24"/>
        </w:rPr>
        <w:t>69</w:t>
      </w:r>
      <w:r w:rsidRPr="009A1D9F">
        <w:rPr>
          <w:rFonts w:cs="Times New Roman"/>
          <w:sz w:val="24"/>
          <w:szCs w:val="24"/>
        </w:rPr>
        <w:t>(1), 138–155. https://doi.org/10.1111/j.1933-1592.2004.tb00387.x</w:t>
      </w:r>
    </w:p>
    <w:p w14:paraId="3637798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Sperber, D., &amp; Wilson, D. (1986). </w:t>
      </w:r>
      <w:r w:rsidRPr="009A1D9F">
        <w:rPr>
          <w:rFonts w:cs="Times New Roman"/>
          <w:i/>
          <w:iCs/>
          <w:sz w:val="24"/>
          <w:szCs w:val="24"/>
        </w:rPr>
        <w:t>Relevance: Communication and Cognition</w:t>
      </w:r>
      <w:r w:rsidRPr="009A1D9F">
        <w:rPr>
          <w:rFonts w:cs="Times New Roman"/>
          <w:sz w:val="24"/>
          <w:szCs w:val="24"/>
        </w:rPr>
        <w:t>. Cambridge: Harvard University Press.</w:t>
      </w:r>
    </w:p>
    <w:p w14:paraId="093EECC5"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Stein, G. C. (1976). Skepticism, Relevant Alternatives, and Deductive Closure. </w:t>
      </w:r>
      <w:r w:rsidRPr="009A1D9F">
        <w:rPr>
          <w:rFonts w:cs="Times New Roman"/>
          <w:i/>
          <w:iCs/>
          <w:sz w:val="24"/>
          <w:szCs w:val="24"/>
        </w:rPr>
        <w:t>Philosophical Studies</w:t>
      </w:r>
      <w:r w:rsidRPr="009A1D9F">
        <w:rPr>
          <w:rFonts w:cs="Times New Roman"/>
          <w:sz w:val="24"/>
          <w:szCs w:val="24"/>
        </w:rPr>
        <w:t xml:space="preserve">, </w:t>
      </w:r>
      <w:r w:rsidRPr="009A1D9F">
        <w:rPr>
          <w:rFonts w:cs="Times New Roman"/>
          <w:i/>
          <w:iCs/>
          <w:sz w:val="24"/>
          <w:szCs w:val="24"/>
        </w:rPr>
        <w:t>29</w:t>
      </w:r>
      <w:r w:rsidRPr="009A1D9F">
        <w:rPr>
          <w:rFonts w:cs="Times New Roman"/>
          <w:sz w:val="24"/>
          <w:szCs w:val="24"/>
        </w:rPr>
        <w:t>(4), 249–261.</w:t>
      </w:r>
    </w:p>
    <w:p w14:paraId="4E0DED2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Stoutenburg, G. (2016). Principles of Interpretive Charity and the Semantics of Knowledge Attributions. </w:t>
      </w:r>
      <w:r w:rsidRPr="009A1D9F">
        <w:rPr>
          <w:rFonts w:cs="Times New Roman"/>
          <w:i/>
          <w:iCs/>
          <w:sz w:val="24"/>
          <w:szCs w:val="24"/>
        </w:rPr>
        <w:t>Acta Analytica</w:t>
      </w:r>
      <w:r w:rsidRPr="009A1D9F">
        <w:rPr>
          <w:rFonts w:cs="Times New Roman"/>
          <w:sz w:val="24"/>
          <w:szCs w:val="24"/>
        </w:rPr>
        <w:t xml:space="preserve">, </w:t>
      </w:r>
      <w:r w:rsidRPr="009A1D9F">
        <w:rPr>
          <w:rFonts w:cs="Times New Roman"/>
          <w:i/>
          <w:iCs/>
          <w:sz w:val="24"/>
          <w:szCs w:val="24"/>
        </w:rPr>
        <w:t>31</w:t>
      </w:r>
      <w:r w:rsidRPr="009A1D9F">
        <w:rPr>
          <w:rFonts w:cs="Times New Roman"/>
          <w:sz w:val="24"/>
          <w:szCs w:val="24"/>
        </w:rPr>
        <w:t>(2), 153–168. https://doi.org/10.1007/s12136-015-0267-7</w:t>
      </w:r>
    </w:p>
    <w:p w14:paraId="0750A640"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Stoutenburg, G. (2017). Strict Moderate Invariantism and Knowledge-Denials. </w:t>
      </w:r>
      <w:r w:rsidRPr="009A1D9F">
        <w:rPr>
          <w:rFonts w:cs="Times New Roman"/>
          <w:i/>
          <w:iCs/>
          <w:sz w:val="24"/>
          <w:szCs w:val="24"/>
        </w:rPr>
        <w:t>Philosophical Studies</w:t>
      </w:r>
      <w:r w:rsidRPr="009A1D9F">
        <w:rPr>
          <w:rFonts w:cs="Times New Roman"/>
          <w:sz w:val="24"/>
          <w:szCs w:val="24"/>
        </w:rPr>
        <w:t xml:space="preserve">, </w:t>
      </w:r>
      <w:r w:rsidRPr="009A1D9F">
        <w:rPr>
          <w:rFonts w:cs="Times New Roman"/>
          <w:i/>
          <w:iCs/>
          <w:sz w:val="24"/>
          <w:szCs w:val="24"/>
        </w:rPr>
        <w:t>174</w:t>
      </w:r>
      <w:r w:rsidRPr="009A1D9F">
        <w:rPr>
          <w:rFonts w:cs="Times New Roman"/>
          <w:sz w:val="24"/>
          <w:szCs w:val="24"/>
        </w:rPr>
        <w:t>(8), 2029–2044. https://doi.org/10.1007/s11098-016-0786-0</w:t>
      </w:r>
    </w:p>
    <w:p w14:paraId="3C06A2FE"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Stoutenburg, G. (2019). The Limits of Antiskeptical Infallibilism. In T. V. Rodrigues (Ed.), </w:t>
      </w:r>
      <w:r w:rsidRPr="009A1D9F">
        <w:rPr>
          <w:rFonts w:cs="Times New Roman"/>
          <w:i/>
          <w:iCs/>
          <w:sz w:val="24"/>
          <w:szCs w:val="24"/>
        </w:rPr>
        <w:t>Epistemologia Analytica</w:t>
      </w:r>
      <w:r w:rsidRPr="009A1D9F">
        <w:rPr>
          <w:rFonts w:cs="Times New Roman"/>
          <w:sz w:val="24"/>
          <w:szCs w:val="24"/>
        </w:rPr>
        <w:t xml:space="preserve"> (Vol. 1, pp. 55–72). Editora Fi.</w:t>
      </w:r>
    </w:p>
    <w:p w14:paraId="65A7B786"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Unger, P. (1984). </w:t>
      </w:r>
      <w:r w:rsidRPr="009A1D9F">
        <w:rPr>
          <w:rFonts w:cs="Times New Roman"/>
          <w:i/>
          <w:iCs/>
          <w:sz w:val="24"/>
          <w:szCs w:val="24"/>
        </w:rPr>
        <w:t>Philosophical Relativity</w:t>
      </w:r>
      <w:r w:rsidRPr="009A1D9F">
        <w:rPr>
          <w:rFonts w:cs="Times New Roman"/>
          <w:sz w:val="24"/>
          <w:szCs w:val="24"/>
        </w:rPr>
        <w:t>. Minneapolis: University of Minnesota Press.</w:t>
      </w:r>
    </w:p>
    <w:p w14:paraId="6E3873EE"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Weiner, M. (2005). Must We Know What We Say? </w:t>
      </w:r>
      <w:r w:rsidRPr="009A1D9F">
        <w:rPr>
          <w:rFonts w:cs="Times New Roman"/>
          <w:i/>
          <w:iCs/>
          <w:sz w:val="24"/>
          <w:szCs w:val="24"/>
        </w:rPr>
        <w:t>The Philosophical Review</w:t>
      </w:r>
      <w:r w:rsidRPr="009A1D9F">
        <w:rPr>
          <w:rFonts w:cs="Times New Roman"/>
          <w:sz w:val="24"/>
          <w:szCs w:val="24"/>
        </w:rPr>
        <w:t xml:space="preserve">, </w:t>
      </w:r>
      <w:r w:rsidRPr="009A1D9F">
        <w:rPr>
          <w:rFonts w:cs="Times New Roman"/>
          <w:i/>
          <w:iCs/>
          <w:sz w:val="24"/>
          <w:szCs w:val="24"/>
        </w:rPr>
        <w:t>114</w:t>
      </w:r>
      <w:r w:rsidRPr="009A1D9F">
        <w:rPr>
          <w:rFonts w:cs="Times New Roman"/>
          <w:sz w:val="24"/>
          <w:szCs w:val="24"/>
        </w:rPr>
        <w:t>(2), 227–251.</w:t>
      </w:r>
    </w:p>
    <w:p w14:paraId="06C47304"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Williamson, T. (2000). </w:t>
      </w:r>
      <w:r w:rsidRPr="009A1D9F">
        <w:rPr>
          <w:rFonts w:cs="Times New Roman"/>
          <w:i/>
          <w:iCs/>
          <w:sz w:val="24"/>
          <w:szCs w:val="24"/>
        </w:rPr>
        <w:t>Knowledge and its Limits</w:t>
      </w:r>
      <w:r w:rsidRPr="009A1D9F">
        <w:rPr>
          <w:rFonts w:cs="Times New Roman"/>
          <w:sz w:val="24"/>
          <w:szCs w:val="24"/>
        </w:rPr>
        <w:t>. New York: Oxford University Press.</w:t>
      </w:r>
    </w:p>
    <w:p w14:paraId="397D162D" w14:textId="77777777" w:rsidR="009A1D9F" w:rsidRPr="009A1D9F" w:rsidRDefault="009A1D9F" w:rsidP="009A1D9F">
      <w:pPr>
        <w:pStyle w:val="Bibliography"/>
        <w:rPr>
          <w:rFonts w:cs="Times New Roman"/>
          <w:sz w:val="24"/>
          <w:szCs w:val="24"/>
        </w:rPr>
      </w:pPr>
      <w:r w:rsidRPr="009A1D9F">
        <w:rPr>
          <w:rFonts w:cs="Times New Roman"/>
          <w:sz w:val="24"/>
          <w:szCs w:val="24"/>
        </w:rPr>
        <w:t xml:space="preserve">Wilson, D., &amp; Sperber, D. (2004). Relevance Theory. In L. Horn &amp; G. Ward (Eds.), </w:t>
      </w:r>
      <w:r w:rsidRPr="009A1D9F">
        <w:rPr>
          <w:rFonts w:cs="Times New Roman"/>
          <w:i/>
          <w:iCs/>
          <w:sz w:val="24"/>
          <w:szCs w:val="24"/>
        </w:rPr>
        <w:t>The Handbook of Pragmatics</w:t>
      </w:r>
      <w:r w:rsidRPr="009A1D9F">
        <w:rPr>
          <w:rFonts w:cs="Times New Roman"/>
          <w:sz w:val="24"/>
          <w:szCs w:val="24"/>
        </w:rPr>
        <w:t xml:space="preserve"> (pp. 607–633). Malden: Blackwell.</w:t>
      </w:r>
    </w:p>
    <w:p w14:paraId="42E2FEB6" w14:textId="41925176" w:rsidR="00CD55FD" w:rsidRDefault="00B67A24" w:rsidP="001C0FC8">
      <w:r>
        <w:fldChar w:fldCharType="end"/>
      </w:r>
    </w:p>
    <w:sectPr w:rsidR="00CD55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DB73" w14:textId="77777777" w:rsidR="00DE7AE7" w:rsidRDefault="00DE7AE7" w:rsidP="00915B63">
      <w:pPr>
        <w:spacing w:after="0" w:line="240" w:lineRule="auto"/>
      </w:pPr>
      <w:r>
        <w:separator/>
      </w:r>
    </w:p>
  </w:endnote>
  <w:endnote w:type="continuationSeparator" w:id="0">
    <w:p w14:paraId="7AD93850" w14:textId="77777777" w:rsidR="00DE7AE7" w:rsidRDefault="00DE7AE7" w:rsidP="0091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430362"/>
      <w:docPartObj>
        <w:docPartGallery w:val="Page Numbers (Bottom of Page)"/>
        <w:docPartUnique/>
      </w:docPartObj>
    </w:sdtPr>
    <w:sdtEndPr>
      <w:rPr>
        <w:noProof/>
      </w:rPr>
    </w:sdtEndPr>
    <w:sdtContent>
      <w:p w14:paraId="2A676B12" w14:textId="5F6546F9" w:rsidR="008B3DF6" w:rsidRDefault="008B3DF6">
        <w:pPr>
          <w:pStyle w:val="Footer"/>
          <w:jc w:val="center"/>
        </w:pPr>
        <w:r>
          <w:fldChar w:fldCharType="begin"/>
        </w:r>
        <w:r>
          <w:instrText xml:space="preserve"> PAGE   \* MERGEFORMAT </w:instrText>
        </w:r>
        <w:r>
          <w:fldChar w:fldCharType="separate"/>
        </w:r>
        <w:r w:rsidR="00E15FEC">
          <w:rPr>
            <w:noProof/>
          </w:rPr>
          <w:t>20</w:t>
        </w:r>
        <w:r>
          <w:rPr>
            <w:noProof/>
          </w:rPr>
          <w:fldChar w:fldCharType="end"/>
        </w:r>
      </w:p>
    </w:sdtContent>
  </w:sdt>
  <w:p w14:paraId="0C1E36F4" w14:textId="77777777" w:rsidR="008B3DF6" w:rsidRDefault="008B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85EA" w14:textId="77777777" w:rsidR="00DE7AE7" w:rsidRDefault="00DE7AE7" w:rsidP="00915B63">
      <w:pPr>
        <w:spacing w:after="0" w:line="240" w:lineRule="auto"/>
      </w:pPr>
      <w:r>
        <w:separator/>
      </w:r>
    </w:p>
  </w:footnote>
  <w:footnote w:type="continuationSeparator" w:id="0">
    <w:p w14:paraId="0A00290E" w14:textId="77777777" w:rsidR="00DE7AE7" w:rsidRDefault="00DE7AE7" w:rsidP="00915B63">
      <w:pPr>
        <w:spacing w:after="0" w:line="240" w:lineRule="auto"/>
      </w:pPr>
      <w:r>
        <w:continuationSeparator/>
      </w:r>
    </w:p>
  </w:footnote>
  <w:footnote w:id="1">
    <w:p w14:paraId="164FB9A8" w14:textId="4490C0E4" w:rsidR="00010FA4" w:rsidRDefault="00010FA4">
      <w:pPr>
        <w:pStyle w:val="FootnoteText"/>
      </w:pPr>
      <w:r>
        <w:rPr>
          <w:rStyle w:val="FootnoteReference"/>
        </w:rPr>
        <w:footnoteRef/>
      </w:r>
      <w:r>
        <w:t xml:space="preserve"> </w:t>
      </w:r>
      <w:r w:rsidRPr="00010FA4">
        <w:fldChar w:fldCharType="begin"/>
      </w:r>
      <w:r w:rsidR="00FC76FE">
        <w:instrText xml:space="preserve"> ADDIN ZOTERO_ITEM CSL_CITATION {"citationID":"kxlIORBr","properties":{"formattedCitation":"(Cf. Austin 1962; Lawlor 2013)","plainCitation":"(Cf. Austin 1962; Lawlor 2013)","noteIndex":1},"citationItems":[{"id":249,"uris":["http://zotero.org/users/5906299/items/WSC75WHT"],"uri":["http://zotero.org/users/5906299/items/WSC75WHT"],"itemData":{"id":249,"type":"book","edition":"2nd","event-place":"Oxford","publisher":"Oxford University Press","publisher-place":"Oxford","title":"How to Do Things with Words","author":[{"family":"Austin","given":"J. L."}],"editor":[{"family":"Urmson","given":"J. O."},{"family":"Sbisa","given":"M."}],"issued":{"date-parts":[["1962"]]}},"prefix":"Cf. "},{"id":108,"uris":["http://zotero.org/users/5906299/items/XHCQDXX7"],"uri":["http://zotero.org/users/5906299/items/XHCQDXX7"],"itemData":{"id":108,"type":"book","event-place":"New York","publisher":"Oxford University Press","publisher-place":"New York","title":"Assurance: An Austinian View of Knowledge and Knowledge Claims","author":[{"family":"Lawlor","given":"Krista"}],"issued":{"date-parts":[["2013"]]}}}],"schema":"https://github.com/citation-style-language/schema/raw/master/csl-citation.json"} </w:instrText>
      </w:r>
      <w:r w:rsidRPr="00010FA4">
        <w:fldChar w:fldCharType="separate"/>
      </w:r>
      <w:r w:rsidR="00FC76FE" w:rsidRPr="00FC76FE">
        <w:t>(Cf. Austin 1962; Lawlor 2013)</w:t>
      </w:r>
      <w:r w:rsidRPr="00010FA4">
        <w:fldChar w:fldCharType="end"/>
      </w:r>
    </w:p>
  </w:footnote>
  <w:footnote w:id="2">
    <w:p w14:paraId="68C8A5F1" w14:textId="4484CAC6" w:rsidR="00711C40" w:rsidRDefault="00711C40" w:rsidP="00711C40">
      <w:pPr>
        <w:pStyle w:val="FootnoteText"/>
      </w:pPr>
      <w:r>
        <w:rPr>
          <w:rStyle w:val="FootnoteReference"/>
        </w:rPr>
        <w:footnoteRef/>
      </w:r>
      <w:r>
        <w:t xml:space="preserve"> </w:t>
      </w:r>
      <w:r>
        <w:fldChar w:fldCharType="begin"/>
      </w:r>
      <w:r w:rsidR="00FC76FE">
        <w:instrText xml:space="preserve"> ADDIN ZOTERO_ITEM CSL_CITATION {"citationID":"kYNMzFhr","properties":{"formattedCitation":"(Cf. Gettier 1963; Pritchard 2005)","plainCitation":"(Cf. Gettier 1963; Pritchard 2005)","noteIndex":2},"citationItems":[{"id":1235,"uris":["http://zotero.org/users/5906299/items/7E2GSV7I"],"uri":["http://zotero.org/users/5906299/items/7E2GSV7I"],"itemData":{"id":1235,"type":"article-journal","container-title":"Analysis","DOI":"10.2307/3326922","ISSN":"00032638","issue":"6","journalAbbreviation":"Analysis","page":"121-123","title":"Is Justified True Belief Knowledge?","volume":"23","author":[{"family":"Gettier","given":"Edmund L."}],"issued":{"date-parts":[["1963"]]}},"prefix":"Cf. "},{"id":409,"uris":["http://zotero.org/users/5906299/items/SVJRDNJV"],"uri":["http://zotero.org/users/5906299/items/SVJRDNJV"],"itemData":{"id":409,"type":"book","call-number":"$$IUIOWA$$LMAIN$$1Library$$2(BD201 .P75 2005 )$$Savailable$$31$$40$$5N$$67$$XIOW50$$YMAIN$$ZLIB","event-place":"New York","publisher":"Oxford University Press","publisher-place":"New York","title":"Epistemic Luck","author":[{"family":"Pritchard","given":"Duncan"}],"issued":{"date-parts":[["2005"]]}}}],"schema":"https://github.com/citation-style-language/schema/raw/master/csl-citation.json"} </w:instrText>
      </w:r>
      <w:r>
        <w:fldChar w:fldCharType="separate"/>
      </w:r>
      <w:r w:rsidR="00FC76FE" w:rsidRPr="00FC76FE">
        <w:t>(Cf. Gettier 1963; Pritchard 2005)</w:t>
      </w:r>
      <w:r>
        <w:fldChar w:fldCharType="end"/>
      </w:r>
    </w:p>
  </w:footnote>
  <w:footnote w:id="3">
    <w:p w14:paraId="7492EE15" w14:textId="1AC3A131" w:rsidR="00711C40" w:rsidRDefault="00711C40" w:rsidP="00711C40">
      <w:pPr>
        <w:pStyle w:val="FootnoteText"/>
      </w:pPr>
      <w:r>
        <w:rPr>
          <w:rStyle w:val="FootnoteReference"/>
        </w:rPr>
        <w:footnoteRef/>
      </w:r>
      <w:r>
        <w:t xml:space="preserve"> </w:t>
      </w:r>
      <w:r>
        <w:fldChar w:fldCharType="begin"/>
      </w:r>
      <w:r w:rsidR="009A1D9F">
        <w:instrText xml:space="preserve"> ADDIN ZOTERO_ITEM CSL_CITATION {"citationID":"e0lZTcr0","properties":{"formattedCitation":"(Cf. Lewis 1996)","plainCitation":"(Cf. Lewis 1996)","noteIndex":3},"citationItems":[{"id":386,"uris":["http://zotero.org/users/5906299/items/EIDJI8XV"],"uri":["http://zotero.org/users/5906299/items/EIDJI8XV"],"itemData":{"id":386,"type":"article-journal","container-title":"Australasian Journal of Philosophy","DOI":"10.1080/00048409612347521","ISSN":"0004-8402 1471-6828","issue":"4","journalAbbreviation":"Australasian J Phil.","page":"549-567","title":"Elusive Knowledge","volume":"74","author":[{"family":"Lewis","given":"David"}],"issued":{"date-parts":[["1996"]]}},"prefix":"Cf. "}],"schema":"https://github.com/citation-style-language/schema/raw/master/csl-citation.json"} </w:instrText>
      </w:r>
      <w:r>
        <w:fldChar w:fldCharType="separate"/>
      </w:r>
      <w:r w:rsidR="009A1D9F" w:rsidRPr="009A1D9F">
        <w:t>(Cf. Lewis 1996)</w:t>
      </w:r>
      <w:r>
        <w:fldChar w:fldCharType="end"/>
      </w:r>
    </w:p>
  </w:footnote>
  <w:footnote w:id="4">
    <w:p w14:paraId="73D31E04" w14:textId="7AC17B05" w:rsidR="00D60B67" w:rsidRDefault="00D60B67">
      <w:pPr>
        <w:pStyle w:val="FootnoteText"/>
      </w:pPr>
      <w:r>
        <w:rPr>
          <w:rStyle w:val="FootnoteReference"/>
        </w:rPr>
        <w:footnoteRef/>
      </w:r>
      <w:r>
        <w:t xml:space="preserve"> Why not add: knowledge attributions are often true? Because the motivation for such a desideratum presupposes that what appear to be straightforward factual claims are typically true, and that assumption is </w:t>
      </w:r>
      <w:r w:rsidR="0078546E">
        <w:t xml:space="preserve">demonstrably </w:t>
      </w:r>
      <w:r>
        <w:t>false</w:t>
      </w:r>
      <w:r w:rsidR="0078546E">
        <w:t>, as</w:t>
      </w:r>
      <w:r>
        <w:t xml:space="preserve"> I </w:t>
      </w:r>
      <w:r w:rsidR="0078546E">
        <w:t>argue</w:t>
      </w:r>
      <w:r>
        <w:t xml:space="preserve"> in (Stoutenburg 2016).</w:t>
      </w:r>
      <w:r w:rsidR="00250920">
        <w:t xml:space="preserve"> I </w:t>
      </w:r>
      <w:r w:rsidR="00F95639">
        <w:t xml:space="preserve">would </w:t>
      </w:r>
      <w:r w:rsidR="00250920">
        <w:t xml:space="preserve">deny </w:t>
      </w:r>
      <w:r w:rsidR="00C0228F">
        <w:t xml:space="preserve">(now) </w:t>
      </w:r>
      <w:r w:rsidR="00250920">
        <w:t xml:space="preserve">even that we seem to know a lot, if that state is distinct from the state of it seeming, in many particular contexts, that a positive knowledge attribution </w:t>
      </w:r>
      <w:r w:rsidR="00300FA7">
        <w:t>is acceptable. Related concerns appear in section 4.2.</w:t>
      </w:r>
    </w:p>
    <w:p w14:paraId="7180C5B3" w14:textId="77574442" w:rsidR="000B367D" w:rsidRDefault="000B367D">
      <w:pPr>
        <w:pStyle w:val="FootnoteText"/>
      </w:pPr>
      <w:r>
        <w:t xml:space="preserve">     Separately, my strategy of arriving at a conception of knowledge by way of the functional role played by knowledge attributions is much like Nevin Climenhaga’s in this volume, which he deploys toward a similar conclusion.</w:t>
      </w:r>
    </w:p>
  </w:footnote>
  <w:footnote w:id="5">
    <w:p w14:paraId="31FA034C" w14:textId="0F465778" w:rsidR="006C419F" w:rsidRPr="005D0F46" w:rsidRDefault="006C419F">
      <w:pPr>
        <w:pStyle w:val="FootnoteText"/>
      </w:pPr>
      <w:r>
        <w:rPr>
          <w:rStyle w:val="FootnoteReference"/>
        </w:rPr>
        <w:footnoteRef/>
      </w:r>
      <w:r>
        <w:t xml:space="preserve"> That one’s be</w:t>
      </w:r>
      <w:r w:rsidR="00CE7867">
        <w:t xml:space="preserve">lief be </w:t>
      </w:r>
      <w:r w:rsidR="00CE7867" w:rsidRPr="00883665">
        <w:rPr>
          <w:i/>
          <w:iCs/>
        </w:rPr>
        <w:t>based</w:t>
      </w:r>
      <w:r w:rsidR="00CE7867">
        <w:t xml:space="preserve"> on one’s infallible justification is not necessary, at least if B’s being based on </w:t>
      </w:r>
      <w:r w:rsidR="00BC0B4C">
        <w:t>J is a</w:t>
      </w:r>
      <w:r w:rsidR="009D2E5E">
        <w:t>nything but a</w:t>
      </w:r>
      <w:r w:rsidR="007C5D42">
        <w:t xml:space="preserve"> necessary relation discernible through introspection. Otherwise, it would be possible to </w:t>
      </w:r>
      <w:r w:rsidR="00C94A2B">
        <w:t xml:space="preserve">have infallible justification for p while being unable to know if </w:t>
      </w:r>
      <w:r w:rsidR="006224E8">
        <w:t>one’s belief is justified</w:t>
      </w:r>
      <w:r w:rsidR="005D0F46">
        <w:t>.</w:t>
      </w:r>
    </w:p>
  </w:footnote>
  <w:footnote w:id="6">
    <w:p w14:paraId="02E183EB" w14:textId="46B7E71A" w:rsidR="00222A7B" w:rsidRDefault="00222A7B">
      <w:pPr>
        <w:pStyle w:val="FootnoteText"/>
      </w:pPr>
      <w:r>
        <w:rPr>
          <w:rStyle w:val="FootnoteReference"/>
        </w:rPr>
        <w:footnoteRef/>
      </w:r>
      <w:r>
        <w:t xml:space="preserve"> </w:t>
      </w:r>
      <w:r w:rsidR="006224E8">
        <w:t>This definition</w:t>
      </w:r>
      <w:r>
        <w:t xml:space="preserve"> is preferable to </w:t>
      </w:r>
      <w:r w:rsidR="006224E8">
        <w:t>one</w:t>
      </w:r>
      <w:r>
        <w:t xml:space="preserve"> </w:t>
      </w:r>
      <w:r w:rsidR="0028444E">
        <w:t xml:space="preserve">defined </w:t>
      </w:r>
      <w:r>
        <w:t xml:space="preserve">in terms of </w:t>
      </w:r>
      <w:r w:rsidR="006224E8">
        <w:t>entailment</w:t>
      </w:r>
      <w:r w:rsidR="00990FA7">
        <w:t xml:space="preserve">, which </w:t>
      </w:r>
      <w:r w:rsidR="00BC077B">
        <w:t xml:space="preserve">makes </w:t>
      </w:r>
      <w:r w:rsidR="006571E9">
        <w:t>the</w:t>
      </w:r>
      <w:r w:rsidR="00BC077B">
        <w:t xml:space="preserve"> dubious propositionalist view of evidence inevitable</w:t>
      </w:r>
      <w:r w:rsidR="007851D5">
        <w:t>, as entailment holds</w:t>
      </w:r>
      <w:r w:rsidR="006571E9">
        <w:t xml:space="preserve"> only</w:t>
      </w:r>
      <w:r w:rsidR="007851D5">
        <w:t xml:space="preserve"> between propositions</w:t>
      </w:r>
      <w:r w:rsidR="000B0E73">
        <w:t xml:space="preserve"> </w:t>
      </w:r>
      <w:r w:rsidR="000B0E73">
        <w:fldChar w:fldCharType="begin"/>
      </w:r>
      <w:r w:rsidR="00317984">
        <w:instrText xml:space="preserve"> ADDIN ZOTERO_ITEM CSL_CITATION {"citationID":"kBetpqxV","properties":{"formattedCitation":"(J. Brown 2018)","plainCitation":"(J. Brown 2018)","noteIndex":5},"citationItems":[{"id":1271,"uris":["http://zotero.org/users/5906299/items/RXZ6NWWR"],"uri":["http://zotero.org/users/5906299/items/RXZ6NWWR"],"itemData":{"id":1271,"type":"book","abstract":"This book examines the prospects for infallibilism about knowledge, according to which one can know that p only if one has evidence which guarantees or entails that p. In particular, it focuses on the possibility of a non-sceptical infallibilism which rejects any kind of shifty view of knowledge, whether contextualist, relativist, or subject-sensitive invariantist. The availability of a non-shifty non-sceptical infallibilism seems to depend on whether such a view can defend a generous enough conception of evidence to allow us to have the knowledge we ordinarily take ourselves to have. In particular, such an infallibilist needs to allow that our evidence extends well beyond how things seem to us in our experience and includes claims about the external world. Thus, the infallibilism which is the focus of this book is committed to a generous conception of evidence. More precisely, I argue that infallibilism is committed to the following claims about evidence and evidential support: if p is evidence, then p is true; and if one knows that p, then p is part of one’s evidence, and p is evidence for p. However, I argue that these claims about evidence and evidential support are problematic. Furthermore, I argue that fallibilism can overcome the most serious objections levelled at it, which concern closure, concessive knowledge attributions, practical reasoning, and the threshold problem. So, I conclude that epistemologists who aim to avoid both scepticism and a shifty view of knowledge should be fallibilists.","event-place":"Oxford","ISBN":"978-0-19-880177-1","language":"eng","note":"DOI: 10.1093/oso/9780198801771.001.0001","number-of-pages":"224","publisher":"Oxford University Press","publisher-place":"Oxford","title":"Fallibilism: Evidence and Knowledge","URL":"https://www.oxfordscholarship.com/10.1093/oso/9780198801771.001.0001/oso-9780198801771","author":[{"family":"Brown","given":"Jessica"}],"issued":{"date-parts":[["2018"]]}}}],"schema":"https://github.com/citation-style-language/schema/raw/master/csl-citation.json"} </w:instrText>
      </w:r>
      <w:r w:rsidR="000B0E73">
        <w:fldChar w:fldCharType="separate"/>
      </w:r>
      <w:r w:rsidR="00145BED" w:rsidRPr="00145BED">
        <w:rPr>
          <w:rFonts w:ascii="Calibri" w:hAnsi="Calibri" w:cs="Calibri"/>
        </w:rPr>
        <w:t>(J. Brown 2018)</w:t>
      </w:r>
      <w:r w:rsidR="000B0E73">
        <w:fldChar w:fldCharType="end"/>
      </w:r>
      <w:r w:rsidR="007851D5">
        <w:t>.</w:t>
      </w:r>
      <w:r w:rsidR="009A34B7">
        <w:t xml:space="preserve"> </w:t>
      </w:r>
      <w:r w:rsidR="005C0E87">
        <w:t xml:space="preserve">The truth-sufficiency definition is also preferable to </w:t>
      </w:r>
      <w:r w:rsidR="007F1018">
        <w:t xml:space="preserve">the 1.0 probability definition, which </w:t>
      </w:r>
      <w:r w:rsidR="009C694D">
        <w:t>does not explain</w:t>
      </w:r>
      <w:r w:rsidR="001A6FF5">
        <w:t xml:space="preserve"> why </w:t>
      </w:r>
      <w:r w:rsidR="00D86724">
        <w:t xml:space="preserve">known propositions are not </w:t>
      </w:r>
      <w:r w:rsidR="00D86724" w:rsidRPr="00D86724">
        <w:rPr>
          <w:i/>
          <w:iCs/>
        </w:rPr>
        <w:t>possibly</w:t>
      </w:r>
      <w:r w:rsidR="00D86724">
        <w:t xml:space="preserve"> false</w:t>
      </w:r>
      <w:r w:rsidR="005368DA">
        <w:t xml:space="preserve"> and </w:t>
      </w:r>
      <w:r w:rsidR="00D214B5">
        <w:t>struggles to account for</w:t>
      </w:r>
      <w:r w:rsidR="0054013A">
        <w:t xml:space="preserve"> knowledge of necessary truths</w:t>
      </w:r>
      <w:r w:rsidR="005608A1">
        <w:t xml:space="preserve">, all of which </w:t>
      </w:r>
      <w:r w:rsidR="0076741A">
        <w:t xml:space="preserve">are </w:t>
      </w:r>
      <w:r w:rsidR="003E7AED">
        <w:t>probability 1</w:t>
      </w:r>
      <w:r w:rsidR="005608A1">
        <w:t xml:space="preserve"> on any body of evidence</w:t>
      </w:r>
      <w:r w:rsidR="001A7BFA">
        <w:t xml:space="preserve"> </w:t>
      </w:r>
      <w:r w:rsidR="001A7BFA">
        <w:fldChar w:fldCharType="begin"/>
      </w:r>
      <w:r w:rsidR="00317984">
        <w:instrText xml:space="preserve"> ADDIN ZOTERO_ITEM CSL_CITATION {"citationID":"XeopStfx","properties":{"formattedCitation":"(cf. Stoutenburg 2019)","plainCitation":"(cf. Stoutenburg 2019)","noteIndex":5},"citationItems":[{"id":1272,"uris":["http://zotero.org/users/5906299/items/QE2EZ45D"],"uri":["http://zotero.org/users/5906299/items/QE2EZ45D"],"itemData":{"id":1272,"type":"chapter","container-title":"Epistemologia Analytica","page":"55-72","publisher":"Editora Fi","title":"The Limits of Antiskeptical Infallibilism","volume":"1","editor":[{"family":"Rodrigues","given":"Tiegue Vieira"}],"author":[{"family":"Stoutenburg","given":"Gregory"}],"issued":{"date-parts":[["2019"]]}},"prefix":"cf. "}],"schema":"https://github.com/citation-style-language/schema/raw/master/csl-citation.json"} </w:instrText>
      </w:r>
      <w:r w:rsidR="001A7BFA">
        <w:fldChar w:fldCharType="separate"/>
      </w:r>
      <w:r w:rsidR="00AF6C55" w:rsidRPr="00AF6C55">
        <w:rPr>
          <w:rFonts w:ascii="Calibri" w:hAnsi="Calibri" w:cs="Calibri"/>
        </w:rPr>
        <w:t>(cf. Stoutenburg 2019)</w:t>
      </w:r>
      <w:r w:rsidR="001A7BFA">
        <w:fldChar w:fldCharType="end"/>
      </w:r>
      <w:r w:rsidR="00AF6C55">
        <w:t>.</w:t>
      </w:r>
    </w:p>
  </w:footnote>
  <w:footnote w:id="7">
    <w:p w14:paraId="5311C792" w14:textId="4FDDC4EC" w:rsidR="00CD0313" w:rsidRPr="0013793C" w:rsidRDefault="00CD0313">
      <w:pPr>
        <w:pStyle w:val="FootnoteText"/>
      </w:pPr>
      <w:r>
        <w:rPr>
          <w:rStyle w:val="FootnoteReference"/>
        </w:rPr>
        <w:footnoteRef/>
      </w:r>
      <w:r>
        <w:t xml:space="preserve"> For any theory that has this property—that if it is true, one is not justified in believing that it is true</w:t>
      </w:r>
      <w:r w:rsidR="0013793C">
        <w:t xml:space="preserve">—it does not follow that the theory is </w:t>
      </w:r>
      <w:r w:rsidR="0013793C">
        <w:rPr>
          <w:i/>
          <w:iCs/>
        </w:rPr>
        <w:t>false</w:t>
      </w:r>
      <w:r w:rsidR="0013793C">
        <w:t>. But it does follow</w:t>
      </w:r>
      <w:r w:rsidR="00E7419D">
        <w:t>, by definition,</w:t>
      </w:r>
      <w:r w:rsidR="0013793C">
        <w:t xml:space="preserve"> that one should not believe whatever arguments are offered to support </w:t>
      </w:r>
      <w:r w:rsidR="00E7419D">
        <w:t>those theories, because those arguments do not justify believing</w:t>
      </w:r>
      <w:r w:rsidR="00065AB9">
        <w:t xml:space="preserve"> the theory.</w:t>
      </w:r>
    </w:p>
  </w:footnote>
  <w:footnote w:id="8">
    <w:p w14:paraId="1748A735" w14:textId="4CC75383" w:rsidR="001A5ABF" w:rsidRDefault="001A5ABF">
      <w:pPr>
        <w:pStyle w:val="FootnoteText"/>
      </w:pPr>
      <w:r>
        <w:rPr>
          <w:rStyle w:val="FootnoteReference"/>
        </w:rPr>
        <w:footnoteRef/>
      </w:r>
      <w:r>
        <w:t xml:space="preserve"> </w:t>
      </w:r>
      <w:r w:rsidR="00690F80">
        <w:t xml:space="preserve">Hofweber </w:t>
      </w:r>
      <w:r>
        <w:fldChar w:fldCharType="begin"/>
      </w:r>
      <w:r w:rsidR="00317984">
        <w:instrText xml:space="preserve"> ADDIN ZOTERO_ITEM CSL_CITATION {"citationID":"gJitf3TA","properties":{"formattedCitation":"(1999)","plainCitation":"(1999)","noteIndex":7},"citationItems":[{"id":155,"uris":["http://zotero.org/users/5906299/items/X6TFD73B"],"uri":["http://zotero.org/users/5906299/items/X6TFD73B"],"itemData":{"id":155,"type":"chapter","abstract":"The relevant alternatives approach in epistemology1 arose some years ago partly out of the hope to be able to reconcile our ordinary claims of knowledge with our inability to answer the skeptic. It was supposed to give rise to an account of knowledge according to which our ordinary claims of knowledge are true, even though the claims about our lack ofknowledge that the skeptics make in one of their more persuasive moments are also true. To know, according to such an account, is to have evidence sufficient to rule out all the relevant alternatives. In ordinary life few alternatives are relevant. For example, whether or not we are brains in a vat is not a relevant alternative that we have to be able to rule out. In the debate with the skeptic it may become relevant, and accordingly we might not know something any more then, even though we have the same evidence as in ordinary life. The skeptics cleverly make more and more alternatives relevant, and that is how they succeed. But their success in the philosophy seminar is no threat to our ordinary claims of knowledge, or so the theory goes.","container-title":"Cognition, Agency and Rationality: Proceedings of the Fifth International Colloquium on Cognitive Science","event-place":"Dordrecht","ISBN":"978-94-017-1070-1","page":"93-104","publisher":"Springer Netherlands","publisher-place":"Dordrecht","title":"Contextualism and the Meaning-Intention Problem","author":[{"family":"Hofweber","given":"Thomas"}],"editor":[{"family":"Korta","given":"Kepa"},{"family":"Sosa","given":"Ernest"},{"family":"Arrazola","given":"Xabier"}],"issued":{"date-parts":[["1999"]]}},"suppress-author":true}],"schema":"https://github.com/citation-style-language/schema/raw/master/csl-citation.json"} </w:instrText>
      </w:r>
      <w:r>
        <w:fldChar w:fldCharType="separate"/>
      </w:r>
      <w:r w:rsidR="00524A2D" w:rsidRPr="00524A2D">
        <w:t>(1999)</w:t>
      </w:r>
      <w:r>
        <w:fldChar w:fldCharType="end"/>
      </w:r>
      <w:r w:rsidR="00690F80">
        <w:t xml:space="preserve"> has argued that this kind of unawareness is </w:t>
      </w:r>
      <w:r w:rsidR="00A141CC">
        <w:t>common, so not an issue for contextualism. But this in the situations he has in mind</w:t>
      </w:r>
      <w:r w:rsidR="00330131">
        <w:t xml:space="preserve"> are ones where, when pressed, </w:t>
      </w:r>
      <w:r w:rsidR="00A141CC">
        <w:t xml:space="preserve">we easily recognize that the </w:t>
      </w:r>
      <w:r w:rsidR="006B1A36">
        <w:t>standards w</w:t>
      </w:r>
      <w:r w:rsidR="00753122">
        <w:t>e presuppose are in place, and this does not hold for knowledge attributions.</w:t>
      </w:r>
    </w:p>
    <w:p w14:paraId="776EAC65" w14:textId="24261EA3" w:rsidR="006B6075" w:rsidRDefault="006B6075">
      <w:pPr>
        <w:pStyle w:val="FootnoteText"/>
      </w:pPr>
      <w:r>
        <w:t xml:space="preserve">     </w:t>
      </w:r>
      <w:r w:rsidR="00D553A6">
        <w:t>My objection is not</w:t>
      </w:r>
      <w:r>
        <w:t xml:space="preserve"> that contextualism requires “semantic blindness” </w:t>
      </w:r>
      <w:r>
        <w:fldChar w:fldCharType="begin"/>
      </w:r>
      <w:r w:rsidR="00317984">
        <w:instrText xml:space="preserve"> ADDIN ZOTERO_ITEM CSL_CITATION {"citationID":"cR6LWNpU","properties":{"formattedCitation":"(Hawthorne 2004)","plainCitation":"(Hawthorne 2004)","noteIndex":7},"citationItems":[{"id":1199,"uris":["http://zotero.org/users/5906299/items/FNKCQPVL"],"uri":["http://zotero.org/users/5906299/items/FNKCQPVL"],"itemData":{"id":1199,"type":"book","event-place":"New York","ISBN":"0-19-926955-6","publisher":"Oxford University Press","publisher-place":"New York","title":"Knowledge and Lotteries","author":[{"family":"Hawthorne","given":"John"}],"issued":{"date-parts":[["2004"]]}}}],"schema":"https://github.com/citation-style-language/schema/raw/master/csl-citation.json"} </w:instrText>
      </w:r>
      <w:r>
        <w:fldChar w:fldCharType="separate"/>
      </w:r>
      <w:r w:rsidR="00E9236C" w:rsidRPr="00E9236C">
        <w:t>(Hawthorne 2004)</w:t>
      </w:r>
      <w:r>
        <w:fldChar w:fldCharType="end"/>
      </w:r>
      <w:r w:rsidR="00E9236C">
        <w:t xml:space="preserve">. It does, and that is a problem, but my objection is that the content-unawareness implied by contextualism </w:t>
      </w:r>
      <w:r w:rsidR="008737B2">
        <w:t xml:space="preserve">undermines the basic strategy of arguing for contextualism by </w:t>
      </w:r>
      <w:r w:rsidR="00937C8D">
        <w:t>traditional philosophical means.</w:t>
      </w:r>
    </w:p>
  </w:footnote>
  <w:footnote w:id="9">
    <w:p w14:paraId="501CE3CF" w14:textId="01C7D5E6" w:rsidR="00AA6C27" w:rsidRDefault="00AA6C27">
      <w:pPr>
        <w:pStyle w:val="FootnoteText"/>
      </w:pPr>
      <w:r>
        <w:rPr>
          <w:rStyle w:val="FootnoteReference"/>
        </w:rPr>
        <w:footnoteRef/>
      </w:r>
      <w:r>
        <w:t xml:space="preserve"> </w:t>
      </w:r>
      <w:r w:rsidR="005668A4">
        <w:t xml:space="preserve">Gerken </w:t>
      </w:r>
      <w:r w:rsidR="00AB5071">
        <w:fldChar w:fldCharType="begin"/>
      </w:r>
      <w:r w:rsidR="00317984">
        <w:instrText xml:space="preserve"> ADDIN ZOTERO_ITEM CSL_CITATION {"citationID":"cEfT8g8v","properties":{"formattedCitation":"(2017)","plainCitation":"(2017)","noteIndex":9},"citationItems":[{"id":391,"uris":["http://zotero.org/users/5906299/items/2BJJF7HK"],"uri":["http://zotero.org/users/5906299/items/2BJJF7HK"],"itemData":{"id":391,"type":"book","event-place":"New York","publisher":"Oxford University Press","publisher-place":"New York","title":"On Folk Epistemology: How we Think and Talk about Knowledge","author":[{"family":"Gerken","given":"Mikkel"}],"issued":{"date-parts":[["2017"]]}},"suppress-author":true}],"schema":"https://github.com/citation-style-language/schema/raw/master/csl-citation.json"} </w:instrText>
      </w:r>
      <w:r w:rsidR="00AB5071">
        <w:fldChar w:fldCharType="separate"/>
      </w:r>
      <w:r w:rsidR="00FB4077" w:rsidRPr="00FB4077">
        <w:t>(2017)</w:t>
      </w:r>
      <w:r w:rsidR="00AB5071">
        <w:fldChar w:fldCharType="end"/>
      </w:r>
      <w:r w:rsidR="00AA7B10">
        <w:t xml:space="preserve"> provides the most comprehensive </w:t>
      </w:r>
      <w:r w:rsidR="005668A4">
        <w:t>strict moderate invariantist</w:t>
      </w:r>
      <w:r w:rsidR="006A5352">
        <w:t xml:space="preserve"> account, and a </w:t>
      </w:r>
      <w:r w:rsidR="00397BB1">
        <w:t xml:space="preserve">large portion of </w:t>
      </w:r>
      <w:r w:rsidR="00317984">
        <w:t xml:space="preserve">his account </w:t>
      </w:r>
      <w:r w:rsidR="005668A4">
        <w:t xml:space="preserve">concerns </w:t>
      </w:r>
      <w:r w:rsidR="006A5352">
        <w:t xml:space="preserve">how attributors can </w:t>
      </w:r>
      <w:r w:rsidR="005668A4">
        <w:t>mistakenly think</w:t>
      </w:r>
      <w:r w:rsidR="006A5352">
        <w:t xml:space="preserve"> </w:t>
      </w:r>
      <w:r w:rsidR="007D7143">
        <w:t xml:space="preserve">a </w:t>
      </w:r>
      <w:r w:rsidR="00317984">
        <w:t>possibility</w:t>
      </w:r>
      <w:r w:rsidR="007D7143">
        <w:t xml:space="preserve"> </w:t>
      </w:r>
      <w:r w:rsidR="005668A4">
        <w:t>is</w:t>
      </w:r>
      <w:r w:rsidR="007D7143">
        <w:t xml:space="preserve"> relevant to knowledge when it is not</w:t>
      </w:r>
      <w:r w:rsidR="00CA6DE0">
        <w:t xml:space="preserve">. But one must wonder how, if our judgments are so unreliable, we can possibly trust them </w:t>
      </w:r>
      <w:r w:rsidR="00A3043B">
        <w:t xml:space="preserve">when they </w:t>
      </w:r>
      <w:r w:rsidR="00FB2202">
        <w:t>favor</w:t>
      </w:r>
      <w:r w:rsidR="00A3043B">
        <w:t xml:space="preserve"> a </w:t>
      </w:r>
      <w:r w:rsidR="00FB2202">
        <w:t>fallibilist view</w:t>
      </w:r>
      <w:r w:rsidR="00D77583">
        <w:t>.</w:t>
      </w:r>
    </w:p>
  </w:footnote>
  <w:footnote w:id="10">
    <w:p w14:paraId="02573BEA" w14:textId="40D57828" w:rsidR="004B6716" w:rsidRDefault="004B6716" w:rsidP="004B6716">
      <w:pPr>
        <w:pStyle w:val="FootnoteText"/>
      </w:pPr>
      <w:r>
        <w:rPr>
          <w:rStyle w:val="FootnoteReference"/>
        </w:rPr>
        <w:footnoteRef/>
      </w:r>
      <w:r>
        <w:t xml:space="preserve"> I was too sanguine when I opted for a version of a loose talk account in </w:t>
      </w:r>
      <w:r>
        <w:fldChar w:fldCharType="begin"/>
      </w:r>
      <w:r w:rsidR="00317984">
        <w:instrText xml:space="preserve"> ADDIN ZOTERO_ITEM CSL_CITATION {"citationID":"2dUXZeU8","properties":{"formattedCitation":"(2016)","plainCitation":"(2016)","noteIndex":10},"citationItems":[{"id":208,"uris":["http://zotero.org/users/5906299/items/Q6FXH5HA"],"uri":["http://zotero.org/users/5906299/items/Q6FXH5HA"],"itemData":{"id":208,"type":"article-journal","abstract":"Positions in the debate about the correct semantics of “S knows that p” are sometimes motivated in part by an appeal to interpretive charity. In particular, non-skeptical views hold that many utterances of the sentence “S knows that p” are true and some of them think the fact that their views are able to respect this is a reason why their views are more charitable than skeptical invariantism. However, little attention has been paid to why charity should be understood in this way and little effort has been spent justifying the notion that a charitable semantics is likely to be true. I distinguish two kinds of interpretive charity. One principle of charity is often appealed to in the literature. I introduce a second. I argue that while some positions better respect one principle of charity, the reverse is true of the other principle of charity. I conclude with some remarks about how to break this apparent tie.","container-title":"Acta Analytica","DOI":"10.1007/s12136-015-0267-7","ISSN":"1874-6349","issue":"2","journalAbbreviation":"Acta Analytica","page":"153-168","title":"Principles of Interpretive Charity and the Semantics of Knowledge Attributions","volume":"31","author":[{"family":"Stoutenburg","given":"Gregory"}],"issued":{"date-parts":[["2016"]]}},"suppress-author":true}],"schema":"https://github.com/citation-style-language/schema/raw/master/csl-citation.json"} </w:instrText>
      </w:r>
      <w:r>
        <w:fldChar w:fldCharType="separate"/>
      </w:r>
      <w:r w:rsidRPr="006B17CE">
        <w:t>(2016)</w:t>
      </w:r>
      <w:r>
        <w:fldChar w:fldCharType="end"/>
      </w:r>
      <w:r>
        <w:t>.</w:t>
      </w:r>
    </w:p>
  </w:footnote>
  <w:footnote w:id="11">
    <w:p w14:paraId="7029ABDE" w14:textId="77777777" w:rsidR="00DD5AA0" w:rsidRDefault="00DD5AA0" w:rsidP="00DD5AA0">
      <w:pPr>
        <w:pStyle w:val="FootnoteText"/>
      </w:pPr>
      <w:r>
        <w:rPr>
          <w:rStyle w:val="FootnoteReference"/>
        </w:rPr>
        <w:footnoteRef/>
      </w:r>
      <w:r>
        <w:t xml:space="preserve"> This is especially clear in chapters four and five of </w:t>
      </w:r>
      <w:r>
        <w:fldChar w:fldCharType="begin"/>
      </w:r>
      <w:r>
        <w:instrText xml:space="preserve"> ADDIN EN.CITE &lt;EndNote&gt;&lt;Cite AuthorYear="1"&gt;&lt;Author&gt;Unger&lt;/Author&gt;&lt;Year&gt;1975&lt;/Year&gt;&lt;RecNum&gt;625&lt;/RecNum&gt;&lt;DisplayText&gt;Unger (1975)&lt;/DisplayText&gt;&lt;record&gt;&lt;rec-number&gt;625&lt;/rec-number&gt;&lt;foreign-keys&gt;&lt;key app="EN" db-id="fdfxp9d5i5rvabetvd055ar3wafrxaz9evr2" timestamp="1421095756"&gt;625&lt;/key&gt;&lt;/foreign-keys&gt;&lt;ref-type name="Book"&gt;6&lt;/ref-type&gt;&lt;contributors&gt;&lt;authors&gt;&lt;author&gt;Unger, Peter&lt;/author&gt;&lt;/authors&gt;&lt;/contributors&gt;&lt;titles&gt;&lt;title&gt;Ignorance: A Case for Scepticism&lt;/title&gt;&lt;/titles&gt;&lt;dates&gt;&lt;year&gt;1975&lt;/year&gt;&lt;/dates&gt;&lt;pub-location&gt;New York&lt;/pub-location&gt;&lt;publisher&gt;Oxford University Press&lt;/publisher&gt;&lt;isbn&gt;0191519693&lt;/isbn&gt;&lt;urls&gt;&lt;/urls&gt;&lt;/record&gt;&lt;/Cite&gt;&lt;/EndNote&gt;</w:instrText>
      </w:r>
      <w:r>
        <w:fldChar w:fldCharType="separate"/>
      </w:r>
      <w:r>
        <w:rPr>
          <w:noProof/>
        </w:rPr>
        <w:t>Unger (1975)</w:t>
      </w:r>
      <w:r>
        <w:fldChar w:fldCharType="end"/>
      </w:r>
      <w:r>
        <w:t xml:space="preserve">. Also see </w:t>
      </w:r>
      <w:r>
        <w:fldChar w:fldCharType="begin"/>
      </w:r>
      <w:r>
        <w:instrText xml:space="preserve"> ADDIN EN.CITE &lt;EndNote&gt;&lt;Cite AuthorYear="1"&gt;&lt;Author&gt;Stoutenburg&lt;/Author&gt;&lt;Year&gt;2017&lt;/Year&gt;&lt;RecNum&gt;1747&lt;/RecNum&gt;&lt;DisplayText&gt;Stoutenburg (2017b)&lt;/DisplayText&gt;&lt;record&gt;&lt;rec-number&gt;1747&lt;/rec-number&gt;&lt;foreign-keys&gt;&lt;key app="EN" db-id="fdfxp9d5i5rvabetvd055ar3wafrxaz9evr2" timestamp="1499869541"&gt;1747&lt;/key&gt;&lt;/foreign-keys&gt;&lt;ref-type name="Journal Article"&gt;17&lt;/ref-type&gt;&lt;contributors&gt;&lt;authors&gt;&lt;author&gt;Stoutenburg, Gregory&lt;/author&gt;&lt;/authors&gt;&lt;/contributors&gt;&lt;titles&gt;&lt;title&gt;Unger&amp;apos;s Argument from Absolute Terms&lt;/title&gt;&lt;secondary-title&gt;Philosophical Papers&lt;/secondary-title&gt;&lt;/titles&gt;&lt;periodical&gt;&lt;full-title&gt;Philosophical Papers&lt;/full-title&gt;&lt;abbr-1&gt;Phil. Papers&lt;/abbr-1&gt;&lt;abbr-2&gt;Phil Papers&lt;/abbr-2&gt;&lt;/periodical&gt;&lt;pages&gt;1-19&lt;/pages&gt;&lt;dates&gt;&lt;year&gt;2017&lt;/year&gt;&lt;/dates&gt;&lt;urls&gt;&lt;/urls&gt;&lt;electronic-resource-num&gt;10.1080/05568641.2017.1386463&lt;/electronic-resource-num&gt;&lt;/record&gt;&lt;/Cite&gt;&lt;/EndNote&gt;</w:instrText>
      </w:r>
      <w:r>
        <w:fldChar w:fldCharType="separate"/>
      </w:r>
      <w:r>
        <w:rPr>
          <w:noProof/>
        </w:rPr>
        <w:t>Stoutenburg (2017b)</w:t>
      </w:r>
      <w:r>
        <w:fldChar w:fldCharType="end"/>
      </w:r>
      <w:r>
        <w:t>.</w:t>
      </w:r>
    </w:p>
  </w:footnote>
  <w:footnote w:id="12">
    <w:p w14:paraId="78CC14FD" w14:textId="5C484408" w:rsidR="004149AF" w:rsidRDefault="004149AF">
      <w:pPr>
        <w:pStyle w:val="FootnoteText"/>
      </w:pPr>
      <w:r>
        <w:rPr>
          <w:rStyle w:val="FootnoteReference"/>
        </w:rPr>
        <w:footnoteRef/>
      </w:r>
      <w:r>
        <w:t xml:space="preserve"> Indeed, showing the opposite was among Unger’s goals in </w:t>
      </w:r>
      <w:r w:rsidRPr="001D687B">
        <w:rPr>
          <w:u w:val="single"/>
        </w:rPr>
        <w:t>Ignorance</w:t>
      </w:r>
      <w:r>
        <w:t xml:space="preserve">: he proposed that it is always wrong to assert </w:t>
      </w:r>
      <w:r>
        <w:rPr>
          <w:i/>
        </w:rPr>
        <w:t>anything</w:t>
      </w:r>
      <w:r>
        <w:t>.</w:t>
      </w:r>
    </w:p>
  </w:footnote>
  <w:footnote w:id="13">
    <w:p w14:paraId="41BAB6F8" w14:textId="29778168" w:rsidR="002729FD" w:rsidRDefault="002729FD" w:rsidP="002729FD">
      <w:pPr>
        <w:pStyle w:val="FootnoteText"/>
      </w:pPr>
      <w:r>
        <w:rPr>
          <w:rStyle w:val="FootnoteReference"/>
        </w:rPr>
        <w:footnoteRef/>
      </w:r>
      <w:r>
        <w:t xml:space="preserve"> Davis spells out the details of his loose talk account on pp. 410-412 of his </w:t>
      </w:r>
      <w:r>
        <w:fldChar w:fldCharType="begin"/>
      </w:r>
      <w:r>
        <w:instrText xml:space="preserve"> ADDIN EN.CITE &lt;EndNote&gt;&lt;Cite ExcludeAuth="1"&gt;&lt;Author&gt;Davis&lt;/Author&gt;&lt;Year&gt;2007&lt;/Year&gt;&lt;RecNum&gt;342&lt;/RecNum&gt;&lt;DisplayText&gt;(2007)&lt;/DisplayText&gt;&lt;record&gt;&lt;rec-number&gt;342&lt;/rec-number&gt;&lt;foreign-keys&gt;&lt;key app="EN" db-id="fdfxp9d5i5rvabetvd055ar3wafrxaz9evr2" timestamp="1416847582"&gt;342&lt;/key&gt;&lt;key app="ENWeb" db-id=""&gt;0&lt;/key&gt;&lt;/foreign-keys&gt;&lt;ref-type name="Journal Article"&gt;17&lt;/ref-type&gt;&lt;contributors&gt;&lt;authors&gt;&lt;author&gt;Davis, Wayne A.&lt;/author&gt;&lt;/authors&gt;&lt;/contributors&gt;&lt;titles&gt;&lt;title&gt;Knowledge Claims and Context: Loose Use&lt;/title&gt;&lt;secondary-title&gt;Philosophical Studies&lt;/secondary-title&gt;&lt;/titles&gt;&lt;periodical&gt;&lt;full-title&gt;Philosophical Studies&lt;/full-title&gt;&lt;abbr-1&gt;Phil. Stud&lt;/abbr-1&gt;&lt;abbr-2&gt;Phil Stud&lt;/abbr-2&gt;&lt;/periodical&gt;&lt;pages&gt;395-438&lt;/pages&gt;&lt;volume&gt;132&lt;/volume&gt;&lt;number&gt;3&lt;/number&gt;&lt;dates&gt;&lt;year&gt;2007&lt;/year&gt;&lt;/dates&gt;&lt;isbn&gt;0031-8116&amp;#xD;1573-0883&lt;/isbn&gt;&lt;urls&gt;&lt;/urls&gt;&lt;electronic-resource-num&gt;10.1007/s11098-006-9035-2&lt;/electronic-resource-num&gt;&lt;/record&gt;&lt;/Cite&gt;&lt;/EndNote&gt;</w:instrText>
      </w:r>
      <w:r>
        <w:fldChar w:fldCharType="separate"/>
      </w:r>
      <w:r>
        <w:rPr>
          <w:noProof/>
        </w:rPr>
        <w:t>(2007)</w:t>
      </w:r>
      <w:r>
        <w:fldChar w:fldCharType="end"/>
      </w:r>
      <w:r>
        <w:t xml:space="preserve">. </w:t>
      </w:r>
      <w:r w:rsidR="001C2E33">
        <w:t xml:space="preserve">I said </w:t>
      </w:r>
      <w:r w:rsidR="00764E09">
        <w:t>Davis requires that</w:t>
      </w:r>
      <w:r>
        <w:t xml:space="preserve"> “A believes that the content of U is close to the content of P.” Davis’s examples consistently involve speakers who are </w:t>
      </w:r>
      <w:r w:rsidRPr="00B24123">
        <w:t>fully</w:t>
      </w:r>
      <w:r>
        <w:t xml:space="preserve"> aware that they speak falsely while intending to communicate something else.</w:t>
      </w:r>
    </w:p>
  </w:footnote>
  <w:footnote w:id="14">
    <w:p w14:paraId="0D128C43" w14:textId="7EB64C62" w:rsidR="008C404F" w:rsidRDefault="008C404F">
      <w:pPr>
        <w:pStyle w:val="FootnoteText"/>
      </w:pPr>
      <w:r>
        <w:rPr>
          <w:rStyle w:val="FootnoteReference"/>
        </w:rPr>
        <w:footnoteRef/>
      </w:r>
      <w:r>
        <w:t xml:space="preserve"> Kyriacou (forthcoming) argues that an externalist view of meaning is compatible with speakers being unaware of the content expressed by “knows”. Importantly, in describing how an externalist theory of meaning affects the pragmatics of knowledge attributions, Kyriacou consistently attributes to speakers the intention to assert a claim about what properties are </w:t>
      </w:r>
      <w:r>
        <w:rPr>
          <w:i/>
          <w:iCs/>
        </w:rPr>
        <w:t xml:space="preserve">approximated </w:t>
      </w:r>
      <w:r>
        <w:t>by some entity or state of affairs (cf. pp. 11-16). So, I think it is most natural to characterize Kyriacou’s view as a non-standard version of the loose talk theory.</w:t>
      </w:r>
    </w:p>
  </w:footnote>
  <w:footnote w:id="15">
    <w:p w14:paraId="1F649941" w14:textId="362277F0" w:rsidR="002729FD" w:rsidRDefault="002729FD" w:rsidP="002729FD">
      <w:pPr>
        <w:pStyle w:val="FootnoteText"/>
      </w:pPr>
      <w:r>
        <w:rPr>
          <w:rStyle w:val="FootnoteReference"/>
        </w:rPr>
        <w:footnoteRef/>
      </w:r>
      <w:r>
        <w:t xml:space="preserve"> Butchvarov (1970) was published before Grice’s “Logic and Conversation”, before any of Unger’s work on skepticism, and before philosophers gave serious attention to pragmatics. His contributions to issues surrounding our topic deserve far more recognition than they receive from contemporary epistemologists. Schaffer’s paper does not cite Butchvarov, despite offering basically the same account.</w:t>
      </w:r>
    </w:p>
  </w:footnote>
  <w:footnote w:id="16">
    <w:p w14:paraId="71581213" w14:textId="77777777" w:rsidR="002729FD" w:rsidRPr="001E1EA6" w:rsidRDefault="002729FD" w:rsidP="002729FD">
      <w:pPr>
        <w:pStyle w:val="FootnoteText"/>
      </w:pPr>
      <w:r>
        <w:rPr>
          <w:rStyle w:val="FootnoteReference"/>
        </w:rPr>
        <w:footnoteRef/>
      </w:r>
      <w:r>
        <w:t xml:space="preserve"> The example is from </w:t>
      </w:r>
      <w:r>
        <w:fldChar w:fldCharType="begin"/>
      </w:r>
      <w:r>
        <w:instrText xml:space="preserve"> ADDIN EN.CITE &lt;EndNote&gt;&lt;Cite AuthorYear="1"&gt;&lt;Author&gt;Hawthorne&lt;/Author&gt;&lt;Year&gt;2004&lt;/Year&gt;&lt;RecNum&gt;620&lt;/RecNum&gt;&lt;Suffix&gt;`, p. 120&lt;/Suffix&gt;&lt;DisplayText&gt;Hawthorne (2004, p. 120)&lt;/DisplayText&gt;&lt;record&gt;&lt;rec-number&gt;620&lt;/rec-number&gt;&lt;foreign-keys&gt;&lt;key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Press&lt;/publisher&gt;&lt;isbn&gt;0199269556&lt;/isbn&gt;&lt;urls&gt;&lt;/urls&gt;&lt;/record&gt;&lt;/Cite&gt;&lt;/EndNote&gt;</w:instrText>
      </w:r>
      <w:r>
        <w:fldChar w:fldCharType="separate"/>
      </w:r>
      <w:r>
        <w:rPr>
          <w:noProof/>
        </w:rPr>
        <w:t>Hawthorne (2004, p. 120)</w:t>
      </w:r>
      <w:r>
        <w:fldChar w:fldCharType="end"/>
      </w:r>
      <w:r>
        <w:t xml:space="preserve">. </w:t>
      </w:r>
    </w:p>
  </w:footnote>
  <w:footnote w:id="17">
    <w:p w14:paraId="5ABA5D55" w14:textId="77777777" w:rsidR="002729FD" w:rsidRDefault="002729FD" w:rsidP="002729FD">
      <w:pPr>
        <w:pStyle w:val="FootnoteText"/>
      </w:pPr>
      <w:r>
        <w:rPr>
          <w:rStyle w:val="FootnoteReference"/>
        </w:rPr>
        <w:footnoteRef/>
      </w:r>
      <w:r>
        <w:t xml:space="preserve"> It is widely assumed in the literature that implicatures are calculated only when the hearer takes a speaker to have flouted a maxim at the level of what is said. For a challenge to this view, see </w:t>
      </w:r>
      <w:r>
        <w:fldChar w:fldCharType="begin"/>
      </w:r>
      <w:r>
        <w:instrText xml:space="preserve"> ADDIN EN.CITE &lt;EndNote&gt;&lt;Cite&gt;&lt;Author&gt;Dinges&lt;/Author&gt;&lt;Year&gt;2015&lt;/Year&gt;&lt;RecNum&gt;1704&lt;/RecNum&gt;&lt;DisplayText&gt;(Dinges 2015)&lt;/DisplayText&gt;&lt;record&gt;&lt;rec-number&gt;1704&lt;/rec-number&gt;&lt;foreign-keys&gt;&lt;key app="EN" db-id="fdfxp9d5i5rvabetvd055ar3wafrxaz9evr2" timestamp="1479149779"&gt;1704&lt;/key&gt;&lt;/foreign-keys&gt;&lt;ref-type name="Journal Article"&gt;17&lt;/ref-type&gt;&lt;contributors&gt;&lt;authors&gt;&lt;author&gt;Dinges, Alexander&lt;/author&gt;&lt;/authors&gt;&lt;/contributors&gt;&lt;titles&gt;&lt;title&gt;Innocent Implicatures&lt;/title&gt;&lt;secondary-title&gt;Journal of Pragmatics&lt;/secondary-title&gt;&lt;/titles&gt;&lt;periodical&gt;&lt;full-title&gt;Journal of Pragmatics&lt;/full-title&gt;&lt;abbr-1&gt;J Prag.&lt;/abbr-1&gt;&lt;abbr-2&gt;J Prag&lt;/abbr-2&gt;&lt;/periodical&gt;&lt;pages&gt;54-63&lt;/pages&gt;&lt;volume&gt;87&lt;/volume&gt;&lt;dates&gt;&lt;year&gt;2015&lt;/year&gt;&lt;/dates&gt;&lt;urls&gt;&lt;/urls&gt;&lt;/record&gt;&lt;/Cite&gt;&lt;/EndNote&gt;</w:instrText>
      </w:r>
      <w:r>
        <w:fldChar w:fldCharType="separate"/>
      </w:r>
      <w:r>
        <w:rPr>
          <w:noProof/>
        </w:rPr>
        <w:t>(Dinges 2015)</w:t>
      </w:r>
      <w:r>
        <w:fldChar w:fldCharType="end"/>
      </w:r>
      <w:r>
        <w:t>.</w:t>
      </w:r>
    </w:p>
  </w:footnote>
  <w:footnote w:id="18">
    <w:p w14:paraId="0B17F74D" w14:textId="414696DA" w:rsidR="002729FD" w:rsidRDefault="002729FD" w:rsidP="002729FD">
      <w:pPr>
        <w:pStyle w:val="FootnoteText"/>
      </w:pPr>
      <w:r>
        <w:rPr>
          <w:rStyle w:val="FootnoteReference"/>
        </w:rPr>
        <w:footnoteRef/>
      </w:r>
      <w:r>
        <w:t xml:space="preserve"> The Conditionalist could claim semantic blindness. See </w:t>
      </w:r>
      <w:r>
        <w:fldChar w:fldCharType="begin"/>
      </w:r>
      <w:r>
        <w:instrText xml:space="preserve"> ADDIN EN.CITE &lt;EndNote&gt;&lt;Cite AuthorYear="1"&gt;&lt;Author&gt;Schiffer&lt;/Author&gt;&lt;Year&gt;1996&lt;/Year&gt;&lt;RecNum&gt;623&lt;/RecNum&gt;&lt;DisplayText&gt;Schiffer (1996)&lt;/DisplayText&gt;&lt;record&gt;&lt;rec-number&gt;623&lt;/rec-number&gt;&lt;foreign-keys&gt;&lt;key app="EN" db-id="fdfxp9d5i5rvabetvd055ar3wafrxaz9evr2" timestamp="1421095696"&gt;623&lt;/key&gt;&lt;/foreign-keys&gt;&lt;ref-type name="Journal Article"&gt;17&lt;/ref-type&gt;&lt;contributors&gt;&lt;authors&gt;&lt;author&gt;Schiffer, Stephen&lt;/author&gt;&lt;/authors&gt;&lt;/contributors&gt;&lt;titles&gt;&lt;title&gt;Contextualist Solutions to Scepticism&lt;/title&gt;&lt;secondary-title&gt;Proceedings of the Aristotelian Society&lt;/secondary-title&gt;&lt;tertiary-title&gt;New Series&lt;/tertiary-title&gt;&lt;/titles&gt;&lt;periodical&gt;&lt;full-title&gt;Proceedings of the Aristotelian Society&lt;/full-title&gt;&lt;abbr-1&gt;Proc. Aris. Soc&lt;/abbr-1&gt;&lt;abbr-2&gt;Proc Aris Soc&lt;/abbr-2&gt;&lt;/periodical&gt;&lt;pages&gt;317-333&lt;/pages&gt;&lt;volume&gt;96&lt;/volume&gt;&lt;dates&gt;&lt;year&gt;1996&lt;/year&gt;&lt;/dates&gt;&lt;publisher&gt;Wiley on behalf of The Aristotelian Society&lt;/publisher&gt;&lt;isbn&gt;00667374&lt;/isbn&gt;&lt;urls&gt;&lt;related-urls&gt;&lt;url&gt;http://www.jstor.org/stable/4545242&lt;/url&gt;&lt;/related-urls&gt;&lt;/urls&gt;&lt;electronic-resource-num&gt;10.2307/4545242&lt;/electronic-resource-num&gt;&lt;/record&gt;&lt;/Cite&gt;&lt;/EndNote&gt;</w:instrText>
      </w:r>
      <w:r>
        <w:fldChar w:fldCharType="separate"/>
      </w:r>
      <w:r>
        <w:rPr>
          <w:noProof/>
        </w:rPr>
        <w:t>Schiffer (1996)</w:t>
      </w:r>
      <w:r>
        <w:fldChar w:fldCharType="end"/>
      </w:r>
      <w:r>
        <w:t xml:space="preserve">. The Disguised Conditionals theory is probably committed to the existence of unarticulated constituents that are contextually determined </w:t>
      </w:r>
      <w:r>
        <w:fldChar w:fldCharType="begin"/>
      </w:r>
      <w:r>
        <w:instrText xml:space="preserve"> ADDIN EN.CITE &lt;EndNote&gt;&lt;Cite&gt;&lt;Author&gt;Hofweber&lt;/Author&gt;&lt;Year&gt;1999&lt;/Year&gt;&lt;RecNum&gt;1742&lt;/RecNum&gt;&lt;DisplayText&gt;(Hofweber 1999)&lt;/DisplayText&gt;&lt;record&gt;&lt;rec-number&gt;1742&lt;/rec-number&gt;&lt;foreign-keys&gt;&lt;key app="EN" db-id="fdfxp9d5i5rvabetvd055ar3wafrxaz9evr2" timestamp="1499268502"&gt;1742&lt;/key&gt;&lt;/foreign-keys&gt;&lt;ref-type name="Book Section"&gt;5&lt;/ref-type&gt;&lt;contributors&gt;&lt;authors&gt;&lt;author&gt;Hofweber, Thomas&lt;/author&gt;&lt;/authors&gt;&lt;secondary-authors&gt;&lt;author&gt;Korta, Kepa&lt;/author&gt;&lt;author&gt;Sosa, Ernest&lt;/author&gt;&lt;author&gt;Arrazola, Xabier&lt;/author&gt;&lt;/secondary-authors&gt;&lt;/contributors&gt;&lt;titles&gt;&lt;title&gt;Contextualism and the Meaning-Intention Problem&lt;/title&gt;&lt;secondary-title&gt;Cognition, Agency and Rationality: Proceedings of the Fifth International Colloquium on Cognitive Science&lt;/secondary-title&gt;&lt;/titles&gt;&lt;pages&gt;93-104&lt;/pages&gt;&lt;dates&gt;&lt;year&gt;1999&lt;/year&gt;&lt;/dates&gt;&lt;pub-location&gt;Dordrecht&lt;/pub-location&gt;&lt;publisher&gt;Springer Netherlands&lt;/publisher&gt;&lt;isbn&gt;978-94-017-1070-1&lt;/isbn&gt;&lt;label&gt;Hofweber1999&lt;/label&gt;&lt;urls&gt;&lt;related-urls&gt;&lt;url&gt;http://dx.doi.org/10.1007/978-94-017-1070-1_6&lt;/url&gt;&lt;/related-urls&gt;&lt;/urls&gt;&lt;electronic-resource-num&gt;10.1007/978-94-017-1070-1_6&lt;/electronic-resource-num&gt;&lt;/record&gt;&lt;/Cite&gt;&lt;/EndNote&gt;</w:instrText>
      </w:r>
      <w:r>
        <w:fldChar w:fldCharType="separate"/>
      </w:r>
      <w:r>
        <w:rPr>
          <w:noProof/>
        </w:rPr>
        <w:t>(Hofweber 1999)</w:t>
      </w:r>
      <w:r>
        <w:fldChar w:fldCharType="end"/>
      </w:r>
      <w:r>
        <w:t>. If so, then the Disguised Conditionals view is perhaps an unusual version of contextualism. It depends</w:t>
      </w:r>
      <w:r w:rsidR="00403243">
        <w:t xml:space="preserve"> </w:t>
      </w:r>
      <w:r>
        <w:t>on how “undetectably deceived” is analyzed.</w:t>
      </w:r>
    </w:p>
    <w:p w14:paraId="3176EDCF" w14:textId="77777777" w:rsidR="002729FD" w:rsidRDefault="002729FD" w:rsidP="002729FD">
      <w:pPr>
        <w:pStyle w:val="FootnoteText"/>
      </w:pPr>
      <w:r>
        <w:t xml:space="preserve">     See Dinges </w:t>
      </w:r>
      <w:r>
        <w:fldChar w:fldCharType="begin"/>
      </w:r>
      <w:r>
        <w:instrText xml:space="preserve"> ADDIN EN.CITE &lt;EndNote&gt;&lt;Cite ExcludeAuth="1"&gt;&lt;Author&gt;Dinges&lt;/Author&gt;&lt;Year&gt;2016&lt;/Year&gt;&lt;RecNum&gt;1675&lt;/RecNum&gt;&lt;Suffix&gt;`, pp. 2580-2581&lt;/Suffix&gt;&lt;DisplayText&gt;(2016, pp. 2580-2581)&lt;/DisplayText&gt;&lt;record&gt;&lt;rec-number&gt;1675&lt;/rec-number&gt;&lt;foreign-keys&gt;&lt;key app="EN" db-id="fdfxp9d5i5rvabetvd055ar3wafrxaz9evr2" timestamp="1472665256"&gt;1675&lt;/key&gt;&lt;/foreign-keys&gt;&lt;ref-type name="Journal Article"&gt;17&lt;/ref-type&gt;&lt;contributors&gt;&lt;authors&gt;&lt;author&gt;Dinges, Alexander&lt;/author&gt;&lt;/authors&gt;&lt;/contributors&gt;&lt;titles&gt;&lt;title&gt;Skeptical Pragmatic Invariantism: Good, but Not Good Enough&lt;/title&gt;&lt;secondary-title&gt;Synthese&lt;/secondary-title&gt;&lt;/titles&gt;&lt;periodical&gt;&lt;full-title&gt;Synthese&lt;/full-title&gt;&lt;abbr-1&gt;Synthese&lt;/abbr-1&gt;&lt;abbr-2&gt;Synthese&lt;/abbr-2&gt;&lt;/periodical&gt;&lt;pages&gt;2577-2593&lt;/pages&gt;&lt;volume&gt;193&lt;/volume&gt;&lt;number&gt;8&lt;/number&gt;&lt;dates&gt;&lt;year&gt;2016&lt;/year&gt;&lt;/dates&gt;&lt;isbn&gt;1573-0964&lt;/isbn&gt;&lt;label&gt;Dinges2016&lt;/label&gt;&lt;work-type&gt;journal article&lt;/work-type&gt;&lt;urls&gt;&lt;related-urls&gt;&lt;url&gt;http://dx.doi.org/10.1007/s11229-015-0867-1&lt;/url&gt;&lt;/related-urls&gt;&lt;/urls&gt;&lt;electronic-resource-num&gt;10.1007/s11229-015-0867-1&lt;/electronic-resource-num&gt;&lt;/record&gt;&lt;/Cite&gt;&lt;/EndNote&gt;</w:instrText>
      </w:r>
      <w:r>
        <w:fldChar w:fldCharType="separate"/>
      </w:r>
      <w:r>
        <w:rPr>
          <w:noProof/>
        </w:rPr>
        <w:t>(2016, pp. 2580-2581)</w:t>
      </w:r>
      <w:r>
        <w:fldChar w:fldCharType="end"/>
      </w:r>
      <w:r>
        <w:t xml:space="preserve"> for criticism of another version of a Conditionals view. </w:t>
      </w:r>
    </w:p>
  </w:footnote>
  <w:footnote w:id="19">
    <w:p w14:paraId="0F70A109" w14:textId="64DC5979" w:rsidR="00556112" w:rsidRDefault="00556112" w:rsidP="00556112">
      <w:pPr>
        <w:pStyle w:val="FootnoteText"/>
      </w:pPr>
      <w:r>
        <w:rPr>
          <w:rStyle w:val="FootnoteReference"/>
        </w:rPr>
        <w:footnoteRef/>
      </w:r>
      <w:r>
        <w:t xml:space="preserve"> Another </w:t>
      </w:r>
      <w:r w:rsidR="0059130A">
        <w:t xml:space="preserve">important proposal, but which I lack space to discuss, is proposed in Chung (2017). </w:t>
      </w:r>
      <w:r>
        <w:t xml:space="preserve">Chung calls her view “epistemic fictionalism”, which she defines as follows: “[E]xpressions within the relevant region of discourse—namely, knowledge-discourse—are generally used to assert (or otherwise illocute) some propositional content distinct from (and instead of) their semantic contents” </w:t>
      </w:r>
      <w:r>
        <w:fldChar w:fldCharType="begin"/>
      </w:r>
      <w:r>
        <w:instrText xml:space="preserve"> ADDIN EN.CITE &lt;EndNote&gt;&lt;Cite&gt;&lt;Author&gt;Chung&lt;/Author&gt;&lt;Year&gt;2017&lt;/Year&gt;&lt;RecNum&gt;1750&lt;/RecNum&gt;&lt;Suffix&gt;`, p. 9&lt;/Suffix&gt;&lt;DisplayText&gt;(Chung 2017, p. 9)&lt;/DisplayText&gt;&lt;record&gt;&lt;rec-number&gt;1750&lt;/rec-number&gt;&lt;foreign-keys&gt;&lt;key app="EN" db-id="fdfxp9d5i5rvabetvd055ar3wafrxaz9evr2" timestamp="1500474213"&gt;1750&lt;/key&gt;&lt;/foreign-keys&gt;&lt;ref-type name="Journal Article"&gt;17&lt;/ref-type&gt;&lt;contributors&gt;&lt;authors&gt;&lt;author&gt;Chung, Julianne&lt;/author&gt;&lt;/authors&gt;&lt;/contributors&gt;&lt;titles&gt;&lt;title&gt;Could Knowledge-Talk be Largely Non-Literal?&lt;/title&gt;&lt;secondary-title&gt;Episteme&lt;/secondary-title&gt;&lt;/titles&gt;&lt;periodical&gt;&lt;full-title&gt;Episteme&lt;/full-title&gt;&lt;abbr-1&gt;Episteme&lt;/abbr-1&gt;&lt;abbr-2&gt;Episteme&lt;/abbr-2&gt;&lt;/periodical&gt;&lt;pages&gt;1-29&lt;/pages&gt;&lt;edition&gt;05/29&lt;/edition&gt;&lt;dates&gt;&lt;year&gt;2017&lt;/year&gt;&lt;/dates&gt;&lt;publisher&gt;Cambridge University Press&lt;/publisher&gt;&lt;isbn&gt;1742-3600&lt;/isbn&gt;&lt;urls&gt;&lt;related-urls&gt;&lt;url&gt;https://www.cambridge.org/core/article/could-knowledgetalk-be-largely-nonliteral/69C339C2E6AE8733B2607055380C8AF4&lt;/url&gt;&lt;/related-urls&gt;&lt;/urls&gt;&lt;electronic-resource-num&gt;10.1017/epi.2017.7&lt;/electronic-resource-num&gt;&lt;remote-database-name&gt;Cambridge Core&lt;/remote-database-name&gt;&lt;remote-database-provider&gt;Cambridge University Press&lt;/remote-database-provider&gt;&lt;/record&gt;&lt;/Cite&gt;&lt;/EndNote&gt;</w:instrText>
      </w:r>
      <w:r>
        <w:fldChar w:fldCharType="separate"/>
      </w:r>
      <w:r>
        <w:rPr>
          <w:noProof/>
        </w:rPr>
        <w:t>(Chung 2017, p. 9)</w:t>
      </w:r>
      <w:r>
        <w:fldChar w:fldCharType="end"/>
      </w:r>
      <w:r>
        <w:t>.</w:t>
      </w:r>
      <w:r w:rsidR="0059130A">
        <w:t xml:space="preserve"> Chung proposes that knowledge talk is </w:t>
      </w:r>
      <w:r w:rsidR="00DC7579">
        <w:t xml:space="preserve">metaphorical. </w:t>
      </w:r>
      <w:r w:rsidR="00704485">
        <w:t xml:space="preserve">This view is also open to the objection that speakers at least typically take themselves to be sincere when they </w:t>
      </w:r>
      <w:r w:rsidR="00C6764B">
        <w:t>attribute knowledge</w:t>
      </w:r>
      <w:r w:rsidR="00704485">
        <w:t xml:space="preserve">, which is incompatible with </w:t>
      </w:r>
      <w:r w:rsidR="00EF1FB6">
        <w:t xml:space="preserve">conceiving of knowledge attributions as </w:t>
      </w:r>
      <w:r w:rsidR="00C15258">
        <w:t>metaphorical</w:t>
      </w:r>
      <w:r w:rsidR="00EF1FB6">
        <w:t>.</w:t>
      </w:r>
    </w:p>
  </w:footnote>
  <w:footnote w:id="20">
    <w:p w14:paraId="4313F356" w14:textId="44B47DDE" w:rsidR="002729FD" w:rsidRDefault="002729FD" w:rsidP="002729FD">
      <w:pPr>
        <w:pStyle w:val="FootnoteText"/>
      </w:pPr>
      <w:r>
        <w:rPr>
          <w:rStyle w:val="FootnoteReference"/>
        </w:rPr>
        <w:footnoteRef/>
      </w:r>
      <w:r>
        <w:t xml:space="preserve"> </w:t>
      </w:r>
      <w:r w:rsidR="00144289">
        <w:t>I am following the</w:t>
      </w:r>
      <w:r>
        <w:t xml:space="preserve"> standard interpretation of Grice</w:t>
      </w:r>
      <w:r w:rsidR="00144289">
        <w:t xml:space="preserve">, which </w:t>
      </w:r>
      <w:r>
        <w:t>holds that implicatures arise when maxims are violated at the level of what is said</w:t>
      </w:r>
      <w:r w:rsidR="00144289">
        <w:t xml:space="preserve"> </w:t>
      </w:r>
      <w:r>
        <w:t xml:space="preserve">(cf. 1975 p. 31). </w:t>
      </w:r>
      <w:r w:rsidR="00144289">
        <w:t xml:space="preserve">See Dinges </w:t>
      </w:r>
      <w:r w:rsidR="00144289">
        <w:fldChar w:fldCharType="begin"/>
      </w:r>
      <w:r w:rsidR="00317984">
        <w:instrText xml:space="preserve"> ADDIN ZOTERO_ITEM CSL_CITATION {"citationID":"x5ZZC9zA","properties":{"formattedCitation":"(2015)","plainCitation":"(2015)","noteIndex":20},"citationItems":[{"id":244,"uris":["http://zotero.org/users/5906299/items/4ABYG49M"],"uri":["http://zotero.org/users/5906299/items/4ABYG49M"],"itemData":{"id":244,"type":"article-journal","container-title":"Journal of Pragmatics","journalAbbreviation":"J Prag.","page":"54-63","title":"Innocent Implicatures","volume":"87","author":[{"family":"Dinges","given":"Alexander"}],"issued":{"date-parts":[["2015"]]}},"suppress-author":true}],"schema":"https://github.com/citation-style-language/schema/raw/master/csl-citation.json"} </w:instrText>
      </w:r>
      <w:r w:rsidR="00144289">
        <w:fldChar w:fldCharType="separate"/>
      </w:r>
      <w:r w:rsidR="00B14167" w:rsidRPr="00B14167">
        <w:t>(2015)</w:t>
      </w:r>
      <w:r w:rsidR="00144289">
        <w:fldChar w:fldCharType="end"/>
      </w:r>
      <w:r w:rsidR="00144289">
        <w:t xml:space="preserve"> for</w:t>
      </w:r>
      <w:r>
        <w:t xml:space="preserve"> </w:t>
      </w:r>
      <w:r w:rsidR="00144289">
        <w:t xml:space="preserve">a </w:t>
      </w:r>
      <w:r>
        <w:t xml:space="preserve">critique of </w:t>
      </w:r>
      <w:r w:rsidR="00144289">
        <w:t>the standard interpretation</w:t>
      </w:r>
      <w:r>
        <w:t>.</w:t>
      </w:r>
    </w:p>
  </w:footnote>
  <w:footnote w:id="21">
    <w:p w14:paraId="6F6B0E7E" w14:textId="09FE0B64" w:rsidR="002729FD" w:rsidRPr="00A825AB" w:rsidRDefault="002729FD" w:rsidP="002729FD">
      <w:pPr>
        <w:pStyle w:val="FootnoteText"/>
      </w:pPr>
      <w:r>
        <w:rPr>
          <w:rStyle w:val="FootnoteReference"/>
        </w:rPr>
        <w:footnoteRef/>
      </w:r>
      <w:r>
        <w:t xml:space="preserve"> A similar account can be given in the language of Relevance Theory </w:t>
      </w:r>
      <w:r>
        <w:fldChar w:fldCharType="begin"/>
      </w:r>
      <w:r>
        <w:instrText xml:space="preserve"> ADDIN EN.CITE &lt;EndNote&gt;&lt;Cite&gt;&lt;Author&gt;Sperber&lt;/Author&gt;&lt;Year&gt;1986&lt;/Year&gt;&lt;RecNum&gt;1673&lt;/RecNum&gt;&lt;DisplayText&gt;(Sperber and Wilson 1986, Wilson and Sperber 2004)&lt;/DisplayText&gt;&lt;record&gt;&lt;rec-number&gt;1673&lt;/rec-number&gt;&lt;foreign-keys&gt;&lt;key app="EN" db-id="fdfxp9d5i5rvabetvd055ar3wafrxaz9evr2" timestamp="1472578622"&gt;1673&lt;/key&gt;&lt;/foreign-keys&gt;&lt;ref-type name="Book"&gt;6&lt;/ref-type&gt;&lt;contributors&gt;&lt;authors&gt;&lt;author&gt;Sperber, Dan&lt;/author&gt;&lt;author&gt;Wilson, Deirdre&lt;/author&gt;&lt;/authors&gt;&lt;/contributors&gt;&lt;titles&gt;&lt;title&gt;Relevance: Communication and Cognition&lt;/title&gt;&lt;/titles&gt;&lt;dates&gt;&lt;year&gt;1986&lt;/year&gt;&lt;/dates&gt;&lt;pub-location&gt;Cambridge&lt;/pub-location&gt;&lt;publisher&gt;Harvard University Press&lt;/publisher&gt;&lt;urls&gt;&lt;/urls&gt;&lt;/record&gt;&lt;/Cite&gt;&lt;Cite&gt;&lt;Author&gt;Wilson&lt;/Author&gt;&lt;Year&gt;2004&lt;/Year&gt;&lt;RecNum&gt;1708&lt;/RecNum&gt;&lt;record&gt;&lt;rec-number&gt;1708&lt;/rec-number&gt;&lt;foreign-keys&gt;&lt;key app="EN" db-id="fdfxp9d5i5rvabetvd055ar3wafrxaz9evr2" timestamp="1479315742"&gt;1708&lt;/key&gt;&lt;/foreign-keys&gt;&lt;ref-type name="Book Section"&gt;5&lt;/ref-type&gt;&lt;contributors&gt;&lt;authors&gt;&lt;author&gt;Wilson, Deirdre&lt;/author&gt;&lt;author&gt;Sperber, Dan&lt;/author&gt;&lt;/authors&gt;&lt;secondary-authors&gt;&lt;author&gt;Horn, Laurence&lt;/author&gt;&lt;author&gt;Ward, Gregory&lt;/author&gt;&lt;/secondary-authors&gt;&lt;/contributors&gt;&lt;titles&gt;&lt;title&gt;Relevance Theory&lt;/title&gt;&lt;secondary-title&gt;The Handbook of Pragmatics&lt;/secondary-title&gt;&lt;/titles&gt;&lt;pages&gt;607-633&lt;/pages&gt;&lt;section&gt;27&lt;/section&gt;&lt;dates&gt;&lt;year&gt;2004&lt;/year&gt;&lt;/dates&gt;&lt;pub-location&gt;Malden&lt;/pub-location&gt;&lt;publisher&gt;Blackwell&lt;/publisher&gt;&lt;urls&gt;&lt;/urls&gt;&lt;/record&gt;&lt;/Cite&gt;&lt;/EndNote&gt;</w:instrText>
      </w:r>
      <w:r>
        <w:fldChar w:fldCharType="separate"/>
      </w:r>
      <w:r>
        <w:rPr>
          <w:noProof/>
        </w:rPr>
        <w:t>(Sperber and Wilson 1986, Wilson and Sperber 2004)</w:t>
      </w:r>
      <w:r>
        <w:fldChar w:fldCharType="end"/>
      </w:r>
      <w:r>
        <w:t xml:space="preserve">. </w:t>
      </w:r>
      <w:r w:rsidR="0062127A">
        <w:t>Landon</w:t>
      </w:r>
      <w:r>
        <w:t xml:space="preserve"> and </w:t>
      </w:r>
      <w:r w:rsidR="0062127A">
        <w:t>Jill</w:t>
      </w:r>
      <w:r>
        <w:t xml:space="preserve"> hear Fred’s utterance and process it in the usual way, by inferring to whatever is most relevant. So, they hear this knowledge claim, in this context, as being about something </w:t>
      </w:r>
      <w:r w:rsidRPr="00B14167">
        <w:rPr>
          <w:iCs/>
        </w:rPr>
        <w:t>other</w:t>
      </w:r>
      <w:r>
        <w:rPr>
          <w:i/>
        </w:rPr>
        <w:t xml:space="preserve"> </w:t>
      </w:r>
      <w:r>
        <w:t xml:space="preserve">than </w:t>
      </w:r>
      <w:r w:rsidR="00793ADC">
        <w:t>what Fred knows</w:t>
      </w:r>
      <w:r>
        <w:t>.</w:t>
      </w:r>
    </w:p>
  </w:footnote>
  <w:footnote w:id="22">
    <w:p w14:paraId="7917F952" w14:textId="61D1D838" w:rsidR="002729FD" w:rsidRDefault="002729FD" w:rsidP="002729FD">
      <w:pPr>
        <w:pStyle w:val="FootnoteText"/>
      </w:pPr>
      <w:r>
        <w:rPr>
          <w:rStyle w:val="FootnoteReference"/>
        </w:rPr>
        <w:footnoteRef/>
      </w:r>
      <w:r>
        <w:t xml:space="preserve"> Unger </w:t>
      </w:r>
      <w:r>
        <w:fldChar w:fldCharType="begin"/>
      </w:r>
      <w:r>
        <w:instrText xml:space="preserve"> ADDIN EN.CITE &lt;EndNote&gt;&lt;Cite ExcludeAuth="1"&gt;&lt;Author&gt;Unger&lt;/Author&gt;&lt;Year&gt;1984&lt;/Year&gt;&lt;RecNum&gt;726&lt;/RecNum&gt;&lt;Suffix&gt;`, p. 9&lt;/Suffix&gt;&lt;DisplayText&gt;(1984, p. 9)&lt;/DisplayText&gt;&lt;record&gt;&lt;rec-number&gt;726&lt;/rec-number&gt;&lt;foreign-keys&gt;&lt;key app="EN" db-id="fdfxp9d5i5rvabetvd055ar3wafrxaz9evr2" timestamp="1428783601"&gt;726&lt;/key&gt;&lt;/foreign-keys&gt;&lt;ref-type name="Book"&gt;6&lt;/ref-type&gt;&lt;contributors&gt;&lt;authors&gt;&lt;author&gt;Unger, Peter&lt;/author&gt;&lt;/authors&gt;&lt;/contributors&gt;&lt;titles&gt;&lt;title&gt;Philosophical Relativity&lt;/title&gt;&lt;/titles&gt;&lt;pages&gt;132&lt;/pages&gt;&lt;dates&gt;&lt;year&gt;1984&lt;/year&gt;&lt;/dates&gt;&lt;pub-location&gt;Minneapolis&lt;/pub-location&gt;&lt;publisher&gt;University of Minnesota Press&lt;/publisher&gt;&lt;isbn&gt;0-8166-1233-1&lt;/isbn&gt;&lt;urls&gt;&lt;/urls&gt;&lt;/record&gt;&lt;/Cite&gt;&lt;/EndNote&gt;</w:instrText>
      </w:r>
      <w:r>
        <w:fldChar w:fldCharType="separate"/>
      </w:r>
      <w:r>
        <w:rPr>
          <w:noProof/>
        </w:rPr>
        <w:t>(1984, p. 9)</w:t>
      </w:r>
      <w:r>
        <w:fldChar w:fldCharType="end"/>
      </w:r>
      <w:r>
        <w:t xml:space="preserve"> once hinted at a strategy </w:t>
      </w:r>
      <w:r w:rsidR="00C81D17">
        <w:t>like this</w:t>
      </w:r>
      <w:r>
        <w:t>: “By trading on suitable premises concerning the context, and understood by the conversational participants, the speaker gets his hearers to infer from an (obviously) irrelevant falsehood he expressed to a relevant (presumed) truth then attended.” But “irrelevant” and “falsehood” are different concepts. Here, I focus on the idea that the implicitly-recognized falsehood of knowledge attributions is what kicks off the search for an implicature.</w:t>
      </w:r>
    </w:p>
    <w:p w14:paraId="27C4C13E" w14:textId="6EDB03FA" w:rsidR="002729FD" w:rsidRDefault="002729FD" w:rsidP="002729FD">
      <w:pPr>
        <w:pStyle w:val="FootnoteText"/>
      </w:pPr>
      <w:r>
        <w:t xml:space="preserve">     Thanks to </w:t>
      </w:r>
      <w:r w:rsidR="00315A9D">
        <w:t>Alexander Dinges</w:t>
      </w:r>
      <w:r>
        <w:t xml:space="preserve"> for helpful comments about Quality and Relevance.</w:t>
      </w:r>
    </w:p>
  </w:footnote>
  <w:footnote w:id="23">
    <w:p w14:paraId="1F692613" w14:textId="195E2696" w:rsidR="009C10B3" w:rsidRDefault="009C10B3">
      <w:pPr>
        <w:pStyle w:val="FootnoteText"/>
      </w:pPr>
      <w:r>
        <w:rPr>
          <w:rStyle w:val="FootnoteReference"/>
        </w:rPr>
        <w:footnoteRef/>
      </w:r>
      <w:r>
        <w:t xml:space="preserve"> When I have presented this example </w:t>
      </w:r>
      <w:r w:rsidR="00D924C3">
        <w:t>to philosophers</w:t>
      </w:r>
      <w:r>
        <w:t>, some resist it by claiming that it is too obvious</w:t>
      </w:r>
      <w:r w:rsidR="00E55D95">
        <w:t xml:space="preserve"> that we are </w:t>
      </w:r>
      <w:r w:rsidR="00007C71">
        <w:t xml:space="preserve">here </w:t>
      </w:r>
      <w:r w:rsidR="00E55D95">
        <w:t>using false description</w:t>
      </w:r>
      <w:r w:rsidR="00007C71">
        <w:t xml:space="preserve">s, and that </w:t>
      </w:r>
      <w:r w:rsidR="00810357">
        <w:t>knowledge attributions are more challenging to retract</w:t>
      </w:r>
      <w:r w:rsidR="00E55D95">
        <w:t xml:space="preserve">. But when I have drawn such a figure </w:t>
      </w:r>
      <w:r w:rsidR="00810357">
        <w:t>in discussions with undergraduate students</w:t>
      </w:r>
      <w:r w:rsidR="0027060D">
        <w:t xml:space="preserve"> a</w:t>
      </w:r>
      <w:r w:rsidR="00636275">
        <w:t xml:space="preserve">nd then pointed out </w:t>
      </w:r>
      <w:r w:rsidR="007009A6">
        <w:t xml:space="preserve">that its imperfections </w:t>
      </w:r>
      <w:r w:rsidR="0027060D">
        <w:t>mean that the figure is not a square</w:t>
      </w:r>
      <w:r w:rsidR="00102852">
        <w:t xml:space="preserve">, many students are slow to accept this. </w:t>
      </w:r>
      <w:r w:rsidR="00810357">
        <w:t>The parallel between falsely-attributed geometric properties and falsely-attributed knowledge may be quite close.</w:t>
      </w:r>
    </w:p>
  </w:footnote>
  <w:footnote w:id="24">
    <w:p w14:paraId="321550E5" w14:textId="41DD8C50" w:rsidR="002729FD" w:rsidRDefault="002729FD" w:rsidP="002729FD">
      <w:pPr>
        <w:pStyle w:val="FootnoteText"/>
      </w:pPr>
      <w:r>
        <w:rPr>
          <w:rStyle w:val="FootnoteReference"/>
        </w:rPr>
        <w:footnoteRef/>
      </w:r>
      <w:r>
        <w:t xml:space="preserve"> For this reason, the ‘impermanence’ of skeptical attitudes is </w:t>
      </w:r>
      <w:r w:rsidR="00ED41E6">
        <w:t>a weak objection</w:t>
      </w:r>
      <w:r>
        <w:t xml:space="preserve"> to skepticism </w:t>
      </w:r>
      <w:r>
        <w:fldChar w:fldCharType="begin"/>
      </w:r>
      <w:r>
        <w:instrText xml:space="preserve"> ADDIN EN.CITE &lt;EndNote&gt;&lt;Cite&gt;&lt;Author&gt;Hawthorne&lt;/Author&gt;&lt;Year&gt;2004&lt;/Year&gt;&lt;RecNum&gt;620&lt;/RecNum&gt;&lt;DisplayText&gt;(Hawthorne 2004, Hume 1739 (2000), I.IV.1)&lt;/DisplayText&gt;&lt;record&gt;&lt;rec-number&gt;620&lt;/rec-number&gt;&lt;foreign-keys&gt;&lt;key app="EN" db-id="fdfxp9d5i5rvabetvd055ar3wafrxaz9evr2" timestamp="1421095383"&gt;620&lt;/key&gt;&lt;/foreign-keys&gt;&lt;ref-type name="Book"&gt;6&lt;/ref-type&gt;&lt;contributors&gt;&lt;authors&gt;&lt;author&gt;Hawthorne, John&lt;/author&gt;&lt;/authors&gt;&lt;/contributors&gt;&lt;titles&gt;&lt;title&gt;Knowledge and Lotteries&lt;/title&gt;&lt;/titles&gt;&lt;dates&gt;&lt;year&gt;2004&lt;/year&gt;&lt;/dates&gt;&lt;pub-location&gt;New York&lt;/pub-location&gt;&lt;publisher&gt;Oxford University Press&lt;/publisher&gt;&lt;isbn&gt;0199269556&lt;/isbn&gt;&lt;urls&gt;&lt;/urls&gt;&lt;/record&gt;&lt;/Cite&gt;&lt;Cite&gt;&lt;Author&gt;Hume&lt;/Author&gt;&lt;Year&gt;1739 (2000)&lt;/Year&gt;&lt;RecNum&gt;757&lt;/RecNum&gt;&lt;Suffix&gt;`, I.IV.1&lt;/Suffix&gt;&lt;record&gt;&lt;rec-number&gt;757&lt;/rec-number&gt;&lt;foreign-keys&gt;&lt;key app="EN" db-id="fdfxp9d5i5rvabetvd055ar3wafrxaz9evr2" timestamp="1437390021"&gt;757&lt;/key&gt;&lt;/foreign-keys&gt;&lt;ref-type name="Book"&gt;6&lt;/ref-type&gt;&lt;contributors&gt;&lt;authors&gt;&lt;author&gt;Hume, David&lt;/author&gt;&lt;/authors&gt;&lt;secondary-authors&gt;&lt;author&gt;John Cottingham&lt;/author&gt;&lt;/secondary-authors&gt;&lt;tertiary-authors&gt;&lt;author&gt;Norton, David Fate&lt;/author&gt;&lt;author&gt;Norton, Mary&lt;/author&gt;&lt;/tertiary-authors&gt;&lt;/contributors&gt;&lt;titles&gt;&lt;title&gt;A Treatise of Human Nature&lt;/title&gt;&lt;secondary-title&gt;Oxford Philosophical Texts&lt;/secondary-title&gt;&lt;/titles&gt;&lt;pages&gt;633&lt;/pages&gt;&lt;dates&gt;&lt;year&gt;1739 (2000)&lt;/year&gt;&lt;/dates&gt;&lt;pub-location&gt;New York&lt;/pub-location&gt;&lt;publisher&gt;Oxford University Press&lt;/publisher&gt;&lt;urls&gt;&lt;/urls&gt;&lt;/record&gt;&lt;/Cite&gt;&lt;/EndNote&gt;</w:instrText>
      </w:r>
      <w:r>
        <w:fldChar w:fldCharType="separate"/>
      </w:r>
      <w:r>
        <w:rPr>
          <w:noProof/>
        </w:rPr>
        <w:t>(Hawthorne 2004, Hume 1739 (2000), I.IV.1)</w:t>
      </w:r>
      <w:r>
        <w:fldChar w:fldCharType="end"/>
      </w:r>
      <w:r>
        <w:t>. Our interests rarely concern exact truth, so it is unsurprising that we would continue to speak in imprecise ways, even if we take our utterances seriously.</w:t>
      </w:r>
    </w:p>
  </w:footnote>
  <w:footnote w:id="25">
    <w:p w14:paraId="76CD3688" w14:textId="77777777" w:rsidR="002729FD" w:rsidRDefault="002729FD" w:rsidP="002729FD">
      <w:pPr>
        <w:pStyle w:val="FootnoteText"/>
      </w:pPr>
      <w:r>
        <w:rPr>
          <w:rStyle w:val="FootnoteReference"/>
        </w:rPr>
        <w:footnoteRef/>
      </w:r>
      <w:r>
        <w:t xml:space="preserve"> Inspired by DeRose </w:t>
      </w:r>
      <w:r>
        <w:fldChar w:fldCharType="begin"/>
      </w:r>
      <w:r>
        <w:instrText xml:space="preserve"> ADDIN EN.CITE &lt;EndNote&gt;&lt;Cite ExcludeAuth="1"&gt;&lt;Author&gt;DeRose&lt;/Author&gt;&lt;Year&gt;2002&lt;/Year&gt;&lt;RecNum&gt;747&lt;/RecNum&gt;&lt;DisplayText&gt;(2002)&lt;/DisplayText&gt;&lt;record&gt;&lt;rec-number&gt;747&lt;/rec-number&gt;&lt;foreign-keys&gt;&lt;key app="EN" db-id="fdfxp9d5i5rvabetvd055ar3wafrxaz9evr2" timestamp="1432649147"&gt;747&lt;/key&gt;&lt;/foreign-keys&gt;&lt;ref-type name="Journal Article"&gt;17&lt;/ref-type&gt;&lt;contributors&gt;&lt;authors&gt;&lt;author&gt;DeRose, Keith&lt;/author&gt;&lt;/authors&gt;&lt;/contributors&gt;&lt;titles&gt;&lt;title&gt;Assertion, Knowledge, and Context&lt;/title&gt;&lt;secondary-title&gt;Philosophical Review&lt;/secondary-title&gt;&lt;/titles&gt;&lt;periodical&gt;&lt;full-title&gt;Philosophical Review&lt;/full-title&gt;&lt;abbr-1&gt;PhR&lt;/abbr-1&gt;&lt;/periodical&gt;&lt;pages&gt;167-203&lt;/pages&gt;&lt;volume&gt;111&lt;/volume&gt;&lt;number&gt;2&lt;/number&gt;&lt;dates&gt;&lt;year&gt;2002&lt;/year&gt;&lt;pub-dates&gt;&lt;date&gt;April 1, 2002&lt;/date&gt;&lt;/pub-dates&gt;&lt;/dates&gt;&lt;urls&gt;&lt;related-urls&gt;&lt;url&gt;http://philreview.dukejournals.org/content/111/2/167.short&lt;/url&gt;&lt;/related-urls&gt;&lt;/urls&gt;&lt;electronic-resource-num&gt;10.1215/00318108-111-2-167&lt;/electronic-resource-num&gt;&lt;/record&gt;&lt;/Cite&gt;&lt;/EndNote&gt;</w:instrText>
      </w:r>
      <w:r>
        <w:fldChar w:fldCharType="separate"/>
      </w:r>
      <w:r>
        <w:rPr>
          <w:noProof/>
        </w:rPr>
        <w:t>(2002)</w:t>
      </w:r>
      <w:r>
        <w:fldChar w:fldCharType="end"/>
      </w:r>
      <w:r>
        <w:t>.</w:t>
      </w:r>
    </w:p>
    <w:p w14:paraId="39B1FB57" w14:textId="1DF4EB21" w:rsidR="002729FD" w:rsidRDefault="002729FD" w:rsidP="002729FD">
      <w:pPr>
        <w:pStyle w:val="FootnoteText"/>
      </w:pPr>
      <w:r>
        <w:t xml:space="preserve">     If the answer to the knowledge question had been affirmative, my friend would say “yeah”, “yes”, or something similar. </w:t>
      </w:r>
      <w:r w:rsidR="00F22608">
        <w:t>Outside of epistemology examples, people</w:t>
      </w:r>
      <w:r>
        <w:t xml:space="preserve"> do not signal their ignorance explicitly, saying things like “</w:t>
      </w:r>
      <w:r w:rsidRPr="00D84187">
        <w:rPr>
          <w:i/>
        </w:rPr>
        <w:t>I guess I don’t know</w:t>
      </w:r>
      <w:r>
        <w:t>, so I will check.”</w:t>
      </w:r>
      <w:r w:rsidR="00F22608">
        <w:t xml:space="preserve"> The knowledge-denial is implicit.</w:t>
      </w:r>
    </w:p>
  </w:footnote>
  <w:footnote w:id="26">
    <w:p w14:paraId="247C1206" w14:textId="77777777" w:rsidR="002729FD" w:rsidRDefault="002729FD" w:rsidP="002729FD">
      <w:pPr>
        <w:pStyle w:val="FootnoteText"/>
      </w:pPr>
      <w:r>
        <w:rPr>
          <w:rStyle w:val="FootnoteReference"/>
        </w:rPr>
        <w:footnoteRef/>
      </w:r>
      <w:r>
        <w:t xml:space="preserve"> The concept empiricism of </w:t>
      </w:r>
      <w:r>
        <w:fldChar w:fldCharType="begin"/>
      </w:r>
      <w:r>
        <w:instrText xml:space="preserve"> ADDIN EN.CITE &lt;EndNote&gt;&lt;Cite AuthorYear="1"&gt;&lt;Author&gt;Prinz&lt;/Author&gt;&lt;Year&gt;2002&lt;/Year&gt;&lt;RecNum&gt;1782&lt;/RecNum&gt;&lt;DisplayText&gt;Prinz (2002)&lt;/DisplayText&gt;&lt;record&gt;&lt;rec-number&gt;1782&lt;/rec-number&gt;&lt;foreign-keys&gt;&lt;key app="EN" db-id="fdfxp9d5i5rvabetvd055ar3wafrxaz9evr2" timestamp="1536847941"&gt;1782&lt;/key&gt;&lt;/foreign-keys&gt;&lt;ref-type name="Book"&gt;6&lt;/ref-type&gt;&lt;contributors&gt;&lt;authors&gt;&lt;author&gt;Prinz, Jesse&lt;/author&gt;&lt;/authors&gt;&lt;secondary-authors&gt;&lt;author&gt;Putnam, Hilary&lt;/author&gt;&lt;author&gt;Block, Ned&lt;/author&gt;&lt;/secondary-authors&gt;&lt;/contributors&gt;&lt;titles&gt;&lt;title&gt;Furnishing the Mind&lt;/title&gt;&lt;secondary-title&gt;Representation and Mind&lt;/secondary-title&gt;&lt;/titles&gt;&lt;dates&gt;&lt;year&gt;2002&lt;/year&gt;&lt;/dates&gt;&lt;publisher&gt;MIT Press&lt;/publisher&gt;&lt;urls&gt;&lt;/urls&gt;&lt;/record&gt;&lt;/Cite&gt;&lt;/EndNote&gt;</w:instrText>
      </w:r>
      <w:r>
        <w:fldChar w:fldCharType="separate"/>
      </w:r>
      <w:r>
        <w:rPr>
          <w:noProof/>
        </w:rPr>
        <w:t>Prinz (2002)</w:t>
      </w:r>
      <w:r>
        <w:fldChar w:fldCharType="end"/>
      </w:r>
      <w:r>
        <w:t xml:space="preserve"> is akin to what I am suggesting here.</w:t>
      </w:r>
    </w:p>
  </w:footnote>
  <w:footnote w:id="27">
    <w:p w14:paraId="06E6315A" w14:textId="3F75318D" w:rsidR="00C03815" w:rsidRDefault="00C03815">
      <w:pPr>
        <w:pStyle w:val="FootnoteText"/>
      </w:pPr>
      <w:r>
        <w:rPr>
          <w:rStyle w:val="FootnoteReference"/>
        </w:rPr>
        <w:footnoteRef/>
      </w:r>
      <w:r>
        <w:t xml:space="preserve"> I thank David Alexander, </w:t>
      </w:r>
      <w:r w:rsidR="00F74C4B">
        <w:t xml:space="preserve">Alexander Bow, Garret Caudle, </w:t>
      </w:r>
      <w:r>
        <w:t>Alexander Dinges, Landon Elkind</w:t>
      </w:r>
      <w:r w:rsidR="002703A5">
        <w:t>, and Christos Kyriacou</w:t>
      </w:r>
      <w:r>
        <w:t xml:space="preserve"> for comments on </w:t>
      </w:r>
      <w:r w:rsidR="00E80DAF">
        <w:t>ancestors</w:t>
      </w:r>
      <w:r>
        <w:t xml:space="preserve"> of this paper.</w:t>
      </w:r>
      <w:r w:rsidR="002703A5">
        <w:t xml:space="preserve"> I also thank Christos Kyriacou and Kevin Wallbridge for inviting me to contribute this paper to </w:t>
      </w:r>
      <w:r w:rsidR="00603428">
        <w:t>the present</w:t>
      </w:r>
      <w:r w:rsidR="002703A5">
        <w:t xml:space="preserve"> volume.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701B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D469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6221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041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A23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CE1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9A02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62FC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80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A08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23DDE"/>
    <w:multiLevelType w:val="multilevel"/>
    <w:tmpl w:val="5A2A7E50"/>
    <w:styleLink w:val="PhilosophyPapers"/>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360" w:firstLine="0"/>
      </w:pPr>
      <w:rPr>
        <w:rFonts w:hint="default"/>
      </w:rPr>
    </w:lvl>
    <w:lvl w:ilvl="2">
      <w:start w:val="1"/>
      <w:numFmt w:val="decimal"/>
      <w:pStyle w:val="Heading3"/>
      <w:lvlText w:val="%1.%2.%3"/>
      <w:lvlJc w:val="right"/>
      <w:pPr>
        <w:tabs>
          <w:tab w:val="num" w:pos="1440"/>
        </w:tabs>
        <w:ind w:left="1080" w:firstLine="0"/>
      </w:pPr>
      <w:rPr>
        <w:rFonts w:hint="default"/>
      </w:rPr>
    </w:lvl>
    <w:lvl w:ilvl="3">
      <w:start w:val="1"/>
      <w:numFmt w:val="decimal"/>
      <w:lvlText w:val="%4."/>
      <w:lvlJc w:val="left"/>
      <w:pPr>
        <w:tabs>
          <w:tab w:val="num" w:pos="1440"/>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abstractNum w:abstractNumId="11" w15:restartNumberingAfterBreak="0">
    <w:nsid w:val="03DB0D5D"/>
    <w:multiLevelType w:val="hybridMultilevel"/>
    <w:tmpl w:val="8AD485AE"/>
    <w:lvl w:ilvl="0" w:tplc="AB00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3F5E1E"/>
    <w:multiLevelType w:val="hybridMultilevel"/>
    <w:tmpl w:val="C66C9DF2"/>
    <w:lvl w:ilvl="0" w:tplc="E21A9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252E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93978"/>
    <w:multiLevelType w:val="multilevel"/>
    <w:tmpl w:val="5A2A7E50"/>
    <w:numStyleLink w:val="PhilosophyPapers"/>
  </w:abstractNum>
  <w:abstractNum w:abstractNumId="15" w15:restartNumberingAfterBreak="0">
    <w:nsid w:val="24B56882"/>
    <w:multiLevelType w:val="hybridMultilevel"/>
    <w:tmpl w:val="8422B174"/>
    <w:lvl w:ilvl="0" w:tplc="C4EC4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27312C"/>
    <w:multiLevelType w:val="hybridMultilevel"/>
    <w:tmpl w:val="2560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01123"/>
    <w:multiLevelType w:val="multilevel"/>
    <w:tmpl w:val="5A2A7E50"/>
    <w:numStyleLink w:val="PhilosophyPapers"/>
  </w:abstractNum>
  <w:abstractNum w:abstractNumId="18" w15:restartNumberingAfterBreak="0">
    <w:nsid w:val="2C02045A"/>
    <w:multiLevelType w:val="hybridMultilevel"/>
    <w:tmpl w:val="5C8CB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8405A"/>
    <w:multiLevelType w:val="hybridMultilevel"/>
    <w:tmpl w:val="066CE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53493A"/>
    <w:multiLevelType w:val="multilevel"/>
    <w:tmpl w:val="F78A22C4"/>
    <w:lvl w:ilvl="0">
      <w:start w:val="1"/>
      <w:numFmt w:val="decimal"/>
      <w:lvlText w:val="%1.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04F26"/>
    <w:multiLevelType w:val="hybridMultilevel"/>
    <w:tmpl w:val="58EEF37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33895EAA"/>
    <w:multiLevelType w:val="multilevel"/>
    <w:tmpl w:val="5A2A7E50"/>
    <w:numStyleLink w:val="PhilosophyPapers"/>
  </w:abstractNum>
  <w:abstractNum w:abstractNumId="23" w15:restartNumberingAfterBreak="0">
    <w:nsid w:val="38972AF0"/>
    <w:multiLevelType w:val="hybridMultilevel"/>
    <w:tmpl w:val="3DD2FDF2"/>
    <w:lvl w:ilvl="0" w:tplc="CF466A2A">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3A807109"/>
    <w:multiLevelType w:val="multilevel"/>
    <w:tmpl w:val="5A2A7E50"/>
    <w:numStyleLink w:val="PhilosophyPapers"/>
  </w:abstractNum>
  <w:abstractNum w:abstractNumId="25" w15:restartNumberingAfterBreak="0">
    <w:nsid w:val="3CBD6EFF"/>
    <w:multiLevelType w:val="hybridMultilevel"/>
    <w:tmpl w:val="8B802242"/>
    <w:lvl w:ilvl="0" w:tplc="D286E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663C70"/>
    <w:multiLevelType w:val="hybridMultilevel"/>
    <w:tmpl w:val="C3E8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22357"/>
    <w:multiLevelType w:val="hybridMultilevel"/>
    <w:tmpl w:val="B01E0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6D6500"/>
    <w:multiLevelType w:val="hybridMultilevel"/>
    <w:tmpl w:val="C4662FE0"/>
    <w:lvl w:ilvl="0" w:tplc="5C48C42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80E9B"/>
    <w:multiLevelType w:val="multilevel"/>
    <w:tmpl w:val="5A2A7E50"/>
    <w:numStyleLink w:val="PhilosophyPapers"/>
  </w:abstractNum>
  <w:abstractNum w:abstractNumId="30" w15:restartNumberingAfterBreak="0">
    <w:nsid w:val="54102BF6"/>
    <w:multiLevelType w:val="hybridMultilevel"/>
    <w:tmpl w:val="94703330"/>
    <w:lvl w:ilvl="0" w:tplc="3FC49D50">
      <w:start w:val="4"/>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155B8"/>
    <w:multiLevelType w:val="hybridMultilevel"/>
    <w:tmpl w:val="BF48B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576A6"/>
    <w:multiLevelType w:val="hybridMultilevel"/>
    <w:tmpl w:val="B01E0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72065C"/>
    <w:multiLevelType w:val="multilevel"/>
    <w:tmpl w:val="5A2A7E50"/>
    <w:numStyleLink w:val="PhilosophyPapers"/>
  </w:abstractNum>
  <w:abstractNum w:abstractNumId="34" w15:restartNumberingAfterBreak="0">
    <w:nsid w:val="718120A5"/>
    <w:multiLevelType w:val="multilevel"/>
    <w:tmpl w:val="5A2A7E50"/>
    <w:numStyleLink w:val="PhilosophyPapers"/>
  </w:abstractNum>
  <w:abstractNum w:abstractNumId="35" w15:restartNumberingAfterBreak="0">
    <w:nsid w:val="7B5D6558"/>
    <w:multiLevelType w:val="hybridMultilevel"/>
    <w:tmpl w:val="E97A78A4"/>
    <w:lvl w:ilvl="0" w:tplc="1AC20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1"/>
  </w:num>
  <w:num w:numId="3">
    <w:abstractNumId w:val="18"/>
  </w:num>
  <w:num w:numId="4">
    <w:abstractNumId w:val="16"/>
  </w:num>
  <w:num w:numId="5">
    <w:abstractNumId w:val="21"/>
  </w:num>
  <w:num w:numId="6">
    <w:abstractNumId w:val="28"/>
  </w:num>
  <w:num w:numId="7">
    <w:abstractNumId w:val="2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22"/>
  </w:num>
  <w:num w:numId="21">
    <w:abstractNumId w:val="34"/>
  </w:num>
  <w:num w:numId="22">
    <w:abstractNumId w:val="14"/>
  </w:num>
  <w:num w:numId="23">
    <w:abstractNumId w:val="29"/>
  </w:num>
  <w:num w:numId="24">
    <w:abstractNumId w:val="24"/>
  </w:num>
  <w:num w:numId="25">
    <w:abstractNumId w:val="33"/>
  </w:num>
  <w:num w:numId="26">
    <w:abstractNumId w:val="17"/>
  </w:num>
  <w:num w:numId="27">
    <w:abstractNumId w:val="19"/>
  </w:num>
  <w:num w:numId="28">
    <w:abstractNumId w:val="32"/>
  </w:num>
  <w:num w:numId="29">
    <w:abstractNumId w:val="35"/>
  </w:num>
  <w:num w:numId="30">
    <w:abstractNumId w:val="15"/>
  </w:num>
  <w:num w:numId="31">
    <w:abstractNumId w:val="12"/>
  </w:num>
  <w:num w:numId="32">
    <w:abstractNumId w:val="25"/>
  </w:num>
  <w:num w:numId="33">
    <w:abstractNumId w:val="27"/>
  </w:num>
  <w:num w:numId="34">
    <w:abstractNumId w:val="23"/>
  </w:num>
  <w:num w:numId="35">
    <w:abstractNumId w:val="30"/>
  </w:num>
  <w:num w:numId="36">
    <w:abstractNumId w:val="2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D7"/>
    <w:rsid w:val="0000092D"/>
    <w:rsid w:val="00001383"/>
    <w:rsid w:val="00003414"/>
    <w:rsid w:val="0000344A"/>
    <w:rsid w:val="00003667"/>
    <w:rsid w:val="00004084"/>
    <w:rsid w:val="00004088"/>
    <w:rsid w:val="00007B62"/>
    <w:rsid w:val="00007C71"/>
    <w:rsid w:val="00010FA4"/>
    <w:rsid w:val="00011C12"/>
    <w:rsid w:val="00013234"/>
    <w:rsid w:val="00014257"/>
    <w:rsid w:val="000156AB"/>
    <w:rsid w:val="000161FE"/>
    <w:rsid w:val="0001730B"/>
    <w:rsid w:val="00017DA4"/>
    <w:rsid w:val="00017FCD"/>
    <w:rsid w:val="00021393"/>
    <w:rsid w:val="000241B0"/>
    <w:rsid w:val="00024F92"/>
    <w:rsid w:val="00025351"/>
    <w:rsid w:val="0002554A"/>
    <w:rsid w:val="0002590F"/>
    <w:rsid w:val="00025BEE"/>
    <w:rsid w:val="000276C9"/>
    <w:rsid w:val="000277FC"/>
    <w:rsid w:val="0003468C"/>
    <w:rsid w:val="00034722"/>
    <w:rsid w:val="00035490"/>
    <w:rsid w:val="000358D7"/>
    <w:rsid w:val="00036BDF"/>
    <w:rsid w:val="00037F4F"/>
    <w:rsid w:val="00041E0A"/>
    <w:rsid w:val="00041EAC"/>
    <w:rsid w:val="000421EB"/>
    <w:rsid w:val="000427EF"/>
    <w:rsid w:val="00042987"/>
    <w:rsid w:val="000467E9"/>
    <w:rsid w:val="000531FA"/>
    <w:rsid w:val="000608FA"/>
    <w:rsid w:val="00061F28"/>
    <w:rsid w:val="00062AE4"/>
    <w:rsid w:val="000636B3"/>
    <w:rsid w:val="000648A9"/>
    <w:rsid w:val="00064CA7"/>
    <w:rsid w:val="00065AB9"/>
    <w:rsid w:val="000674FD"/>
    <w:rsid w:val="000675C9"/>
    <w:rsid w:val="0007405C"/>
    <w:rsid w:val="0008406C"/>
    <w:rsid w:val="000840C4"/>
    <w:rsid w:val="00084675"/>
    <w:rsid w:val="000852D3"/>
    <w:rsid w:val="00085C3A"/>
    <w:rsid w:val="00087462"/>
    <w:rsid w:val="00087595"/>
    <w:rsid w:val="00091AA5"/>
    <w:rsid w:val="00095366"/>
    <w:rsid w:val="00095EFD"/>
    <w:rsid w:val="00097A00"/>
    <w:rsid w:val="000A0CD9"/>
    <w:rsid w:val="000A2A7C"/>
    <w:rsid w:val="000A473E"/>
    <w:rsid w:val="000A51CB"/>
    <w:rsid w:val="000A661A"/>
    <w:rsid w:val="000A75F9"/>
    <w:rsid w:val="000A78B6"/>
    <w:rsid w:val="000B0E73"/>
    <w:rsid w:val="000B367D"/>
    <w:rsid w:val="000B49FF"/>
    <w:rsid w:val="000B6111"/>
    <w:rsid w:val="000C01CB"/>
    <w:rsid w:val="000C1E85"/>
    <w:rsid w:val="000C2353"/>
    <w:rsid w:val="000D116C"/>
    <w:rsid w:val="000D1852"/>
    <w:rsid w:val="000D1C14"/>
    <w:rsid w:val="000D5088"/>
    <w:rsid w:val="000D6AAC"/>
    <w:rsid w:val="000D6B7F"/>
    <w:rsid w:val="000E3A40"/>
    <w:rsid w:val="000E4448"/>
    <w:rsid w:val="000E6AB0"/>
    <w:rsid w:val="000F27A2"/>
    <w:rsid w:val="000F3B1B"/>
    <w:rsid w:val="000F6A60"/>
    <w:rsid w:val="00102852"/>
    <w:rsid w:val="00102C3F"/>
    <w:rsid w:val="00111B90"/>
    <w:rsid w:val="0011397F"/>
    <w:rsid w:val="00113EA9"/>
    <w:rsid w:val="00114D81"/>
    <w:rsid w:val="00116128"/>
    <w:rsid w:val="00117A65"/>
    <w:rsid w:val="00120307"/>
    <w:rsid w:val="001205EC"/>
    <w:rsid w:val="001226A0"/>
    <w:rsid w:val="001226EB"/>
    <w:rsid w:val="001241CB"/>
    <w:rsid w:val="00125A30"/>
    <w:rsid w:val="00126030"/>
    <w:rsid w:val="001310C4"/>
    <w:rsid w:val="0013793C"/>
    <w:rsid w:val="00140C82"/>
    <w:rsid w:val="001419E3"/>
    <w:rsid w:val="00142323"/>
    <w:rsid w:val="00143385"/>
    <w:rsid w:val="00143DE8"/>
    <w:rsid w:val="00143F1A"/>
    <w:rsid w:val="00144289"/>
    <w:rsid w:val="00144ABD"/>
    <w:rsid w:val="001453DD"/>
    <w:rsid w:val="00145BED"/>
    <w:rsid w:val="00150CFF"/>
    <w:rsid w:val="00153906"/>
    <w:rsid w:val="00163BE3"/>
    <w:rsid w:val="00163E23"/>
    <w:rsid w:val="001653D7"/>
    <w:rsid w:val="00165914"/>
    <w:rsid w:val="00167381"/>
    <w:rsid w:val="00167776"/>
    <w:rsid w:val="00171730"/>
    <w:rsid w:val="00172322"/>
    <w:rsid w:val="00172994"/>
    <w:rsid w:val="00173333"/>
    <w:rsid w:val="00173858"/>
    <w:rsid w:val="00174BCF"/>
    <w:rsid w:val="0017577A"/>
    <w:rsid w:val="00175F2D"/>
    <w:rsid w:val="00181905"/>
    <w:rsid w:val="00184962"/>
    <w:rsid w:val="00185804"/>
    <w:rsid w:val="00190686"/>
    <w:rsid w:val="001947AF"/>
    <w:rsid w:val="001949D7"/>
    <w:rsid w:val="001949DC"/>
    <w:rsid w:val="00196777"/>
    <w:rsid w:val="001A0551"/>
    <w:rsid w:val="001A3286"/>
    <w:rsid w:val="001A349C"/>
    <w:rsid w:val="001A563E"/>
    <w:rsid w:val="001A5ABF"/>
    <w:rsid w:val="001A6413"/>
    <w:rsid w:val="001A6FF5"/>
    <w:rsid w:val="001A7BFA"/>
    <w:rsid w:val="001B1472"/>
    <w:rsid w:val="001B30F3"/>
    <w:rsid w:val="001B6C0E"/>
    <w:rsid w:val="001C0253"/>
    <w:rsid w:val="001C0FC8"/>
    <w:rsid w:val="001C2763"/>
    <w:rsid w:val="001C2E33"/>
    <w:rsid w:val="001C3B0B"/>
    <w:rsid w:val="001C51C1"/>
    <w:rsid w:val="001C65BE"/>
    <w:rsid w:val="001C73EC"/>
    <w:rsid w:val="001C7D0A"/>
    <w:rsid w:val="001D014A"/>
    <w:rsid w:val="001D09D7"/>
    <w:rsid w:val="001D1FEF"/>
    <w:rsid w:val="001D2240"/>
    <w:rsid w:val="001D49A8"/>
    <w:rsid w:val="001D4B63"/>
    <w:rsid w:val="001D5567"/>
    <w:rsid w:val="001D6AFE"/>
    <w:rsid w:val="001E009C"/>
    <w:rsid w:val="001E06F1"/>
    <w:rsid w:val="001F0234"/>
    <w:rsid w:val="001F773F"/>
    <w:rsid w:val="002003CF"/>
    <w:rsid w:val="00202C71"/>
    <w:rsid w:val="00203384"/>
    <w:rsid w:val="00203561"/>
    <w:rsid w:val="002049CF"/>
    <w:rsid w:val="00204F5B"/>
    <w:rsid w:val="002057FB"/>
    <w:rsid w:val="0020699F"/>
    <w:rsid w:val="002105FA"/>
    <w:rsid w:val="002141B5"/>
    <w:rsid w:val="00214632"/>
    <w:rsid w:val="00216CE6"/>
    <w:rsid w:val="00217CD1"/>
    <w:rsid w:val="0022127A"/>
    <w:rsid w:val="00222A7B"/>
    <w:rsid w:val="00223077"/>
    <w:rsid w:val="00227142"/>
    <w:rsid w:val="00230CF3"/>
    <w:rsid w:val="00237538"/>
    <w:rsid w:val="00244326"/>
    <w:rsid w:val="002445B7"/>
    <w:rsid w:val="00250920"/>
    <w:rsid w:val="002528AF"/>
    <w:rsid w:val="00253003"/>
    <w:rsid w:val="00253B3B"/>
    <w:rsid w:val="0025640F"/>
    <w:rsid w:val="00256472"/>
    <w:rsid w:val="002642D6"/>
    <w:rsid w:val="00266221"/>
    <w:rsid w:val="002703A5"/>
    <w:rsid w:val="0027060D"/>
    <w:rsid w:val="002729FD"/>
    <w:rsid w:val="00273D78"/>
    <w:rsid w:val="00275223"/>
    <w:rsid w:val="00275AE9"/>
    <w:rsid w:val="00277C8F"/>
    <w:rsid w:val="00281F96"/>
    <w:rsid w:val="00283646"/>
    <w:rsid w:val="0028444E"/>
    <w:rsid w:val="00284B8B"/>
    <w:rsid w:val="0028577C"/>
    <w:rsid w:val="0028613C"/>
    <w:rsid w:val="002875E5"/>
    <w:rsid w:val="00290313"/>
    <w:rsid w:val="00295ADE"/>
    <w:rsid w:val="00296626"/>
    <w:rsid w:val="002A196B"/>
    <w:rsid w:val="002A368C"/>
    <w:rsid w:val="002A3D49"/>
    <w:rsid w:val="002A495F"/>
    <w:rsid w:val="002A6E82"/>
    <w:rsid w:val="002A7332"/>
    <w:rsid w:val="002A7E0C"/>
    <w:rsid w:val="002B0CC9"/>
    <w:rsid w:val="002B5381"/>
    <w:rsid w:val="002C5223"/>
    <w:rsid w:val="002C5836"/>
    <w:rsid w:val="002C6E77"/>
    <w:rsid w:val="002C7331"/>
    <w:rsid w:val="002C78B1"/>
    <w:rsid w:val="002D61DA"/>
    <w:rsid w:val="002E0B12"/>
    <w:rsid w:val="002E359F"/>
    <w:rsid w:val="002E46B0"/>
    <w:rsid w:val="002F07E3"/>
    <w:rsid w:val="002F307F"/>
    <w:rsid w:val="002F5260"/>
    <w:rsid w:val="00300FA7"/>
    <w:rsid w:val="0030135B"/>
    <w:rsid w:val="00301413"/>
    <w:rsid w:val="003040A4"/>
    <w:rsid w:val="00306A9A"/>
    <w:rsid w:val="003070D5"/>
    <w:rsid w:val="003111A2"/>
    <w:rsid w:val="00311E59"/>
    <w:rsid w:val="00315A9D"/>
    <w:rsid w:val="00317984"/>
    <w:rsid w:val="00322E3D"/>
    <w:rsid w:val="003250FC"/>
    <w:rsid w:val="003256CE"/>
    <w:rsid w:val="003260C6"/>
    <w:rsid w:val="00326D45"/>
    <w:rsid w:val="00326DBA"/>
    <w:rsid w:val="00330131"/>
    <w:rsid w:val="00333258"/>
    <w:rsid w:val="003377BA"/>
    <w:rsid w:val="003401FE"/>
    <w:rsid w:val="00340BD5"/>
    <w:rsid w:val="00342616"/>
    <w:rsid w:val="00343920"/>
    <w:rsid w:val="003441A4"/>
    <w:rsid w:val="00347376"/>
    <w:rsid w:val="003473A8"/>
    <w:rsid w:val="00351B16"/>
    <w:rsid w:val="00353F24"/>
    <w:rsid w:val="00354F53"/>
    <w:rsid w:val="00362B11"/>
    <w:rsid w:val="00363299"/>
    <w:rsid w:val="00363374"/>
    <w:rsid w:val="0036386D"/>
    <w:rsid w:val="00365D38"/>
    <w:rsid w:val="00370720"/>
    <w:rsid w:val="00370CF1"/>
    <w:rsid w:val="003710F0"/>
    <w:rsid w:val="00373566"/>
    <w:rsid w:val="00374953"/>
    <w:rsid w:val="00374DC9"/>
    <w:rsid w:val="00374EF8"/>
    <w:rsid w:val="0037666F"/>
    <w:rsid w:val="0038056D"/>
    <w:rsid w:val="003830C0"/>
    <w:rsid w:val="0038427E"/>
    <w:rsid w:val="003856AE"/>
    <w:rsid w:val="00387208"/>
    <w:rsid w:val="003906A9"/>
    <w:rsid w:val="003921A6"/>
    <w:rsid w:val="00392D20"/>
    <w:rsid w:val="00393878"/>
    <w:rsid w:val="00393E95"/>
    <w:rsid w:val="00397BB1"/>
    <w:rsid w:val="003A09DC"/>
    <w:rsid w:val="003A0B46"/>
    <w:rsid w:val="003A495E"/>
    <w:rsid w:val="003A7053"/>
    <w:rsid w:val="003B0A06"/>
    <w:rsid w:val="003B1154"/>
    <w:rsid w:val="003B16CF"/>
    <w:rsid w:val="003B27A5"/>
    <w:rsid w:val="003B36E1"/>
    <w:rsid w:val="003B372D"/>
    <w:rsid w:val="003B3D1A"/>
    <w:rsid w:val="003C1DFE"/>
    <w:rsid w:val="003C3482"/>
    <w:rsid w:val="003D0E23"/>
    <w:rsid w:val="003D1043"/>
    <w:rsid w:val="003D4D62"/>
    <w:rsid w:val="003D5F95"/>
    <w:rsid w:val="003D74BD"/>
    <w:rsid w:val="003D7BB1"/>
    <w:rsid w:val="003E13CA"/>
    <w:rsid w:val="003E1C9F"/>
    <w:rsid w:val="003E1F46"/>
    <w:rsid w:val="003E28B4"/>
    <w:rsid w:val="003E4AF4"/>
    <w:rsid w:val="003E4FF9"/>
    <w:rsid w:val="003E53C4"/>
    <w:rsid w:val="003E5605"/>
    <w:rsid w:val="003E64DE"/>
    <w:rsid w:val="003E64F4"/>
    <w:rsid w:val="003E7AED"/>
    <w:rsid w:val="003E7EF2"/>
    <w:rsid w:val="003F0640"/>
    <w:rsid w:val="003F3EDB"/>
    <w:rsid w:val="003F428F"/>
    <w:rsid w:val="003F5907"/>
    <w:rsid w:val="003F6AE9"/>
    <w:rsid w:val="004005B4"/>
    <w:rsid w:val="00400EFA"/>
    <w:rsid w:val="00401CE4"/>
    <w:rsid w:val="00402876"/>
    <w:rsid w:val="00402966"/>
    <w:rsid w:val="00402DC1"/>
    <w:rsid w:val="00403243"/>
    <w:rsid w:val="00403812"/>
    <w:rsid w:val="00403881"/>
    <w:rsid w:val="00404D1A"/>
    <w:rsid w:val="00405609"/>
    <w:rsid w:val="0040652F"/>
    <w:rsid w:val="0041192B"/>
    <w:rsid w:val="00413448"/>
    <w:rsid w:val="004141E6"/>
    <w:rsid w:val="004145E7"/>
    <w:rsid w:val="0041464D"/>
    <w:rsid w:val="004149AF"/>
    <w:rsid w:val="00417D0D"/>
    <w:rsid w:val="0042059F"/>
    <w:rsid w:val="00422251"/>
    <w:rsid w:val="00422DBB"/>
    <w:rsid w:val="004254AB"/>
    <w:rsid w:val="00426C18"/>
    <w:rsid w:val="0042729B"/>
    <w:rsid w:val="0042738C"/>
    <w:rsid w:val="00430AB7"/>
    <w:rsid w:val="00431EE8"/>
    <w:rsid w:val="00433113"/>
    <w:rsid w:val="00434421"/>
    <w:rsid w:val="00441B98"/>
    <w:rsid w:val="00442206"/>
    <w:rsid w:val="00444CE9"/>
    <w:rsid w:val="004478BE"/>
    <w:rsid w:val="00447E4A"/>
    <w:rsid w:val="00451F45"/>
    <w:rsid w:val="004549FA"/>
    <w:rsid w:val="00455374"/>
    <w:rsid w:val="00455B45"/>
    <w:rsid w:val="00455CD1"/>
    <w:rsid w:val="00456362"/>
    <w:rsid w:val="00456428"/>
    <w:rsid w:val="00456D2A"/>
    <w:rsid w:val="00462460"/>
    <w:rsid w:val="00463261"/>
    <w:rsid w:val="004672CE"/>
    <w:rsid w:val="004675EE"/>
    <w:rsid w:val="00470229"/>
    <w:rsid w:val="00471DDE"/>
    <w:rsid w:val="0047399B"/>
    <w:rsid w:val="00474DF4"/>
    <w:rsid w:val="004761B5"/>
    <w:rsid w:val="00476603"/>
    <w:rsid w:val="0047792C"/>
    <w:rsid w:val="00480619"/>
    <w:rsid w:val="00480EE1"/>
    <w:rsid w:val="0048231E"/>
    <w:rsid w:val="004839EA"/>
    <w:rsid w:val="0048594B"/>
    <w:rsid w:val="00487D57"/>
    <w:rsid w:val="004909F4"/>
    <w:rsid w:val="004956F3"/>
    <w:rsid w:val="0049616F"/>
    <w:rsid w:val="004968AB"/>
    <w:rsid w:val="004A093E"/>
    <w:rsid w:val="004A33CB"/>
    <w:rsid w:val="004A4BDD"/>
    <w:rsid w:val="004A53E6"/>
    <w:rsid w:val="004A5D5B"/>
    <w:rsid w:val="004B25CE"/>
    <w:rsid w:val="004B27C3"/>
    <w:rsid w:val="004B2BA1"/>
    <w:rsid w:val="004B604E"/>
    <w:rsid w:val="004B6716"/>
    <w:rsid w:val="004B6CC4"/>
    <w:rsid w:val="004C13C9"/>
    <w:rsid w:val="004C1A24"/>
    <w:rsid w:val="004C3FD5"/>
    <w:rsid w:val="004C4E30"/>
    <w:rsid w:val="004C55C5"/>
    <w:rsid w:val="004C5A07"/>
    <w:rsid w:val="004C5CD3"/>
    <w:rsid w:val="004C7AE8"/>
    <w:rsid w:val="004D490D"/>
    <w:rsid w:val="004D75C4"/>
    <w:rsid w:val="004E072F"/>
    <w:rsid w:val="004E146E"/>
    <w:rsid w:val="004E22DA"/>
    <w:rsid w:val="004E4822"/>
    <w:rsid w:val="004F23C1"/>
    <w:rsid w:val="004F57BE"/>
    <w:rsid w:val="004F61C3"/>
    <w:rsid w:val="004F7E5F"/>
    <w:rsid w:val="00500FD1"/>
    <w:rsid w:val="005010DD"/>
    <w:rsid w:val="00501965"/>
    <w:rsid w:val="00501EE7"/>
    <w:rsid w:val="00503053"/>
    <w:rsid w:val="00503540"/>
    <w:rsid w:val="005036CB"/>
    <w:rsid w:val="0050602A"/>
    <w:rsid w:val="00506C3F"/>
    <w:rsid w:val="00507A59"/>
    <w:rsid w:val="0051024B"/>
    <w:rsid w:val="0051223A"/>
    <w:rsid w:val="005125B5"/>
    <w:rsid w:val="005137AC"/>
    <w:rsid w:val="00514CBA"/>
    <w:rsid w:val="00515810"/>
    <w:rsid w:val="00515D3D"/>
    <w:rsid w:val="0051694F"/>
    <w:rsid w:val="0052073E"/>
    <w:rsid w:val="00522963"/>
    <w:rsid w:val="00524A2D"/>
    <w:rsid w:val="00525643"/>
    <w:rsid w:val="00532BFC"/>
    <w:rsid w:val="005368DA"/>
    <w:rsid w:val="00536ED6"/>
    <w:rsid w:val="0054013A"/>
    <w:rsid w:val="005408E3"/>
    <w:rsid w:val="0054695B"/>
    <w:rsid w:val="00551516"/>
    <w:rsid w:val="00553280"/>
    <w:rsid w:val="00555A52"/>
    <w:rsid w:val="00555EFB"/>
    <w:rsid w:val="00556112"/>
    <w:rsid w:val="005573FF"/>
    <w:rsid w:val="00557C38"/>
    <w:rsid w:val="005608A1"/>
    <w:rsid w:val="00561C7F"/>
    <w:rsid w:val="005630DC"/>
    <w:rsid w:val="005646DF"/>
    <w:rsid w:val="0056630F"/>
    <w:rsid w:val="0056648A"/>
    <w:rsid w:val="005668A4"/>
    <w:rsid w:val="00572BC3"/>
    <w:rsid w:val="005742EB"/>
    <w:rsid w:val="00576CF3"/>
    <w:rsid w:val="005852C0"/>
    <w:rsid w:val="00585515"/>
    <w:rsid w:val="0059130A"/>
    <w:rsid w:val="00591DCE"/>
    <w:rsid w:val="00592C45"/>
    <w:rsid w:val="00596F6A"/>
    <w:rsid w:val="005A03A9"/>
    <w:rsid w:val="005A4636"/>
    <w:rsid w:val="005A553A"/>
    <w:rsid w:val="005A58DC"/>
    <w:rsid w:val="005A6674"/>
    <w:rsid w:val="005B0396"/>
    <w:rsid w:val="005B45FF"/>
    <w:rsid w:val="005B64E0"/>
    <w:rsid w:val="005B7BEA"/>
    <w:rsid w:val="005C012E"/>
    <w:rsid w:val="005C09ED"/>
    <w:rsid w:val="005C0E87"/>
    <w:rsid w:val="005C1BC6"/>
    <w:rsid w:val="005C1E47"/>
    <w:rsid w:val="005C253C"/>
    <w:rsid w:val="005C52D1"/>
    <w:rsid w:val="005C63BA"/>
    <w:rsid w:val="005C645B"/>
    <w:rsid w:val="005C724E"/>
    <w:rsid w:val="005D02C6"/>
    <w:rsid w:val="005D0F46"/>
    <w:rsid w:val="005D208A"/>
    <w:rsid w:val="005D46D3"/>
    <w:rsid w:val="005D6062"/>
    <w:rsid w:val="005D6582"/>
    <w:rsid w:val="005E01D2"/>
    <w:rsid w:val="005E2DA3"/>
    <w:rsid w:val="005E48C4"/>
    <w:rsid w:val="005E5A4E"/>
    <w:rsid w:val="005E6414"/>
    <w:rsid w:val="005F156A"/>
    <w:rsid w:val="005F57D9"/>
    <w:rsid w:val="005F5ACE"/>
    <w:rsid w:val="00601759"/>
    <w:rsid w:val="0060279D"/>
    <w:rsid w:val="00602FB2"/>
    <w:rsid w:val="00603428"/>
    <w:rsid w:val="0060374C"/>
    <w:rsid w:val="00603AE1"/>
    <w:rsid w:val="00603EF2"/>
    <w:rsid w:val="0060653F"/>
    <w:rsid w:val="00606DAA"/>
    <w:rsid w:val="00607ED6"/>
    <w:rsid w:val="00610DFE"/>
    <w:rsid w:val="00612065"/>
    <w:rsid w:val="006124F0"/>
    <w:rsid w:val="00612BF0"/>
    <w:rsid w:val="00613555"/>
    <w:rsid w:val="00613B95"/>
    <w:rsid w:val="00614074"/>
    <w:rsid w:val="0061572B"/>
    <w:rsid w:val="0062127A"/>
    <w:rsid w:val="006224E8"/>
    <w:rsid w:val="00624F07"/>
    <w:rsid w:val="0062645C"/>
    <w:rsid w:val="00627A97"/>
    <w:rsid w:val="00630235"/>
    <w:rsid w:val="00631131"/>
    <w:rsid w:val="006313E5"/>
    <w:rsid w:val="00631FC2"/>
    <w:rsid w:val="00633270"/>
    <w:rsid w:val="00634223"/>
    <w:rsid w:val="00634E50"/>
    <w:rsid w:val="00636275"/>
    <w:rsid w:val="0064075A"/>
    <w:rsid w:val="006448F8"/>
    <w:rsid w:val="00646540"/>
    <w:rsid w:val="00646A16"/>
    <w:rsid w:val="00647856"/>
    <w:rsid w:val="00651772"/>
    <w:rsid w:val="00651AE7"/>
    <w:rsid w:val="00651F91"/>
    <w:rsid w:val="00654C9A"/>
    <w:rsid w:val="006571E9"/>
    <w:rsid w:val="00657CAC"/>
    <w:rsid w:val="00660AA2"/>
    <w:rsid w:val="006616AF"/>
    <w:rsid w:val="00661D32"/>
    <w:rsid w:val="00662E43"/>
    <w:rsid w:val="006637D4"/>
    <w:rsid w:val="006638D2"/>
    <w:rsid w:val="00664946"/>
    <w:rsid w:val="00664C70"/>
    <w:rsid w:val="006654EC"/>
    <w:rsid w:val="00665617"/>
    <w:rsid w:val="0066645C"/>
    <w:rsid w:val="00670BCB"/>
    <w:rsid w:val="00672913"/>
    <w:rsid w:val="00672CFB"/>
    <w:rsid w:val="00673672"/>
    <w:rsid w:val="006741E3"/>
    <w:rsid w:val="00676F8F"/>
    <w:rsid w:val="00677A75"/>
    <w:rsid w:val="006818BE"/>
    <w:rsid w:val="00682E60"/>
    <w:rsid w:val="006830BE"/>
    <w:rsid w:val="006835B2"/>
    <w:rsid w:val="00683AF8"/>
    <w:rsid w:val="006854FF"/>
    <w:rsid w:val="00686506"/>
    <w:rsid w:val="00687AB2"/>
    <w:rsid w:val="00687D24"/>
    <w:rsid w:val="00687DDF"/>
    <w:rsid w:val="00690A67"/>
    <w:rsid w:val="00690F80"/>
    <w:rsid w:val="006971FB"/>
    <w:rsid w:val="00697CEB"/>
    <w:rsid w:val="006A206D"/>
    <w:rsid w:val="006A5352"/>
    <w:rsid w:val="006A6E55"/>
    <w:rsid w:val="006B123C"/>
    <w:rsid w:val="006B17CE"/>
    <w:rsid w:val="006B1A36"/>
    <w:rsid w:val="006B22E5"/>
    <w:rsid w:val="006B5C1C"/>
    <w:rsid w:val="006B6075"/>
    <w:rsid w:val="006B6C78"/>
    <w:rsid w:val="006C1657"/>
    <w:rsid w:val="006C3A0E"/>
    <w:rsid w:val="006C419F"/>
    <w:rsid w:val="006C44DF"/>
    <w:rsid w:val="006C4ADB"/>
    <w:rsid w:val="006C6208"/>
    <w:rsid w:val="006D03B6"/>
    <w:rsid w:val="006D08C7"/>
    <w:rsid w:val="006D2626"/>
    <w:rsid w:val="006D55F1"/>
    <w:rsid w:val="006D5EA5"/>
    <w:rsid w:val="006D60BF"/>
    <w:rsid w:val="006D6348"/>
    <w:rsid w:val="006D6B8B"/>
    <w:rsid w:val="006E1696"/>
    <w:rsid w:val="006E7AB3"/>
    <w:rsid w:val="006F022B"/>
    <w:rsid w:val="006F0538"/>
    <w:rsid w:val="006F0ADA"/>
    <w:rsid w:val="006F1E73"/>
    <w:rsid w:val="006F266A"/>
    <w:rsid w:val="006F36CA"/>
    <w:rsid w:val="006F753F"/>
    <w:rsid w:val="00700239"/>
    <w:rsid w:val="007009A6"/>
    <w:rsid w:val="00700C1E"/>
    <w:rsid w:val="00701976"/>
    <w:rsid w:val="00701BB9"/>
    <w:rsid w:val="00701EE8"/>
    <w:rsid w:val="0070217B"/>
    <w:rsid w:val="00704485"/>
    <w:rsid w:val="007045BE"/>
    <w:rsid w:val="00704DC4"/>
    <w:rsid w:val="00704DC6"/>
    <w:rsid w:val="00707E10"/>
    <w:rsid w:val="00707E1F"/>
    <w:rsid w:val="00711C40"/>
    <w:rsid w:val="00716340"/>
    <w:rsid w:val="00722445"/>
    <w:rsid w:val="00724684"/>
    <w:rsid w:val="0072644E"/>
    <w:rsid w:val="007272EC"/>
    <w:rsid w:val="00731B4C"/>
    <w:rsid w:val="00731EE9"/>
    <w:rsid w:val="00733ED0"/>
    <w:rsid w:val="00734597"/>
    <w:rsid w:val="00736D77"/>
    <w:rsid w:val="00740EDB"/>
    <w:rsid w:val="00744D63"/>
    <w:rsid w:val="00744EE7"/>
    <w:rsid w:val="00746510"/>
    <w:rsid w:val="007468C3"/>
    <w:rsid w:val="007476DB"/>
    <w:rsid w:val="00747954"/>
    <w:rsid w:val="00747B92"/>
    <w:rsid w:val="00750217"/>
    <w:rsid w:val="007516F5"/>
    <w:rsid w:val="00753122"/>
    <w:rsid w:val="007532DA"/>
    <w:rsid w:val="00754B88"/>
    <w:rsid w:val="00755713"/>
    <w:rsid w:val="00760E14"/>
    <w:rsid w:val="007619F7"/>
    <w:rsid w:val="0076434C"/>
    <w:rsid w:val="00764E09"/>
    <w:rsid w:val="0076741A"/>
    <w:rsid w:val="00767F35"/>
    <w:rsid w:val="00772782"/>
    <w:rsid w:val="0077621F"/>
    <w:rsid w:val="007774FB"/>
    <w:rsid w:val="00777762"/>
    <w:rsid w:val="0078294F"/>
    <w:rsid w:val="007832FA"/>
    <w:rsid w:val="007851D5"/>
    <w:rsid w:val="0078546E"/>
    <w:rsid w:val="00786E3B"/>
    <w:rsid w:val="00787281"/>
    <w:rsid w:val="0079074A"/>
    <w:rsid w:val="00790B2E"/>
    <w:rsid w:val="007928BD"/>
    <w:rsid w:val="00793ADC"/>
    <w:rsid w:val="00796235"/>
    <w:rsid w:val="00797CC1"/>
    <w:rsid w:val="00797DB1"/>
    <w:rsid w:val="00797E4F"/>
    <w:rsid w:val="007A4DEB"/>
    <w:rsid w:val="007A4E97"/>
    <w:rsid w:val="007A69C7"/>
    <w:rsid w:val="007A7863"/>
    <w:rsid w:val="007B12E6"/>
    <w:rsid w:val="007B1B49"/>
    <w:rsid w:val="007B3C64"/>
    <w:rsid w:val="007B581A"/>
    <w:rsid w:val="007B62E1"/>
    <w:rsid w:val="007C15D0"/>
    <w:rsid w:val="007C25A4"/>
    <w:rsid w:val="007C2F96"/>
    <w:rsid w:val="007C42ED"/>
    <w:rsid w:val="007C56F1"/>
    <w:rsid w:val="007C5A14"/>
    <w:rsid w:val="007C5D42"/>
    <w:rsid w:val="007C63FD"/>
    <w:rsid w:val="007C6F9B"/>
    <w:rsid w:val="007D0B66"/>
    <w:rsid w:val="007D24A4"/>
    <w:rsid w:val="007D34BC"/>
    <w:rsid w:val="007D3802"/>
    <w:rsid w:val="007D7143"/>
    <w:rsid w:val="007D769D"/>
    <w:rsid w:val="007F0637"/>
    <w:rsid w:val="007F1018"/>
    <w:rsid w:val="007F2907"/>
    <w:rsid w:val="007F2D61"/>
    <w:rsid w:val="007F315C"/>
    <w:rsid w:val="007F3CC5"/>
    <w:rsid w:val="007F5941"/>
    <w:rsid w:val="007F609E"/>
    <w:rsid w:val="007F65EA"/>
    <w:rsid w:val="00800F3A"/>
    <w:rsid w:val="00801D06"/>
    <w:rsid w:val="008060C0"/>
    <w:rsid w:val="008072A5"/>
    <w:rsid w:val="00810357"/>
    <w:rsid w:val="008123EF"/>
    <w:rsid w:val="0081341C"/>
    <w:rsid w:val="00813CFA"/>
    <w:rsid w:val="00815252"/>
    <w:rsid w:val="0081725E"/>
    <w:rsid w:val="008179FE"/>
    <w:rsid w:val="00822376"/>
    <w:rsid w:val="00822441"/>
    <w:rsid w:val="008234BA"/>
    <w:rsid w:val="00823A08"/>
    <w:rsid w:val="00825D25"/>
    <w:rsid w:val="00831C98"/>
    <w:rsid w:val="008322EA"/>
    <w:rsid w:val="00832E72"/>
    <w:rsid w:val="0083389C"/>
    <w:rsid w:val="008342BA"/>
    <w:rsid w:val="008351FE"/>
    <w:rsid w:val="00837F62"/>
    <w:rsid w:val="00843736"/>
    <w:rsid w:val="00846B0D"/>
    <w:rsid w:val="00850AD7"/>
    <w:rsid w:val="00861EB4"/>
    <w:rsid w:val="00862E1D"/>
    <w:rsid w:val="00864081"/>
    <w:rsid w:val="0086521E"/>
    <w:rsid w:val="008655B8"/>
    <w:rsid w:val="00866728"/>
    <w:rsid w:val="00867506"/>
    <w:rsid w:val="00867CCB"/>
    <w:rsid w:val="00870737"/>
    <w:rsid w:val="00871F1C"/>
    <w:rsid w:val="00872362"/>
    <w:rsid w:val="00872752"/>
    <w:rsid w:val="008733DA"/>
    <w:rsid w:val="008737B2"/>
    <w:rsid w:val="00875B8D"/>
    <w:rsid w:val="008817A3"/>
    <w:rsid w:val="00883665"/>
    <w:rsid w:val="00884756"/>
    <w:rsid w:val="00887167"/>
    <w:rsid w:val="008910EF"/>
    <w:rsid w:val="00891899"/>
    <w:rsid w:val="00895B04"/>
    <w:rsid w:val="00897A52"/>
    <w:rsid w:val="008A0086"/>
    <w:rsid w:val="008A105E"/>
    <w:rsid w:val="008A1DC8"/>
    <w:rsid w:val="008A4A36"/>
    <w:rsid w:val="008A5A45"/>
    <w:rsid w:val="008A5BD6"/>
    <w:rsid w:val="008A609E"/>
    <w:rsid w:val="008A7B61"/>
    <w:rsid w:val="008A7D4C"/>
    <w:rsid w:val="008A7F4F"/>
    <w:rsid w:val="008B181D"/>
    <w:rsid w:val="008B38C3"/>
    <w:rsid w:val="008B3D2B"/>
    <w:rsid w:val="008B3DF6"/>
    <w:rsid w:val="008B572E"/>
    <w:rsid w:val="008B5A3E"/>
    <w:rsid w:val="008B6893"/>
    <w:rsid w:val="008C098B"/>
    <w:rsid w:val="008C1948"/>
    <w:rsid w:val="008C19C7"/>
    <w:rsid w:val="008C22E0"/>
    <w:rsid w:val="008C2378"/>
    <w:rsid w:val="008C3046"/>
    <w:rsid w:val="008C3AA9"/>
    <w:rsid w:val="008C404F"/>
    <w:rsid w:val="008C64EA"/>
    <w:rsid w:val="008C77BE"/>
    <w:rsid w:val="008D0765"/>
    <w:rsid w:val="008D089A"/>
    <w:rsid w:val="008D2465"/>
    <w:rsid w:val="008D3120"/>
    <w:rsid w:val="008D3409"/>
    <w:rsid w:val="008D3B96"/>
    <w:rsid w:val="008D58DD"/>
    <w:rsid w:val="008D5D1C"/>
    <w:rsid w:val="008D5E8C"/>
    <w:rsid w:val="008D7212"/>
    <w:rsid w:val="008E2575"/>
    <w:rsid w:val="008E2D6A"/>
    <w:rsid w:val="008E38ED"/>
    <w:rsid w:val="008E4ADE"/>
    <w:rsid w:val="008F2F6D"/>
    <w:rsid w:val="008F2FB2"/>
    <w:rsid w:val="008F37E3"/>
    <w:rsid w:val="008F439F"/>
    <w:rsid w:val="008F56D9"/>
    <w:rsid w:val="008F5AE6"/>
    <w:rsid w:val="008F70F6"/>
    <w:rsid w:val="0090019E"/>
    <w:rsid w:val="00900818"/>
    <w:rsid w:val="00900E53"/>
    <w:rsid w:val="0090134F"/>
    <w:rsid w:val="00901EC5"/>
    <w:rsid w:val="00902081"/>
    <w:rsid w:val="00902F24"/>
    <w:rsid w:val="009031C4"/>
    <w:rsid w:val="0090475E"/>
    <w:rsid w:val="00905378"/>
    <w:rsid w:val="009055F6"/>
    <w:rsid w:val="0090609A"/>
    <w:rsid w:val="00911AC1"/>
    <w:rsid w:val="00912B12"/>
    <w:rsid w:val="00913B78"/>
    <w:rsid w:val="00913EAE"/>
    <w:rsid w:val="0091409B"/>
    <w:rsid w:val="00915B63"/>
    <w:rsid w:val="00916A9C"/>
    <w:rsid w:val="009175A9"/>
    <w:rsid w:val="009220AF"/>
    <w:rsid w:val="00924BBF"/>
    <w:rsid w:val="00926F19"/>
    <w:rsid w:val="009272D0"/>
    <w:rsid w:val="009272EE"/>
    <w:rsid w:val="00927D16"/>
    <w:rsid w:val="00930D1E"/>
    <w:rsid w:val="00934735"/>
    <w:rsid w:val="0093585E"/>
    <w:rsid w:val="00936D2B"/>
    <w:rsid w:val="00937C8D"/>
    <w:rsid w:val="0094284B"/>
    <w:rsid w:val="00943B63"/>
    <w:rsid w:val="00945B4D"/>
    <w:rsid w:val="009469D7"/>
    <w:rsid w:val="009470E8"/>
    <w:rsid w:val="00947A99"/>
    <w:rsid w:val="0095312C"/>
    <w:rsid w:val="009613E0"/>
    <w:rsid w:val="009614BA"/>
    <w:rsid w:val="00965159"/>
    <w:rsid w:val="009665A3"/>
    <w:rsid w:val="0097038D"/>
    <w:rsid w:val="00971CA0"/>
    <w:rsid w:val="00977664"/>
    <w:rsid w:val="0098268F"/>
    <w:rsid w:val="00982B77"/>
    <w:rsid w:val="00983E5B"/>
    <w:rsid w:val="00985435"/>
    <w:rsid w:val="00986779"/>
    <w:rsid w:val="009867B3"/>
    <w:rsid w:val="009901EA"/>
    <w:rsid w:val="009903F3"/>
    <w:rsid w:val="00990FA7"/>
    <w:rsid w:val="00993BD7"/>
    <w:rsid w:val="00994B1E"/>
    <w:rsid w:val="0099568C"/>
    <w:rsid w:val="009964C0"/>
    <w:rsid w:val="00997384"/>
    <w:rsid w:val="009A0D85"/>
    <w:rsid w:val="009A1D9F"/>
    <w:rsid w:val="009A283C"/>
    <w:rsid w:val="009A34B7"/>
    <w:rsid w:val="009A4CDB"/>
    <w:rsid w:val="009A504E"/>
    <w:rsid w:val="009A6DDB"/>
    <w:rsid w:val="009B0707"/>
    <w:rsid w:val="009B7EBD"/>
    <w:rsid w:val="009C10B3"/>
    <w:rsid w:val="009C3917"/>
    <w:rsid w:val="009C4337"/>
    <w:rsid w:val="009C4CC9"/>
    <w:rsid w:val="009C4CD3"/>
    <w:rsid w:val="009C694D"/>
    <w:rsid w:val="009D0C0C"/>
    <w:rsid w:val="009D2137"/>
    <w:rsid w:val="009D2E5E"/>
    <w:rsid w:val="009D35E3"/>
    <w:rsid w:val="009D3A1F"/>
    <w:rsid w:val="009D3BEF"/>
    <w:rsid w:val="009D4247"/>
    <w:rsid w:val="009D5EF4"/>
    <w:rsid w:val="009D6317"/>
    <w:rsid w:val="009E3F82"/>
    <w:rsid w:val="009E48E9"/>
    <w:rsid w:val="009E562C"/>
    <w:rsid w:val="009E69BF"/>
    <w:rsid w:val="009E78D1"/>
    <w:rsid w:val="009F1170"/>
    <w:rsid w:val="009F23D3"/>
    <w:rsid w:val="009F302C"/>
    <w:rsid w:val="009F7968"/>
    <w:rsid w:val="00A016B4"/>
    <w:rsid w:val="00A03E1E"/>
    <w:rsid w:val="00A0500A"/>
    <w:rsid w:val="00A076C4"/>
    <w:rsid w:val="00A1114C"/>
    <w:rsid w:val="00A141CC"/>
    <w:rsid w:val="00A24234"/>
    <w:rsid w:val="00A24393"/>
    <w:rsid w:val="00A2490E"/>
    <w:rsid w:val="00A2547B"/>
    <w:rsid w:val="00A3043B"/>
    <w:rsid w:val="00A40EDA"/>
    <w:rsid w:val="00A4509B"/>
    <w:rsid w:val="00A45516"/>
    <w:rsid w:val="00A4628E"/>
    <w:rsid w:val="00A46F50"/>
    <w:rsid w:val="00A4720E"/>
    <w:rsid w:val="00A47977"/>
    <w:rsid w:val="00A511C9"/>
    <w:rsid w:val="00A51A8D"/>
    <w:rsid w:val="00A51B21"/>
    <w:rsid w:val="00A5250B"/>
    <w:rsid w:val="00A52F13"/>
    <w:rsid w:val="00A57545"/>
    <w:rsid w:val="00A63132"/>
    <w:rsid w:val="00A63AE4"/>
    <w:rsid w:val="00A63EFC"/>
    <w:rsid w:val="00A67FF1"/>
    <w:rsid w:val="00A7049E"/>
    <w:rsid w:val="00A708A0"/>
    <w:rsid w:val="00A715E3"/>
    <w:rsid w:val="00A73BC6"/>
    <w:rsid w:val="00A7429F"/>
    <w:rsid w:val="00A77D15"/>
    <w:rsid w:val="00A80B91"/>
    <w:rsid w:val="00A8323B"/>
    <w:rsid w:val="00A83AA5"/>
    <w:rsid w:val="00A873F3"/>
    <w:rsid w:val="00A87483"/>
    <w:rsid w:val="00A9162E"/>
    <w:rsid w:val="00A92115"/>
    <w:rsid w:val="00A9505B"/>
    <w:rsid w:val="00A960F1"/>
    <w:rsid w:val="00AA3468"/>
    <w:rsid w:val="00AA5DD9"/>
    <w:rsid w:val="00AA6007"/>
    <w:rsid w:val="00AA6C27"/>
    <w:rsid w:val="00AA7092"/>
    <w:rsid w:val="00AA7B10"/>
    <w:rsid w:val="00AB2744"/>
    <w:rsid w:val="00AB4648"/>
    <w:rsid w:val="00AB5071"/>
    <w:rsid w:val="00AB5BE7"/>
    <w:rsid w:val="00AB6612"/>
    <w:rsid w:val="00AB76CE"/>
    <w:rsid w:val="00AB7E33"/>
    <w:rsid w:val="00AC1AD6"/>
    <w:rsid w:val="00AC3987"/>
    <w:rsid w:val="00AC702F"/>
    <w:rsid w:val="00AD1459"/>
    <w:rsid w:val="00AD19EF"/>
    <w:rsid w:val="00AD4CA8"/>
    <w:rsid w:val="00AD5B46"/>
    <w:rsid w:val="00AD6731"/>
    <w:rsid w:val="00AE0930"/>
    <w:rsid w:val="00AE2294"/>
    <w:rsid w:val="00AE362A"/>
    <w:rsid w:val="00AE69E9"/>
    <w:rsid w:val="00AE7CC8"/>
    <w:rsid w:val="00AF2529"/>
    <w:rsid w:val="00AF6C55"/>
    <w:rsid w:val="00B00AD9"/>
    <w:rsid w:val="00B00CA1"/>
    <w:rsid w:val="00B00E02"/>
    <w:rsid w:val="00B05E09"/>
    <w:rsid w:val="00B07E06"/>
    <w:rsid w:val="00B10769"/>
    <w:rsid w:val="00B119B9"/>
    <w:rsid w:val="00B12098"/>
    <w:rsid w:val="00B14167"/>
    <w:rsid w:val="00B14303"/>
    <w:rsid w:val="00B15306"/>
    <w:rsid w:val="00B1533A"/>
    <w:rsid w:val="00B17467"/>
    <w:rsid w:val="00B23532"/>
    <w:rsid w:val="00B23E1F"/>
    <w:rsid w:val="00B2665D"/>
    <w:rsid w:val="00B27500"/>
    <w:rsid w:val="00B3033D"/>
    <w:rsid w:val="00B310AF"/>
    <w:rsid w:val="00B32EF0"/>
    <w:rsid w:val="00B33F77"/>
    <w:rsid w:val="00B36364"/>
    <w:rsid w:val="00B373F8"/>
    <w:rsid w:val="00B37FD3"/>
    <w:rsid w:val="00B40A21"/>
    <w:rsid w:val="00B43C26"/>
    <w:rsid w:val="00B46EBB"/>
    <w:rsid w:val="00B478D8"/>
    <w:rsid w:val="00B47A67"/>
    <w:rsid w:val="00B5095D"/>
    <w:rsid w:val="00B519B8"/>
    <w:rsid w:val="00B53A3B"/>
    <w:rsid w:val="00B53E98"/>
    <w:rsid w:val="00B54CFB"/>
    <w:rsid w:val="00B60F30"/>
    <w:rsid w:val="00B62FD8"/>
    <w:rsid w:val="00B63E4A"/>
    <w:rsid w:val="00B64BB0"/>
    <w:rsid w:val="00B66CA3"/>
    <w:rsid w:val="00B66FE0"/>
    <w:rsid w:val="00B67014"/>
    <w:rsid w:val="00B67A24"/>
    <w:rsid w:val="00B704D3"/>
    <w:rsid w:val="00B7190D"/>
    <w:rsid w:val="00B74E54"/>
    <w:rsid w:val="00B77042"/>
    <w:rsid w:val="00B802E5"/>
    <w:rsid w:val="00B86896"/>
    <w:rsid w:val="00B90CFB"/>
    <w:rsid w:val="00B910BC"/>
    <w:rsid w:val="00B95F03"/>
    <w:rsid w:val="00BA0328"/>
    <w:rsid w:val="00BA05FC"/>
    <w:rsid w:val="00BA0CCF"/>
    <w:rsid w:val="00BA4126"/>
    <w:rsid w:val="00BA6FF2"/>
    <w:rsid w:val="00BA760E"/>
    <w:rsid w:val="00BB2A9D"/>
    <w:rsid w:val="00BB3F6F"/>
    <w:rsid w:val="00BB4D9D"/>
    <w:rsid w:val="00BB590D"/>
    <w:rsid w:val="00BC00F5"/>
    <w:rsid w:val="00BC077B"/>
    <w:rsid w:val="00BC0B4C"/>
    <w:rsid w:val="00BC1BC1"/>
    <w:rsid w:val="00BC2DED"/>
    <w:rsid w:val="00BC3162"/>
    <w:rsid w:val="00BC3359"/>
    <w:rsid w:val="00BC5039"/>
    <w:rsid w:val="00BC6C76"/>
    <w:rsid w:val="00BD5E07"/>
    <w:rsid w:val="00BD7464"/>
    <w:rsid w:val="00BE1B14"/>
    <w:rsid w:val="00BE325C"/>
    <w:rsid w:val="00BF6E42"/>
    <w:rsid w:val="00BF6EE6"/>
    <w:rsid w:val="00BF7EEF"/>
    <w:rsid w:val="00C0228F"/>
    <w:rsid w:val="00C02309"/>
    <w:rsid w:val="00C02B6D"/>
    <w:rsid w:val="00C03039"/>
    <w:rsid w:val="00C03396"/>
    <w:rsid w:val="00C03815"/>
    <w:rsid w:val="00C13522"/>
    <w:rsid w:val="00C13C6E"/>
    <w:rsid w:val="00C15258"/>
    <w:rsid w:val="00C15EA3"/>
    <w:rsid w:val="00C1634E"/>
    <w:rsid w:val="00C172B4"/>
    <w:rsid w:val="00C20D3B"/>
    <w:rsid w:val="00C213BA"/>
    <w:rsid w:val="00C21B22"/>
    <w:rsid w:val="00C2386A"/>
    <w:rsid w:val="00C23E4A"/>
    <w:rsid w:val="00C25AB5"/>
    <w:rsid w:val="00C25EBC"/>
    <w:rsid w:val="00C26C58"/>
    <w:rsid w:val="00C307A0"/>
    <w:rsid w:val="00C31E63"/>
    <w:rsid w:val="00C326F7"/>
    <w:rsid w:val="00C32848"/>
    <w:rsid w:val="00C3591A"/>
    <w:rsid w:val="00C37C93"/>
    <w:rsid w:val="00C43AAB"/>
    <w:rsid w:val="00C50612"/>
    <w:rsid w:val="00C516D7"/>
    <w:rsid w:val="00C54783"/>
    <w:rsid w:val="00C5512D"/>
    <w:rsid w:val="00C60F71"/>
    <w:rsid w:val="00C612A8"/>
    <w:rsid w:val="00C629C5"/>
    <w:rsid w:val="00C63356"/>
    <w:rsid w:val="00C6339E"/>
    <w:rsid w:val="00C63FFA"/>
    <w:rsid w:val="00C662F2"/>
    <w:rsid w:val="00C6641D"/>
    <w:rsid w:val="00C6764B"/>
    <w:rsid w:val="00C709CC"/>
    <w:rsid w:val="00C720A8"/>
    <w:rsid w:val="00C730D8"/>
    <w:rsid w:val="00C740BF"/>
    <w:rsid w:val="00C75C36"/>
    <w:rsid w:val="00C805D8"/>
    <w:rsid w:val="00C80FEB"/>
    <w:rsid w:val="00C81D17"/>
    <w:rsid w:val="00C839B0"/>
    <w:rsid w:val="00C85D11"/>
    <w:rsid w:val="00C86317"/>
    <w:rsid w:val="00C90587"/>
    <w:rsid w:val="00C946BC"/>
    <w:rsid w:val="00C94A2B"/>
    <w:rsid w:val="00C94AB8"/>
    <w:rsid w:val="00C95D2E"/>
    <w:rsid w:val="00CA1B38"/>
    <w:rsid w:val="00CA2299"/>
    <w:rsid w:val="00CA3B08"/>
    <w:rsid w:val="00CA6CB9"/>
    <w:rsid w:val="00CA6DE0"/>
    <w:rsid w:val="00CB5383"/>
    <w:rsid w:val="00CC33CE"/>
    <w:rsid w:val="00CC3412"/>
    <w:rsid w:val="00CC348F"/>
    <w:rsid w:val="00CC4468"/>
    <w:rsid w:val="00CC5ECA"/>
    <w:rsid w:val="00CC6397"/>
    <w:rsid w:val="00CC76D4"/>
    <w:rsid w:val="00CC7F59"/>
    <w:rsid w:val="00CD0313"/>
    <w:rsid w:val="00CD0D5F"/>
    <w:rsid w:val="00CD0F05"/>
    <w:rsid w:val="00CD2A44"/>
    <w:rsid w:val="00CD437D"/>
    <w:rsid w:val="00CD4458"/>
    <w:rsid w:val="00CD55FD"/>
    <w:rsid w:val="00CD583A"/>
    <w:rsid w:val="00CE40F1"/>
    <w:rsid w:val="00CE5041"/>
    <w:rsid w:val="00CE5C2F"/>
    <w:rsid w:val="00CE7769"/>
    <w:rsid w:val="00CE7867"/>
    <w:rsid w:val="00CE7FF2"/>
    <w:rsid w:val="00CF1E23"/>
    <w:rsid w:val="00CF475B"/>
    <w:rsid w:val="00CF4BFD"/>
    <w:rsid w:val="00CF4E8E"/>
    <w:rsid w:val="00D015D2"/>
    <w:rsid w:val="00D028A4"/>
    <w:rsid w:val="00D04695"/>
    <w:rsid w:val="00D05457"/>
    <w:rsid w:val="00D05979"/>
    <w:rsid w:val="00D070A0"/>
    <w:rsid w:val="00D079B5"/>
    <w:rsid w:val="00D13C60"/>
    <w:rsid w:val="00D163C8"/>
    <w:rsid w:val="00D16BE9"/>
    <w:rsid w:val="00D17487"/>
    <w:rsid w:val="00D214B5"/>
    <w:rsid w:val="00D2255D"/>
    <w:rsid w:val="00D23DA3"/>
    <w:rsid w:val="00D2439F"/>
    <w:rsid w:val="00D25CCC"/>
    <w:rsid w:val="00D2645A"/>
    <w:rsid w:val="00D315EF"/>
    <w:rsid w:val="00D33BAC"/>
    <w:rsid w:val="00D33F04"/>
    <w:rsid w:val="00D35F7E"/>
    <w:rsid w:val="00D37C77"/>
    <w:rsid w:val="00D462DB"/>
    <w:rsid w:val="00D475BE"/>
    <w:rsid w:val="00D54FD5"/>
    <w:rsid w:val="00D553A6"/>
    <w:rsid w:val="00D55473"/>
    <w:rsid w:val="00D6057C"/>
    <w:rsid w:val="00D60B67"/>
    <w:rsid w:val="00D60E90"/>
    <w:rsid w:val="00D63557"/>
    <w:rsid w:val="00D63B03"/>
    <w:rsid w:val="00D64E7F"/>
    <w:rsid w:val="00D656FD"/>
    <w:rsid w:val="00D6695B"/>
    <w:rsid w:val="00D6747D"/>
    <w:rsid w:val="00D67D5E"/>
    <w:rsid w:val="00D71ABE"/>
    <w:rsid w:val="00D72F54"/>
    <w:rsid w:val="00D747E3"/>
    <w:rsid w:val="00D77583"/>
    <w:rsid w:val="00D81937"/>
    <w:rsid w:val="00D820FB"/>
    <w:rsid w:val="00D82B57"/>
    <w:rsid w:val="00D834FC"/>
    <w:rsid w:val="00D86724"/>
    <w:rsid w:val="00D8672E"/>
    <w:rsid w:val="00D924C3"/>
    <w:rsid w:val="00D93D38"/>
    <w:rsid w:val="00D94E3B"/>
    <w:rsid w:val="00D96D05"/>
    <w:rsid w:val="00DA0496"/>
    <w:rsid w:val="00DA0917"/>
    <w:rsid w:val="00DA295C"/>
    <w:rsid w:val="00DA5486"/>
    <w:rsid w:val="00DA55C3"/>
    <w:rsid w:val="00DA5875"/>
    <w:rsid w:val="00DB12AA"/>
    <w:rsid w:val="00DB34FD"/>
    <w:rsid w:val="00DB394E"/>
    <w:rsid w:val="00DB5103"/>
    <w:rsid w:val="00DB5389"/>
    <w:rsid w:val="00DB59D3"/>
    <w:rsid w:val="00DC0C8A"/>
    <w:rsid w:val="00DC1060"/>
    <w:rsid w:val="00DC23AA"/>
    <w:rsid w:val="00DC3ED5"/>
    <w:rsid w:val="00DC4773"/>
    <w:rsid w:val="00DC4C64"/>
    <w:rsid w:val="00DC5AA5"/>
    <w:rsid w:val="00DC6CF4"/>
    <w:rsid w:val="00DC7579"/>
    <w:rsid w:val="00DD06BF"/>
    <w:rsid w:val="00DD2039"/>
    <w:rsid w:val="00DD2A6E"/>
    <w:rsid w:val="00DD5334"/>
    <w:rsid w:val="00DD54A1"/>
    <w:rsid w:val="00DD5AA0"/>
    <w:rsid w:val="00DD5CB1"/>
    <w:rsid w:val="00DD7BB6"/>
    <w:rsid w:val="00DE1E7D"/>
    <w:rsid w:val="00DE1F77"/>
    <w:rsid w:val="00DE6768"/>
    <w:rsid w:val="00DE6ED2"/>
    <w:rsid w:val="00DE7AE7"/>
    <w:rsid w:val="00DF32E4"/>
    <w:rsid w:val="00DF3A3D"/>
    <w:rsid w:val="00DF6EC1"/>
    <w:rsid w:val="00E007FA"/>
    <w:rsid w:val="00E030DC"/>
    <w:rsid w:val="00E042F4"/>
    <w:rsid w:val="00E04D2F"/>
    <w:rsid w:val="00E04E14"/>
    <w:rsid w:val="00E05AB0"/>
    <w:rsid w:val="00E06E3C"/>
    <w:rsid w:val="00E109F2"/>
    <w:rsid w:val="00E1220F"/>
    <w:rsid w:val="00E12E22"/>
    <w:rsid w:val="00E15A48"/>
    <w:rsid w:val="00E15D8A"/>
    <w:rsid w:val="00E15FEC"/>
    <w:rsid w:val="00E16FE5"/>
    <w:rsid w:val="00E213AA"/>
    <w:rsid w:val="00E21436"/>
    <w:rsid w:val="00E24820"/>
    <w:rsid w:val="00E25785"/>
    <w:rsid w:val="00E26450"/>
    <w:rsid w:val="00E26C56"/>
    <w:rsid w:val="00E276FD"/>
    <w:rsid w:val="00E32642"/>
    <w:rsid w:val="00E336F0"/>
    <w:rsid w:val="00E34A06"/>
    <w:rsid w:val="00E358BD"/>
    <w:rsid w:val="00E35F63"/>
    <w:rsid w:val="00E373CD"/>
    <w:rsid w:val="00E40F6A"/>
    <w:rsid w:val="00E419EB"/>
    <w:rsid w:val="00E41CAD"/>
    <w:rsid w:val="00E4426F"/>
    <w:rsid w:val="00E44A54"/>
    <w:rsid w:val="00E44D51"/>
    <w:rsid w:val="00E47A7F"/>
    <w:rsid w:val="00E50F74"/>
    <w:rsid w:val="00E53E82"/>
    <w:rsid w:val="00E54100"/>
    <w:rsid w:val="00E544B1"/>
    <w:rsid w:val="00E54F60"/>
    <w:rsid w:val="00E55CEB"/>
    <w:rsid w:val="00E55D95"/>
    <w:rsid w:val="00E60307"/>
    <w:rsid w:val="00E6246F"/>
    <w:rsid w:val="00E63956"/>
    <w:rsid w:val="00E67A72"/>
    <w:rsid w:val="00E67C04"/>
    <w:rsid w:val="00E67C7E"/>
    <w:rsid w:val="00E71537"/>
    <w:rsid w:val="00E71CD4"/>
    <w:rsid w:val="00E7419D"/>
    <w:rsid w:val="00E7585B"/>
    <w:rsid w:val="00E76AE7"/>
    <w:rsid w:val="00E77894"/>
    <w:rsid w:val="00E80DAF"/>
    <w:rsid w:val="00E832E2"/>
    <w:rsid w:val="00E84E50"/>
    <w:rsid w:val="00E90CC8"/>
    <w:rsid w:val="00E9236C"/>
    <w:rsid w:val="00E93FC1"/>
    <w:rsid w:val="00E94EAD"/>
    <w:rsid w:val="00E94F6E"/>
    <w:rsid w:val="00E9549A"/>
    <w:rsid w:val="00E95720"/>
    <w:rsid w:val="00EA0F10"/>
    <w:rsid w:val="00EA1096"/>
    <w:rsid w:val="00EA17EE"/>
    <w:rsid w:val="00EA4007"/>
    <w:rsid w:val="00EA66DE"/>
    <w:rsid w:val="00EA6FB9"/>
    <w:rsid w:val="00EA728B"/>
    <w:rsid w:val="00EB031A"/>
    <w:rsid w:val="00EB09A4"/>
    <w:rsid w:val="00EB0A49"/>
    <w:rsid w:val="00EB1633"/>
    <w:rsid w:val="00EB1670"/>
    <w:rsid w:val="00EB2FBA"/>
    <w:rsid w:val="00EB6061"/>
    <w:rsid w:val="00EB6E6A"/>
    <w:rsid w:val="00EC0EB0"/>
    <w:rsid w:val="00EC2D5A"/>
    <w:rsid w:val="00EC55A5"/>
    <w:rsid w:val="00EC6E33"/>
    <w:rsid w:val="00ED0210"/>
    <w:rsid w:val="00ED15EC"/>
    <w:rsid w:val="00ED3229"/>
    <w:rsid w:val="00ED3B98"/>
    <w:rsid w:val="00ED40AB"/>
    <w:rsid w:val="00ED41E6"/>
    <w:rsid w:val="00ED718D"/>
    <w:rsid w:val="00EE0226"/>
    <w:rsid w:val="00EE022C"/>
    <w:rsid w:val="00EE176F"/>
    <w:rsid w:val="00EE2945"/>
    <w:rsid w:val="00EE2B05"/>
    <w:rsid w:val="00EE7A14"/>
    <w:rsid w:val="00EF0A7A"/>
    <w:rsid w:val="00EF0F83"/>
    <w:rsid w:val="00EF1FB6"/>
    <w:rsid w:val="00EF468D"/>
    <w:rsid w:val="00EF4842"/>
    <w:rsid w:val="00EF5E1A"/>
    <w:rsid w:val="00F004CE"/>
    <w:rsid w:val="00F0051D"/>
    <w:rsid w:val="00F01118"/>
    <w:rsid w:val="00F01655"/>
    <w:rsid w:val="00F03DF9"/>
    <w:rsid w:val="00F05C98"/>
    <w:rsid w:val="00F07F7D"/>
    <w:rsid w:val="00F100D5"/>
    <w:rsid w:val="00F11F4A"/>
    <w:rsid w:val="00F1302E"/>
    <w:rsid w:val="00F131A2"/>
    <w:rsid w:val="00F14C4F"/>
    <w:rsid w:val="00F1513E"/>
    <w:rsid w:val="00F16CBB"/>
    <w:rsid w:val="00F17E8B"/>
    <w:rsid w:val="00F2050D"/>
    <w:rsid w:val="00F210E0"/>
    <w:rsid w:val="00F22608"/>
    <w:rsid w:val="00F22D15"/>
    <w:rsid w:val="00F25C50"/>
    <w:rsid w:val="00F26678"/>
    <w:rsid w:val="00F267E5"/>
    <w:rsid w:val="00F27195"/>
    <w:rsid w:val="00F32A78"/>
    <w:rsid w:val="00F34073"/>
    <w:rsid w:val="00F3408C"/>
    <w:rsid w:val="00F3432C"/>
    <w:rsid w:val="00F408D1"/>
    <w:rsid w:val="00F40B51"/>
    <w:rsid w:val="00F42F83"/>
    <w:rsid w:val="00F43741"/>
    <w:rsid w:val="00F44420"/>
    <w:rsid w:val="00F45305"/>
    <w:rsid w:val="00F456F1"/>
    <w:rsid w:val="00F460E5"/>
    <w:rsid w:val="00F50D29"/>
    <w:rsid w:val="00F52531"/>
    <w:rsid w:val="00F56FF0"/>
    <w:rsid w:val="00F6038F"/>
    <w:rsid w:val="00F609D3"/>
    <w:rsid w:val="00F61C1F"/>
    <w:rsid w:val="00F6349B"/>
    <w:rsid w:val="00F63C0D"/>
    <w:rsid w:val="00F640E9"/>
    <w:rsid w:val="00F642C3"/>
    <w:rsid w:val="00F64C5F"/>
    <w:rsid w:val="00F663B5"/>
    <w:rsid w:val="00F70EEC"/>
    <w:rsid w:val="00F713C8"/>
    <w:rsid w:val="00F749E2"/>
    <w:rsid w:val="00F74BC3"/>
    <w:rsid w:val="00F74C4B"/>
    <w:rsid w:val="00F77A21"/>
    <w:rsid w:val="00F82C01"/>
    <w:rsid w:val="00F93C46"/>
    <w:rsid w:val="00F95639"/>
    <w:rsid w:val="00F95FBB"/>
    <w:rsid w:val="00F9759B"/>
    <w:rsid w:val="00F97CA1"/>
    <w:rsid w:val="00FA000F"/>
    <w:rsid w:val="00FA1912"/>
    <w:rsid w:val="00FA1ABB"/>
    <w:rsid w:val="00FA1D26"/>
    <w:rsid w:val="00FB2202"/>
    <w:rsid w:val="00FB30CF"/>
    <w:rsid w:val="00FB4077"/>
    <w:rsid w:val="00FB53BB"/>
    <w:rsid w:val="00FB6E40"/>
    <w:rsid w:val="00FC1892"/>
    <w:rsid w:val="00FC3461"/>
    <w:rsid w:val="00FC498D"/>
    <w:rsid w:val="00FC525D"/>
    <w:rsid w:val="00FC76FE"/>
    <w:rsid w:val="00FD443A"/>
    <w:rsid w:val="00FD4E60"/>
    <w:rsid w:val="00FD65D5"/>
    <w:rsid w:val="00FD7234"/>
    <w:rsid w:val="00FD765B"/>
    <w:rsid w:val="00FE2B0B"/>
    <w:rsid w:val="00FE3DA5"/>
    <w:rsid w:val="00FF1A8D"/>
    <w:rsid w:val="00FF35F1"/>
    <w:rsid w:val="00FF47D5"/>
    <w:rsid w:val="00FF6D8E"/>
    <w:rsid w:val="00FF72E8"/>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16E1"/>
  <w15:chartTrackingRefBased/>
  <w15:docId w15:val="{AC1C2028-7F64-4AB6-AB7F-0D8E1EFA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41"/>
    <w:rPr>
      <w:rFonts w:ascii="Georgia" w:hAnsi="Georgia"/>
    </w:rPr>
  </w:style>
  <w:style w:type="paragraph" w:styleId="Heading1">
    <w:name w:val="heading 1"/>
    <w:basedOn w:val="Normal"/>
    <w:next w:val="Normal"/>
    <w:link w:val="Heading1Char"/>
    <w:uiPriority w:val="9"/>
    <w:qFormat/>
    <w:rsid w:val="002729FD"/>
    <w:pPr>
      <w:keepNext/>
      <w:keepLines/>
      <w:numPr>
        <w:numId w:val="26"/>
      </w:numPr>
      <w:spacing w:before="240" w:after="0" w:line="240"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2729FD"/>
    <w:pPr>
      <w:keepNext/>
      <w:keepLines/>
      <w:numPr>
        <w:ilvl w:val="1"/>
        <w:numId w:val="26"/>
      </w:numPr>
      <w:spacing w:before="40" w:after="0" w:line="240" w:lineRule="auto"/>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2729FD"/>
    <w:pPr>
      <w:keepNext/>
      <w:keepLines/>
      <w:numPr>
        <w:ilvl w:val="2"/>
        <w:numId w:val="26"/>
      </w:numPr>
      <w:spacing w:before="40" w:after="0" w:line="24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2729FD"/>
    <w:pPr>
      <w:keepNext/>
      <w:keepLines/>
      <w:spacing w:before="40" w:after="0" w:line="240" w:lineRule="auto"/>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7A21"/>
    <w:rPr>
      <w:sz w:val="16"/>
      <w:szCs w:val="16"/>
    </w:rPr>
  </w:style>
  <w:style w:type="paragraph" w:styleId="CommentText">
    <w:name w:val="annotation text"/>
    <w:basedOn w:val="Normal"/>
    <w:link w:val="CommentTextChar"/>
    <w:uiPriority w:val="99"/>
    <w:semiHidden/>
    <w:unhideWhenUsed/>
    <w:rsid w:val="00F77A21"/>
    <w:pPr>
      <w:spacing w:line="240" w:lineRule="auto"/>
    </w:pPr>
    <w:rPr>
      <w:sz w:val="20"/>
      <w:szCs w:val="20"/>
    </w:rPr>
  </w:style>
  <w:style w:type="character" w:customStyle="1" w:styleId="CommentTextChar">
    <w:name w:val="Comment Text Char"/>
    <w:basedOn w:val="DefaultParagraphFont"/>
    <w:link w:val="CommentText"/>
    <w:uiPriority w:val="99"/>
    <w:semiHidden/>
    <w:rsid w:val="00F77A21"/>
    <w:rPr>
      <w:sz w:val="20"/>
      <w:szCs w:val="20"/>
    </w:rPr>
  </w:style>
  <w:style w:type="paragraph" w:styleId="CommentSubject">
    <w:name w:val="annotation subject"/>
    <w:basedOn w:val="CommentText"/>
    <w:next w:val="CommentText"/>
    <w:link w:val="CommentSubjectChar"/>
    <w:uiPriority w:val="99"/>
    <w:semiHidden/>
    <w:unhideWhenUsed/>
    <w:rsid w:val="00F77A21"/>
    <w:rPr>
      <w:b/>
      <w:bCs/>
    </w:rPr>
  </w:style>
  <w:style w:type="character" w:customStyle="1" w:styleId="CommentSubjectChar">
    <w:name w:val="Comment Subject Char"/>
    <w:basedOn w:val="CommentTextChar"/>
    <w:link w:val="CommentSubject"/>
    <w:uiPriority w:val="99"/>
    <w:semiHidden/>
    <w:rsid w:val="00F77A21"/>
    <w:rPr>
      <w:b/>
      <w:bCs/>
      <w:sz w:val="20"/>
      <w:szCs w:val="20"/>
    </w:rPr>
  </w:style>
  <w:style w:type="paragraph" w:styleId="BalloonText">
    <w:name w:val="Balloon Text"/>
    <w:basedOn w:val="Normal"/>
    <w:link w:val="BalloonTextChar"/>
    <w:uiPriority w:val="99"/>
    <w:semiHidden/>
    <w:unhideWhenUsed/>
    <w:rsid w:val="00F7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21"/>
    <w:rPr>
      <w:rFonts w:ascii="Segoe UI" w:hAnsi="Segoe UI" w:cs="Segoe UI"/>
      <w:sz w:val="18"/>
      <w:szCs w:val="18"/>
    </w:rPr>
  </w:style>
  <w:style w:type="character" w:styleId="Hyperlink">
    <w:name w:val="Hyperlink"/>
    <w:basedOn w:val="DefaultParagraphFont"/>
    <w:uiPriority w:val="99"/>
    <w:unhideWhenUsed/>
    <w:rsid w:val="00916A9C"/>
    <w:rPr>
      <w:color w:val="0563C1" w:themeColor="hyperlink"/>
      <w:u w:val="single"/>
    </w:rPr>
  </w:style>
  <w:style w:type="character" w:customStyle="1" w:styleId="UnresolvedMention1">
    <w:name w:val="Unresolved Mention1"/>
    <w:basedOn w:val="DefaultParagraphFont"/>
    <w:uiPriority w:val="99"/>
    <w:semiHidden/>
    <w:unhideWhenUsed/>
    <w:rsid w:val="00916A9C"/>
    <w:rPr>
      <w:color w:val="605E5C"/>
      <w:shd w:val="clear" w:color="auto" w:fill="E1DFDD"/>
    </w:rPr>
  </w:style>
  <w:style w:type="paragraph" w:styleId="ListParagraph">
    <w:name w:val="List Paragraph"/>
    <w:basedOn w:val="Normal"/>
    <w:uiPriority w:val="34"/>
    <w:qFormat/>
    <w:rsid w:val="00633270"/>
    <w:pPr>
      <w:ind w:left="720"/>
      <w:contextualSpacing/>
    </w:pPr>
  </w:style>
  <w:style w:type="paragraph" w:styleId="FootnoteText">
    <w:name w:val="footnote text"/>
    <w:basedOn w:val="Normal"/>
    <w:link w:val="FootnoteTextChar"/>
    <w:uiPriority w:val="99"/>
    <w:unhideWhenUsed/>
    <w:rsid w:val="00915B63"/>
    <w:pPr>
      <w:spacing w:after="0" w:line="240" w:lineRule="auto"/>
    </w:pPr>
    <w:rPr>
      <w:sz w:val="20"/>
      <w:szCs w:val="20"/>
    </w:rPr>
  </w:style>
  <w:style w:type="character" w:customStyle="1" w:styleId="FootnoteTextChar">
    <w:name w:val="Footnote Text Char"/>
    <w:basedOn w:val="DefaultParagraphFont"/>
    <w:link w:val="FootnoteText"/>
    <w:uiPriority w:val="99"/>
    <w:rsid w:val="00915B63"/>
    <w:rPr>
      <w:sz w:val="20"/>
      <w:szCs w:val="20"/>
    </w:rPr>
  </w:style>
  <w:style w:type="character" w:styleId="FootnoteReference">
    <w:name w:val="footnote reference"/>
    <w:basedOn w:val="DefaultParagraphFont"/>
    <w:uiPriority w:val="99"/>
    <w:semiHidden/>
    <w:unhideWhenUsed/>
    <w:rsid w:val="00915B63"/>
    <w:rPr>
      <w:vertAlign w:val="superscript"/>
    </w:rPr>
  </w:style>
  <w:style w:type="paragraph" w:styleId="Quote">
    <w:name w:val="Quote"/>
    <w:basedOn w:val="Normal"/>
    <w:next w:val="Normal"/>
    <w:link w:val="QuoteChar"/>
    <w:uiPriority w:val="29"/>
    <w:qFormat/>
    <w:rsid w:val="00AA3468"/>
    <w:pPr>
      <w:spacing w:before="200"/>
      <w:ind w:left="864" w:right="864"/>
    </w:pPr>
    <w:rPr>
      <w:iCs/>
      <w:color w:val="000000" w:themeColor="text1"/>
    </w:rPr>
  </w:style>
  <w:style w:type="character" w:customStyle="1" w:styleId="QuoteChar">
    <w:name w:val="Quote Char"/>
    <w:basedOn w:val="DefaultParagraphFont"/>
    <w:link w:val="Quote"/>
    <w:uiPriority w:val="29"/>
    <w:rsid w:val="00AA3468"/>
    <w:rPr>
      <w:rFonts w:ascii="Georgia" w:hAnsi="Georgia"/>
      <w:iCs/>
      <w:color w:val="000000" w:themeColor="text1"/>
    </w:rPr>
  </w:style>
  <w:style w:type="paragraph" w:styleId="Header">
    <w:name w:val="header"/>
    <w:basedOn w:val="Normal"/>
    <w:link w:val="HeaderChar"/>
    <w:uiPriority w:val="99"/>
    <w:unhideWhenUsed/>
    <w:rsid w:val="008B3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F6"/>
  </w:style>
  <w:style w:type="paragraph" w:styleId="Footer">
    <w:name w:val="footer"/>
    <w:basedOn w:val="Normal"/>
    <w:link w:val="FooterChar"/>
    <w:uiPriority w:val="99"/>
    <w:unhideWhenUsed/>
    <w:rsid w:val="008B3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F6"/>
  </w:style>
  <w:style w:type="character" w:customStyle="1" w:styleId="Heading1Char">
    <w:name w:val="Heading 1 Char"/>
    <w:basedOn w:val="DefaultParagraphFont"/>
    <w:link w:val="Heading1"/>
    <w:uiPriority w:val="9"/>
    <w:rsid w:val="002729F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729FD"/>
    <w:rPr>
      <w:rFonts w:ascii="Times New Roman" w:hAnsi="Times New Roman"/>
      <w:b/>
      <w:sz w:val="24"/>
      <w:szCs w:val="26"/>
    </w:rPr>
  </w:style>
  <w:style w:type="character" w:customStyle="1" w:styleId="Heading3Char">
    <w:name w:val="Heading 3 Char"/>
    <w:basedOn w:val="DefaultParagraphFont"/>
    <w:link w:val="Heading3"/>
    <w:uiPriority w:val="9"/>
    <w:rsid w:val="002729F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2729FD"/>
    <w:rPr>
      <w:rFonts w:asciiTheme="majorHAnsi" w:eastAsiaTheme="majorEastAsia" w:hAnsiTheme="majorHAnsi" w:cstheme="majorBidi"/>
      <w:i/>
      <w:iCs/>
      <w:color w:val="2F5496" w:themeColor="accent1" w:themeShade="BF"/>
      <w:sz w:val="24"/>
    </w:rPr>
  </w:style>
  <w:style w:type="paragraph" w:customStyle="1" w:styleId="EndNoteBibliographyTitle">
    <w:name w:val="EndNote Bibliography Title"/>
    <w:basedOn w:val="Normal"/>
    <w:link w:val="EndNoteBibliographyTitleChar"/>
    <w:rsid w:val="002729FD"/>
    <w:pPr>
      <w:spacing w:after="0" w:line="240" w:lineRule="auto"/>
      <w:jc w:val="center"/>
    </w:pPr>
    <w:rPr>
      <w:rFonts w:ascii="Times New Roman" w:hAnsi="Times New Roman" w:cs="Times New Roman"/>
      <w:noProof/>
      <w:sz w:val="24"/>
      <w:szCs w:val="20"/>
    </w:rPr>
  </w:style>
  <w:style w:type="character" w:customStyle="1" w:styleId="EndNoteBibliographyTitleChar">
    <w:name w:val="EndNote Bibliography Title Char"/>
    <w:basedOn w:val="FootnoteTextChar"/>
    <w:link w:val="EndNoteBibliographyTitle"/>
    <w:rsid w:val="002729FD"/>
    <w:rPr>
      <w:rFonts w:ascii="Times New Roman" w:hAnsi="Times New Roman" w:cs="Times New Roman"/>
      <w:noProof/>
      <w:sz w:val="24"/>
      <w:szCs w:val="20"/>
    </w:rPr>
  </w:style>
  <w:style w:type="paragraph" w:customStyle="1" w:styleId="EndNoteBibliography">
    <w:name w:val="EndNote Bibliography"/>
    <w:basedOn w:val="Normal"/>
    <w:link w:val="EndNoteBibliographyChar"/>
    <w:rsid w:val="002729FD"/>
    <w:pPr>
      <w:spacing w:line="240" w:lineRule="auto"/>
    </w:pPr>
    <w:rPr>
      <w:rFonts w:ascii="Times New Roman" w:hAnsi="Times New Roman" w:cs="Times New Roman"/>
      <w:noProof/>
      <w:sz w:val="24"/>
      <w:szCs w:val="20"/>
    </w:rPr>
  </w:style>
  <w:style w:type="character" w:customStyle="1" w:styleId="EndNoteBibliographyChar">
    <w:name w:val="EndNote Bibliography Char"/>
    <w:basedOn w:val="FootnoteTextChar"/>
    <w:link w:val="EndNoteBibliography"/>
    <w:rsid w:val="002729FD"/>
    <w:rPr>
      <w:rFonts w:ascii="Times New Roman" w:hAnsi="Times New Roman" w:cs="Times New Roman"/>
      <w:noProof/>
      <w:sz w:val="24"/>
      <w:szCs w:val="20"/>
    </w:rPr>
  </w:style>
  <w:style w:type="numbering" w:customStyle="1" w:styleId="Dissertationmulti-levellist">
    <w:name w:val="Dissertation multi-level list"/>
    <w:uiPriority w:val="99"/>
    <w:rsid w:val="002729FD"/>
  </w:style>
  <w:style w:type="numbering" w:customStyle="1" w:styleId="DissertationNumbering">
    <w:name w:val="Dissertation Numbering"/>
    <w:uiPriority w:val="99"/>
    <w:rsid w:val="002729FD"/>
  </w:style>
  <w:style w:type="numbering" w:customStyle="1" w:styleId="PhilosophyPapers">
    <w:name w:val="Philosophy Papers"/>
    <w:uiPriority w:val="99"/>
    <w:rsid w:val="002729FD"/>
    <w:pPr>
      <w:numPr>
        <w:numId w:val="19"/>
      </w:numPr>
    </w:pPr>
  </w:style>
  <w:style w:type="paragraph" w:styleId="NoSpacing">
    <w:name w:val="No Spacing"/>
    <w:uiPriority w:val="1"/>
    <w:qFormat/>
    <w:rsid w:val="002729FD"/>
    <w:pPr>
      <w:spacing w:after="0" w:line="240" w:lineRule="auto"/>
    </w:pPr>
    <w:rPr>
      <w:rFonts w:ascii="Georgia" w:hAnsi="Georgia"/>
      <w:sz w:val="24"/>
    </w:rPr>
  </w:style>
  <w:style w:type="paragraph" w:styleId="Bibliography">
    <w:name w:val="Bibliography"/>
    <w:basedOn w:val="Normal"/>
    <w:next w:val="Normal"/>
    <w:uiPriority w:val="37"/>
    <w:unhideWhenUsed/>
    <w:rsid w:val="00B67A2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456A-C413-4D3A-BFCD-98F3C85C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12714</Words>
  <Characters>72470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Stoutenburg</dc:creator>
  <cp:keywords/>
  <dc:description/>
  <cp:lastModifiedBy>Greg</cp:lastModifiedBy>
  <cp:revision>77</cp:revision>
  <dcterms:created xsi:type="dcterms:W3CDTF">2020-09-28T17:24:00Z</dcterms:created>
  <dcterms:modified xsi:type="dcterms:W3CDTF">2021-08-22T21:01:00Z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id="Ky4R9NfQ"/&gt;&lt;style id="http://www.zotero.org/styles/philosophical-studies"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