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6B99" w14:textId="77777777" w:rsidR="006B2620" w:rsidRDefault="006B2620" w:rsidP="00BC4B2F">
      <w:pPr>
        <w:spacing w:line="240" w:lineRule="auto"/>
        <w:rPr>
          <w:rFonts w:ascii="Times New Roman" w:eastAsia="Times New Roman" w:hAnsi="Times New Roman" w:cs="Times New Roman"/>
          <w:sz w:val="24"/>
          <w:szCs w:val="24"/>
        </w:rPr>
      </w:pPr>
    </w:p>
    <w:p w14:paraId="0F97A6F7" w14:textId="77777777" w:rsidR="006B2620" w:rsidRDefault="006B2620" w:rsidP="00BC4B2F">
      <w:pPr>
        <w:spacing w:line="240" w:lineRule="auto"/>
        <w:rPr>
          <w:rFonts w:ascii="Times New Roman" w:eastAsia="Times New Roman" w:hAnsi="Times New Roman" w:cs="Times New Roman"/>
          <w:sz w:val="24"/>
          <w:szCs w:val="24"/>
        </w:rPr>
      </w:pPr>
    </w:p>
    <w:p w14:paraId="00000002" w14:textId="6B5C7110" w:rsidR="008F3A7C" w:rsidRDefault="006B2620" w:rsidP="00BC4B2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J. Coyle and </w:t>
      </w:r>
      <w:proofErr w:type="spellStart"/>
      <w:r>
        <w:rPr>
          <w:rFonts w:ascii="Times New Roman" w:eastAsia="Times New Roman" w:hAnsi="Times New Roman" w:cs="Times New Roman"/>
          <w:sz w:val="24"/>
          <w:szCs w:val="24"/>
        </w:rPr>
        <w:t>Mechthild</w:t>
      </w:r>
      <w:proofErr w:type="spellEnd"/>
      <w:r>
        <w:rPr>
          <w:rFonts w:ascii="Times New Roman" w:eastAsia="Times New Roman" w:hAnsi="Times New Roman" w:cs="Times New Roman"/>
          <w:sz w:val="24"/>
          <w:szCs w:val="24"/>
        </w:rPr>
        <w:t xml:space="preserve"> Nagel</w:t>
      </w:r>
      <w:r>
        <w:rPr>
          <w:rFonts w:ascii="Times New Roman" w:eastAsia="Times New Roman" w:hAnsi="Times New Roman" w:cs="Times New Roman"/>
          <w:sz w:val="24"/>
          <w:szCs w:val="24"/>
        </w:rPr>
        <w:t xml:space="preserve">, </w:t>
      </w:r>
      <w:r w:rsidR="00711D6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 </w:t>
      </w:r>
      <w:r w:rsidR="00BD5BDF" w:rsidRPr="006B2620">
        <w:rPr>
          <w:rFonts w:ascii="Times New Roman" w:eastAsia="Times New Roman" w:hAnsi="Times New Roman" w:cs="Times New Roman"/>
          <w:i/>
          <w:iCs/>
          <w:sz w:val="24"/>
          <w:szCs w:val="24"/>
        </w:rPr>
        <w:t>Contesting Carceral Logic: Toward Abolitionist Futures</w:t>
      </w:r>
      <w:r>
        <w:rPr>
          <w:rFonts w:ascii="Times New Roman" w:eastAsia="Times New Roman" w:hAnsi="Times New Roman" w:cs="Times New Roman"/>
          <w:i/>
          <w:iCs/>
          <w:sz w:val="24"/>
          <w:szCs w:val="24"/>
        </w:rPr>
        <w:t xml:space="preserve">. </w:t>
      </w:r>
      <w:r w:rsidRPr="006B2620">
        <w:rPr>
          <w:rFonts w:ascii="Times New Roman" w:eastAsia="Times New Roman" w:hAnsi="Times New Roman" w:cs="Times New Roman"/>
          <w:sz w:val="24"/>
          <w:szCs w:val="24"/>
        </w:rPr>
        <w:t>R</w:t>
      </w:r>
      <w:r w:rsidR="007661A0">
        <w:rPr>
          <w:rFonts w:ascii="Times New Roman" w:eastAsia="Times New Roman" w:hAnsi="Times New Roman" w:cs="Times New Roman"/>
          <w:sz w:val="24"/>
          <w:szCs w:val="24"/>
        </w:rPr>
        <w:t>outledge, 2022.</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Pp. 213. $</w:t>
      </w:r>
      <w:r w:rsidR="0097419A">
        <w:rPr>
          <w:rFonts w:ascii="Times New Roman" w:eastAsia="Times New Roman" w:hAnsi="Times New Roman" w:cs="Times New Roman"/>
          <w:sz w:val="24"/>
          <w:szCs w:val="24"/>
        </w:rPr>
        <w:t>49.95</w:t>
      </w:r>
      <w:r>
        <w:rPr>
          <w:rFonts w:ascii="Times New Roman" w:eastAsia="Times New Roman" w:hAnsi="Times New Roman" w:cs="Times New Roman"/>
          <w:sz w:val="24"/>
          <w:szCs w:val="24"/>
        </w:rPr>
        <w:t>, paperback. ISBN: 9780367751326</w:t>
      </w:r>
    </w:p>
    <w:p w14:paraId="383F7B09" w14:textId="77777777" w:rsidR="006B2620" w:rsidRPr="006B2620" w:rsidRDefault="006B2620" w:rsidP="00BC4B2F">
      <w:pPr>
        <w:spacing w:line="240" w:lineRule="auto"/>
        <w:rPr>
          <w:rFonts w:ascii="Times New Roman" w:eastAsia="Times New Roman" w:hAnsi="Times New Roman" w:cs="Times New Roman"/>
          <w:sz w:val="24"/>
          <w:szCs w:val="24"/>
        </w:rPr>
      </w:pPr>
    </w:p>
    <w:p w14:paraId="00000003" w14:textId="77777777" w:rsidR="008F3A7C" w:rsidRDefault="008F3A7C" w:rsidP="00BC4B2F">
      <w:pPr>
        <w:spacing w:line="240" w:lineRule="auto"/>
        <w:rPr>
          <w:rFonts w:ascii="Times New Roman" w:eastAsia="Times New Roman" w:hAnsi="Times New Roman" w:cs="Times New Roman"/>
          <w:sz w:val="24"/>
          <w:szCs w:val="24"/>
        </w:rPr>
      </w:pPr>
    </w:p>
    <w:p w14:paraId="00000004" w14:textId="39AE0F87" w:rsidR="008F3A7C" w:rsidRDefault="00BD5BDF" w:rsidP="00B129E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years, </w:t>
      </w:r>
      <w:r>
        <w:rPr>
          <w:rFonts w:ascii="Times New Roman" w:eastAsia="Times New Roman" w:hAnsi="Times New Roman" w:cs="Times New Roman"/>
          <w:sz w:val="24"/>
          <w:szCs w:val="24"/>
        </w:rPr>
        <w:t>Americans across the political spectrum have recognized abuses in the U.S. criminal-legal system; however, the notion of this system as a “justice system”</w:t>
      </w:r>
      <w:r w:rsidR="00691BEC">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a rational set of institutions that may sometimes be corrupted by abuse but is fundamentally oriente</w:t>
      </w:r>
      <w:r>
        <w:rPr>
          <w:rFonts w:ascii="Times New Roman" w:eastAsia="Times New Roman" w:hAnsi="Times New Roman" w:cs="Times New Roman"/>
          <w:sz w:val="24"/>
          <w:szCs w:val="24"/>
        </w:rPr>
        <w:t>d towards justice</w:t>
      </w:r>
      <w:r w:rsidR="00691BEC">
        <w:rPr>
          <w:rFonts w:ascii="Times New Roman" w:eastAsia="Times New Roman" w:hAnsi="Times New Roman" w:cs="Times New Roman"/>
          <w:sz w:val="24"/>
          <w:szCs w:val="24"/>
        </w:rPr>
        <w:t xml:space="preserve"> and safety</w:t>
      </w:r>
      <w:r>
        <w:rPr>
          <w:rFonts w:ascii="Times New Roman" w:eastAsia="Times New Roman" w:hAnsi="Times New Roman" w:cs="Times New Roman"/>
          <w:sz w:val="24"/>
          <w:szCs w:val="24"/>
        </w:rPr>
        <w:t xml:space="preserve">--remains deeply ingrained in the national consciousness. Except in more specialized circles, questions about the basic logic of </w:t>
      </w:r>
      <w:r w:rsidR="00691BEC">
        <w:rPr>
          <w:rFonts w:ascii="Times New Roman" w:eastAsia="Times New Roman" w:hAnsi="Times New Roman" w:cs="Times New Roman"/>
          <w:sz w:val="24"/>
          <w:szCs w:val="24"/>
        </w:rPr>
        <w:t xml:space="preserve">our justice </w:t>
      </w:r>
      <w:r>
        <w:rPr>
          <w:rFonts w:ascii="Times New Roman" w:eastAsia="Times New Roman" w:hAnsi="Times New Roman" w:cs="Times New Roman"/>
          <w:sz w:val="24"/>
          <w:szCs w:val="24"/>
        </w:rPr>
        <w:t xml:space="preserve">system are rarely raised. Building on a rich tradition of abolitionist thought, </w:t>
      </w:r>
      <w:r>
        <w:rPr>
          <w:rFonts w:ascii="Times New Roman" w:eastAsia="Times New Roman" w:hAnsi="Times New Roman" w:cs="Times New Roman"/>
          <w:i/>
          <w:sz w:val="24"/>
          <w:szCs w:val="24"/>
        </w:rPr>
        <w:t>Contesting</w:t>
      </w:r>
      <w:r>
        <w:rPr>
          <w:rFonts w:ascii="Times New Roman" w:eastAsia="Times New Roman" w:hAnsi="Times New Roman" w:cs="Times New Roman"/>
          <w:i/>
          <w:sz w:val="24"/>
          <w:szCs w:val="24"/>
        </w:rPr>
        <w:t xml:space="preserve"> Carceral Logic </w:t>
      </w:r>
      <w:r>
        <w:rPr>
          <w:rFonts w:ascii="Times New Roman" w:eastAsia="Times New Roman" w:hAnsi="Times New Roman" w:cs="Times New Roman"/>
          <w:sz w:val="24"/>
          <w:szCs w:val="24"/>
        </w:rPr>
        <w:t>helps a wider audience to raise more probing questions about the system we have called “justice.” Why, for instance, do we identify justice and safety with incarcerating people? Why are the same racialized and dispossessed populations locke</w:t>
      </w:r>
      <w:r>
        <w:rPr>
          <w:rFonts w:ascii="Times New Roman" w:eastAsia="Times New Roman" w:hAnsi="Times New Roman" w:cs="Times New Roman"/>
          <w:sz w:val="24"/>
          <w:szCs w:val="24"/>
        </w:rPr>
        <w:t>d up across the world? And why do we target and vilify the transgressions of socially vulnerable populations while ignoring the much more substantial harms of poverty and institutionalized racism?</w:t>
      </w:r>
    </w:p>
    <w:p w14:paraId="00000005" w14:textId="79451B1B"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contributors to </w:t>
      </w:r>
      <w:r>
        <w:rPr>
          <w:rFonts w:ascii="Times New Roman" w:eastAsia="Times New Roman" w:hAnsi="Times New Roman" w:cs="Times New Roman"/>
          <w:i/>
          <w:sz w:val="24"/>
          <w:szCs w:val="24"/>
        </w:rPr>
        <w:t xml:space="preserve">Contesting Carceral Logic </w:t>
      </w:r>
      <w:r>
        <w:rPr>
          <w:rFonts w:ascii="Times New Roman" w:eastAsia="Times New Roman" w:hAnsi="Times New Roman" w:cs="Times New Roman"/>
          <w:sz w:val="24"/>
          <w:szCs w:val="24"/>
        </w:rPr>
        <w:t>share a commi</w:t>
      </w:r>
      <w:r>
        <w:rPr>
          <w:rFonts w:ascii="Times New Roman" w:eastAsia="Times New Roman" w:hAnsi="Times New Roman" w:cs="Times New Roman"/>
          <w:sz w:val="24"/>
          <w:szCs w:val="24"/>
        </w:rPr>
        <w:t>tment to radical critique of what passes as “criminal justice,” but their contributions vary widely in intellectual style and social and geographic standpoints. The heterogeneous collection does not offer a systematic critique of modern punishment or metho</w:t>
      </w:r>
      <w:r>
        <w:rPr>
          <w:rFonts w:ascii="Times New Roman" w:eastAsia="Times New Roman" w:hAnsi="Times New Roman" w:cs="Times New Roman"/>
          <w:sz w:val="24"/>
          <w:szCs w:val="24"/>
        </w:rPr>
        <w:t>dical elaboration of penal abolition and its links to broader transformation of the world that has given rise to prisons. The book does, however, present a rich variety of perspectives–anti-colonial, anti-racist, feminist, Marxist, Foucauldian, Southern cr</w:t>
      </w:r>
      <w:r>
        <w:rPr>
          <w:rFonts w:ascii="Times New Roman" w:eastAsia="Times New Roman" w:hAnsi="Times New Roman" w:cs="Times New Roman"/>
          <w:sz w:val="24"/>
          <w:szCs w:val="24"/>
        </w:rPr>
        <w:t>imin</w:t>
      </w:r>
      <w:r w:rsidR="00197487">
        <w:rPr>
          <w:rFonts w:ascii="Times New Roman" w:eastAsia="Times New Roman" w:hAnsi="Times New Roman" w:cs="Times New Roman"/>
          <w:sz w:val="24"/>
          <w:szCs w:val="24"/>
        </w:rPr>
        <w:t>o</w:t>
      </w:r>
      <w:r>
        <w:rPr>
          <w:rFonts w:ascii="Times New Roman" w:eastAsia="Times New Roman" w:hAnsi="Times New Roman" w:cs="Times New Roman"/>
          <w:sz w:val="24"/>
          <w:szCs w:val="24"/>
        </w:rPr>
        <w:t>logy, activism-situated, and poetic--on the contradictions of the modern penal system. Readers new to these arguments will find a variety of inroads for critically examining the modern paradigm of justice. Readers familiar with abolitionist texts are b</w:t>
      </w:r>
      <w:r>
        <w:rPr>
          <w:rFonts w:ascii="Times New Roman" w:eastAsia="Times New Roman" w:hAnsi="Times New Roman" w:cs="Times New Roman"/>
          <w:sz w:val="24"/>
          <w:szCs w:val="24"/>
        </w:rPr>
        <w:t xml:space="preserve">ound to encounter some </w:t>
      </w:r>
      <w:r>
        <w:rPr>
          <w:rFonts w:ascii="Times New Roman" w:eastAsia="Times New Roman" w:hAnsi="Times New Roman" w:cs="Times New Roman"/>
          <w:sz w:val="24"/>
          <w:szCs w:val="24"/>
        </w:rPr>
        <w:lastRenderedPageBreak/>
        <w:t xml:space="preserve">new provocations amongst the variety of essays collected here for exploring a kind of “justice” that does not exacerbate but helps us to heal from racist violence and other social harms. </w:t>
      </w:r>
    </w:p>
    <w:p w14:paraId="00000006" w14:textId="4AF8EB43"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introduction by editors Michael Coyle and </w:t>
      </w:r>
      <w:proofErr w:type="spellStart"/>
      <w:r>
        <w:rPr>
          <w:rFonts w:ascii="Times New Roman" w:eastAsia="Times New Roman" w:hAnsi="Times New Roman" w:cs="Times New Roman"/>
          <w:sz w:val="24"/>
          <w:szCs w:val="24"/>
        </w:rPr>
        <w:t>Methschild</w:t>
      </w:r>
      <w:proofErr w:type="spellEnd"/>
      <w:r>
        <w:rPr>
          <w:rFonts w:ascii="Times New Roman" w:eastAsia="Times New Roman" w:hAnsi="Times New Roman" w:cs="Times New Roman"/>
          <w:sz w:val="24"/>
          <w:szCs w:val="24"/>
        </w:rPr>
        <w:t xml:space="preserve"> Nagel frames the volume in terms of an explicitly abolitionist stance. They contrast </w:t>
      </w:r>
      <w:r>
        <w:rPr>
          <w:rFonts w:ascii="Times New Roman" w:eastAsia="Times New Roman" w:hAnsi="Times New Roman" w:cs="Times New Roman"/>
          <w:i/>
          <w:sz w:val="24"/>
          <w:szCs w:val="24"/>
        </w:rPr>
        <w:t>carceral logic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 logic centered on the premise “that threats, punishments, and imprisonment broadly work as solutions to social </w:t>
      </w:r>
      <w:proofErr w:type="gramStart"/>
      <w:r>
        <w:rPr>
          <w:rFonts w:ascii="Times New Roman" w:eastAsia="Times New Roman" w:hAnsi="Times New Roman" w:cs="Times New Roman"/>
          <w:sz w:val="24"/>
          <w:szCs w:val="24"/>
        </w:rPr>
        <w:t>problems”--</w:t>
      </w:r>
      <w:proofErr w:type="gramEnd"/>
      <w:r>
        <w:rPr>
          <w:rFonts w:ascii="Times New Roman" w:eastAsia="Times New Roman" w:hAnsi="Times New Roman" w:cs="Times New Roman"/>
          <w:sz w:val="24"/>
          <w:szCs w:val="24"/>
        </w:rPr>
        <w:t xml:space="preserve">to </w:t>
      </w:r>
      <w:r>
        <w:rPr>
          <w:rFonts w:ascii="Times New Roman" w:eastAsia="Times New Roman" w:hAnsi="Times New Roman" w:cs="Times New Roman"/>
          <w:i/>
          <w:sz w:val="24"/>
          <w:szCs w:val="24"/>
        </w:rPr>
        <w:t>penal</w:t>
      </w:r>
      <w:r w:rsidRPr="00B129E0">
        <w:rPr>
          <w:rFonts w:ascii="Times New Roman" w:eastAsia="Times New Roman" w:hAnsi="Times New Roman" w:cs="Times New Roman"/>
          <w:i/>
          <w:sz w:val="24"/>
          <w:szCs w:val="24"/>
        </w:rPr>
        <w:t xml:space="preserve"> abolition</w:t>
      </w:r>
      <w:r w:rsidRPr="00B129E0">
        <w:rPr>
          <w:rFonts w:ascii="Times New Roman" w:eastAsia="Times New Roman" w:hAnsi="Times New Roman" w:cs="Times New Roman"/>
          <w:i/>
          <w:sz w:val="24"/>
          <w:szCs w:val="24"/>
        </w:rPr>
        <w:t xml:space="preserve"> logic</w:t>
      </w:r>
      <w:r w:rsidR="00B129E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00B129E0">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rejects carceral assumptions and shifts the conversation to “how communities can best socially organize to respond to [all] transgression” (</w:t>
      </w:r>
      <w:r>
        <w:rPr>
          <w:rFonts w:ascii="Times New Roman" w:eastAsia="Times New Roman" w:hAnsi="Times New Roman" w:cs="Times New Roman"/>
          <w:sz w:val="24"/>
          <w:szCs w:val="24"/>
        </w:rPr>
        <w:t>1, 5). While the discussion of penal abolition remains general, the introduction effectiv</w:t>
      </w:r>
      <w:r>
        <w:rPr>
          <w:rFonts w:ascii="Times New Roman" w:eastAsia="Times New Roman" w:hAnsi="Times New Roman" w:cs="Times New Roman"/>
          <w:sz w:val="24"/>
          <w:szCs w:val="24"/>
        </w:rPr>
        <w:t xml:space="preserve">ely brings under scrutiny the contours of a punishment-oriented mindset born of racism and violence that now dominates modern life. Citing decolonial theorists, critical race theorists, and Michel Foucault, it traces our punishment-oriented criminal-legal </w:t>
      </w:r>
      <w:r>
        <w:rPr>
          <w:rFonts w:ascii="Times New Roman" w:eastAsia="Times New Roman" w:hAnsi="Times New Roman" w:cs="Times New Roman"/>
          <w:sz w:val="24"/>
          <w:szCs w:val="24"/>
        </w:rPr>
        <w:t>system to colonialism, white supremacy, and modern capitalism, each of which has invoked the authority of the law and the tools of state-sanctioned punishment to enforce power relations. It invites readers to consider how, from colonialism to the present d</w:t>
      </w:r>
      <w:r>
        <w:rPr>
          <w:rFonts w:ascii="Times New Roman" w:eastAsia="Times New Roman" w:hAnsi="Times New Roman" w:cs="Times New Roman"/>
          <w:sz w:val="24"/>
          <w:szCs w:val="24"/>
        </w:rPr>
        <w:t>ay, the ruse of “criminal justice” has served as a cover to maintain control over subjugated populations.</w:t>
      </w:r>
    </w:p>
    <w:p w14:paraId="00000007" w14:textId="1E284831"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introduction also offers a compelling account of the broad reach of carceral logic across the neocolonial world. In the United States and elsewher</w:t>
      </w:r>
      <w:r>
        <w:rPr>
          <w:rFonts w:ascii="Times New Roman" w:eastAsia="Times New Roman" w:hAnsi="Times New Roman" w:cs="Times New Roman"/>
          <w:sz w:val="24"/>
          <w:szCs w:val="24"/>
        </w:rPr>
        <w:t xml:space="preserve">e, the editors argue, the punish-and-imprison logic </w:t>
      </w:r>
      <w:r>
        <w:rPr>
          <w:rFonts w:ascii="Times New Roman" w:eastAsia="Times New Roman" w:hAnsi="Times New Roman" w:cs="Times New Roman"/>
          <w:sz w:val="24"/>
          <w:szCs w:val="24"/>
        </w:rPr>
        <w:t>has exercised an “almost complete grasp. . .on what is called the ‘criminal justice system’” (</w:t>
      </w:r>
      <w:r>
        <w:rPr>
          <w:rFonts w:ascii="Times New Roman" w:eastAsia="Times New Roman" w:hAnsi="Times New Roman" w:cs="Times New Roman"/>
          <w:sz w:val="24"/>
          <w:szCs w:val="24"/>
        </w:rPr>
        <w:t>2). This logic also has structured everything from immigration policy to schools, from menta</w:t>
      </w:r>
      <w:r>
        <w:rPr>
          <w:rFonts w:ascii="Times New Roman" w:eastAsia="Times New Roman" w:hAnsi="Times New Roman" w:cs="Times New Roman"/>
          <w:sz w:val="24"/>
          <w:szCs w:val="24"/>
        </w:rPr>
        <w:t>l health treatment to responses to “difference of almost any kind,” where state-sanctioned punishment is used to control people who trouble the social order (</w:t>
      </w:r>
      <w:r>
        <w:rPr>
          <w:rFonts w:ascii="Times New Roman" w:eastAsia="Times New Roman" w:hAnsi="Times New Roman" w:cs="Times New Roman"/>
          <w:sz w:val="24"/>
          <w:szCs w:val="24"/>
        </w:rPr>
        <w:t>2). In fact, the editors argue, we have become so fixated on punishing troublemake</w:t>
      </w:r>
      <w:r>
        <w:rPr>
          <w:rFonts w:ascii="Times New Roman" w:eastAsia="Times New Roman" w:hAnsi="Times New Roman" w:cs="Times New Roman"/>
          <w:sz w:val="24"/>
          <w:szCs w:val="24"/>
        </w:rPr>
        <w:t xml:space="preserve">rs that we have largely overlooked the failure of our punishment-oriented systems to reduce crime and the possibility of </w:t>
      </w:r>
      <w:r>
        <w:rPr>
          <w:rFonts w:ascii="Times New Roman" w:eastAsia="Times New Roman" w:hAnsi="Times New Roman" w:cs="Times New Roman"/>
          <w:sz w:val="24"/>
          <w:szCs w:val="24"/>
        </w:rPr>
        <w:lastRenderedPageBreak/>
        <w:t>alternative responses to harm. “[L]</w:t>
      </w:r>
      <w:proofErr w:type="spellStart"/>
      <w:r>
        <w:rPr>
          <w:rFonts w:ascii="Times New Roman" w:eastAsia="Times New Roman" w:hAnsi="Times New Roman" w:cs="Times New Roman"/>
          <w:sz w:val="24"/>
          <w:szCs w:val="24"/>
        </w:rPr>
        <w:t>ike</w:t>
      </w:r>
      <w:proofErr w:type="spellEnd"/>
      <w:r>
        <w:rPr>
          <w:rFonts w:ascii="Times New Roman" w:eastAsia="Times New Roman" w:hAnsi="Times New Roman" w:cs="Times New Roman"/>
          <w:sz w:val="24"/>
          <w:szCs w:val="24"/>
        </w:rPr>
        <w:t xml:space="preserve"> a hammer that sees only contexts in which to pummel,” say Coyle and Nagel, societies mired in th</w:t>
      </w:r>
      <w:r>
        <w:rPr>
          <w:rFonts w:ascii="Times New Roman" w:eastAsia="Times New Roman" w:hAnsi="Times New Roman" w:cs="Times New Roman"/>
          <w:sz w:val="24"/>
          <w:szCs w:val="24"/>
        </w:rPr>
        <w:t xml:space="preserve">e control-and-punishment mindset have become carceral states that “see only contexts in which to punish and imprison” (1).  </w:t>
      </w:r>
    </w:p>
    <w:p w14:paraId="00000008" w14:textId="1439495C"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 logic becomes an unquestioned framework of our institutions, it often structures even the disciplines used to study those in</w:t>
      </w:r>
      <w:r>
        <w:rPr>
          <w:rFonts w:ascii="Times New Roman" w:eastAsia="Times New Roman" w:hAnsi="Times New Roman" w:cs="Times New Roman"/>
          <w:sz w:val="24"/>
          <w:szCs w:val="24"/>
        </w:rPr>
        <w:t>stitutions, which become unwitting accomplices with that logic. The editors argue that this has become the case with the disciplines of criminology and philosophy of law, which aside from some important exceptions, have tended to follow received ways of se</w:t>
      </w:r>
      <w:r>
        <w:rPr>
          <w:rFonts w:ascii="Times New Roman" w:eastAsia="Times New Roman" w:hAnsi="Times New Roman" w:cs="Times New Roman"/>
          <w:sz w:val="24"/>
          <w:szCs w:val="24"/>
        </w:rPr>
        <w:t xml:space="preserve">eing </w:t>
      </w:r>
      <w:r>
        <w:rPr>
          <w:rFonts w:ascii="Times New Roman" w:eastAsia="Times New Roman" w:hAnsi="Times New Roman" w:cs="Times New Roman"/>
          <w:sz w:val="24"/>
          <w:szCs w:val="24"/>
        </w:rPr>
        <w:t xml:space="preserve">“crime” and “criminals,” reduce justice to punishment of “criminals,” and limit inquiry to theorizing the grounds or the appropriate degree of punishment (4). The project of </w:t>
      </w:r>
      <w:r>
        <w:rPr>
          <w:rFonts w:ascii="Times New Roman" w:eastAsia="Times New Roman" w:hAnsi="Times New Roman" w:cs="Times New Roman"/>
          <w:i/>
          <w:sz w:val="24"/>
          <w:szCs w:val="24"/>
        </w:rPr>
        <w:t>Carceral Logic</w:t>
      </w:r>
      <w:r>
        <w:rPr>
          <w:rFonts w:ascii="Times New Roman" w:eastAsia="Times New Roman" w:hAnsi="Times New Roman" w:cs="Times New Roman"/>
          <w:sz w:val="24"/>
          <w:szCs w:val="24"/>
        </w:rPr>
        <w:t>, however, is not to critically examine criminology programs o</w:t>
      </w:r>
      <w:r>
        <w:rPr>
          <w:rFonts w:ascii="Times New Roman" w:eastAsia="Times New Roman" w:hAnsi="Times New Roman" w:cs="Times New Roman"/>
          <w:sz w:val="24"/>
          <w:szCs w:val="24"/>
        </w:rPr>
        <w:t xml:space="preserve">r engage specific debates within these disciplines. Instead, it speaks to readers with a general interest in justice and social problems and offers them an array of perspectives from which to think critically about the role that prisons have played in our </w:t>
      </w:r>
      <w:r>
        <w:rPr>
          <w:rFonts w:ascii="Times New Roman" w:eastAsia="Times New Roman" w:hAnsi="Times New Roman" w:cs="Times New Roman"/>
          <w:sz w:val="24"/>
          <w:szCs w:val="24"/>
        </w:rPr>
        <w:t>world.</w:t>
      </w:r>
    </w:p>
    <w:p w14:paraId="00000009" w14:textId="77777777"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most powerful essays are penned from currently incarcerated writers. These writings offer glimpses into the profound emotional and psychological harm that is endemic to our modern penal system. Beyond testifying to the depth of abuse, th</w:t>
      </w:r>
      <w:r>
        <w:rPr>
          <w:rFonts w:ascii="Times New Roman" w:eastAsia="Times New Roman" w:hAnsi="Times New Roman" w:cs="Times New Roman"/>
          <w:sz w:val="24"/>
          <w:szCs w:val="24"/>
        </w:rPr>
        <w:t>ough, they also attest to the resilient humanity, insight, and value to our community of some of the people our criminal-legal system has treated as disposable. “Disenthrall,” by Emmanuel X, gives voice to the severe crushing of humanity that lies at the c</w:t>
      </w:r>
      <w:r>
        <w:rPr>
          <w:rFonts w:ascii="Times New Roman" w:eastAsia="Times New Roman" w:hAnsi="Times New Roman" w:cs="Times New Roman"/>
          <w:sz w:val="24"/>
          <w:szCs w:val="24"/>
        </w:rPr>
        <w:t xml:space="preserve">ore of our penal system, not unlike that of the slave-trade. Having been caged for 5 years “in a cell smaller than an average bathroom with no TV, radio, or window. . . [s]hackled and handcuffed every time I move” (179), and </w:t>
      </w:r>
      <w:proofErr w:type="gramStart"/>
      <w:r>
        <w:rPr>
          <w:rFonts w:ascii="Times New Roman" w:eastAsia="Times New Roman" w:hAnsi="Times New Roman" w:cs="Times New Roman"/>
          <w:sz w:val="24"/>
          <w:szCs w:val="24"/>
        </w:rPr>
        <w:t>having  mustered</w:t>
      </w:r>
      <w:proofErr w:type="gramEnd"/>
      <w:r>
        <w:rPr>
          <w:rFonts w:ascii="Times New Roman" w:eastAsia="Times New Roman" w:hAnsi="Times New Roman" w:cs="Times New Roman"/>
          <w:sz w:val="24"/>
          <w:szCs w:val="24"/>
        </w:rPr>
        <w:t xml:space="preserve"> strength from </w:t>
      </w:r>
      <w:r>
        <w:rPr>
          <w:rFonts w:ascii="Times New Roman" w:eastAsia="Times New Roman" w:hAnsi="Times New Roman" w:cs="Times New Roman"/>
          <w:sz w:val="24"/>
          <w:szCs w:val="24"/>
        </w:rPr>
        <w:t>inside himself to reflect upon his experience, Emmanuel describes how incarceration does not merely detain but enacts a systematic pummeling of the human spirit.</w:t>
      </w:r>
    </w:p>
    <w:p w14:paraId="0000000A" w14:textId="77777777" w:rsidR="008F3A7C" w:rsidRDefault="008F3A7C" w:rsidP="00B129E0">
      <w:pPr>
        <w:spacing w:line="480" w:lineRule="auto"/>
        <w:ind w:firstLine="720"/>
        <w:rPr>
          <w:rFonts w:ascii="Times New Roman" w:eastAsia="Times New Roman" w:hAnsi="Times New Roman" w:cs="Times New Roman"/>
          <w:sz w:val="24"/>
          <w:szCs w:val="24"/>
        </w:rPr>
      </w:pPr>
    </w:p>
    <w:p w14:paraId="0000000B" w14:textId="77777777" w:rsidR="008F3A7C" w:rsidRDefault="00BD5BDF" w:rsidP="00B129E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Submerged into ruins losing all sense of hope and direction. Stolen. Stripped away from our o</w:t>
      </w:r>
      <w:r>
        <w:rPr>
          <w:rFonts w:ascii="Times New Roman" w:eastAsia="Times New Roman" w:hAnsi="Times New Roman" w:cs="Times New Roman"/>
          <w:sz w:val="24"/>
          <w:szCs w:val="24"/>
        </w:rPr>
        <w:t xml:space="preserve">pportunity to share the full experience of humanity. To thrive in society. To give and contribute to our communities. To experience nature – the nourishment of our kids and to provide for and watch our families grow. </w:t>
      </w:r>
    </w:p>
    <w:p w14:paraId="0000000C" w14:textId="77777777" w:rsidR="008F3A7C" w:rsidRDefault="00BD5BDF" w:rsidP="00B129E0">
      <w:pPr>
        <w:spacing w:line="480" w:lineRule="auto"/>
        <w:ind w:left="720"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…as if we’re a virus; a deadly plague </w:t>
      </w:r>
      <w:r>
        <w:rPr>
          <w:rFonts w:ascii="Times New Roman" w:eastAsia="Times New Roman" w:hAnsi="Times New Roman" w:cs="Times New Roman"/>
          <w:sz w:val="24"/>
          <w:szCs w:val="24"/>
        </w:rPr>
        <w:t xml:space="preserve">stripped from civilization. . .as if we’re infected with a deadly disease that gnaws our identities until we become nothing more than a number (178). </w:t>
      </w:r>
    </w:p>
    <w:p w14:paraId="0000000D" w14:textId="77777777" w:rsidR="008F3A7C" w:rsidRDefault="008F3A7C" w:rsidP="00B129E0">
      <w:pPr>
        <w:spacing w:line="480" w:lineRule="auto"/>
        <w:rPr>
          <w:rFonts w:ascii="Times New Roman" w:eastAsia="Times New Roman" w:hAnsi="Times New Roman" w:cs="Times New Roman"/>
          <w:strike/>
          <w:sz w:val="24"/>
          <w:szCs w:val="24"/>
        </w:rPr>
      </w:pPr>
    </w:p>
    <w:p w14:paraId="0000000E" w14:textId="158474B0" w:rsidR="008F3A7C" w:rsidRDefault="00BD5BDF" w:rsidP="00B129E0">
      <w:pPr>
        <w:spacing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Emmanuel is not the first to compare the U.S. penal system to slavery, </w:t>
      </w:r>
      <w:r w:rsidR="00711D61">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his experience-driven ac</w:t>
      </w:r>
      <w:r>
        <w:rPr>
          <w:rFonts w:ascii="Times New Roman" w:eastAsia="Times New Roman" w:hAnsi="Times New Roman" w:cs="Times New Roman"/>
          <w:sz w:val="24"/>
          <w:szCs w:val="24"/>
        </w:rPr>
        <w:t>count of the continuit</w:t>
      </w:r>
      <w:r w:rsidR="000C780A">
        <w:rPr>
          <w:rFonts w:ascii="Times New Roman" w:eastAsia="Times New Roman" w:hAnsi="Times New Roman" w:cs="Times New Roman"/>
          <w:sz w:val="24"/>
          <w:szCs w:val="24"/>
        </w:rPr>
        <w:t xml:space="preserve">ies </w:t>
      </w:r>
      <w:r>
        <w:rPr>
          <w:rFonts w:ascii="Times New Roman" w:eastAsia="Times New Roman" w:hAnsi="Times New Roman" w:cs="Times New Roman"/>
          <w:sz w:val="24"/>
          <w:szCs w:val="24"/>
        </w:rPr>
        <w:t xml:space="preserve">between </w:t>
      </w:r>
      <w:r w:rsidR="00711D61">
        <w:rPr>
          <w:rFonts w:ascii="Times New Roman" w:eastAsia="Times New Roman" w:hAnsi="Times New Roman" w:cs="Times New Roman"/>
          <w:sz w:val="24"/>
          <w:szCs w:val="24"/>
        </w:rPr>
        <w:t xml:space="preserve">enslavement and incarceration </w:t>
      </w:r>
      <w:r>
        <w:rPr>
          <w:rFonts w:ascii="Times New Roman" w:eastAsia="Times New Roman" w:hAnsi="Times New Roman" w:cs="Times New Roman"/>
          <w:sz w:val="24"/>
          <w:szCs w:val="24"/>
        </w:rPr>
        <w:t>is particularly compelling. Struck by having witnessed “at least 85% of [his] male childhood peers become incarcerated,” Emmanuel traces the “hidden heritage” of his</w:t>
      </w:r>
      <w:r w:rsidR="000C78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people</w:t>
      </w:r>
      <w:r w:rsidR="00711D61">
        <w:rPr>
          <w:rFonts w:ascii="Times New Roman" w:eastAsia="Times New Roman" w:hAnsi="Times New Roman" w:cs="Times New Roman"/>
          <w:sz w:val="24"/>
          <w:szCs w:val="24"/>
        </w:rPr>
        <w:t xml:space="preserve">: </w:t>
      </w:r>
      <w:r w:rsidR="000C780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rom </w:t>
      </w:r>
      <w:r w:rsidR="00181792">
        <w:rPr>
          <w:rFonts w:ascii="Times New Roman" w:eastAsia="Times New Roman" w:hAnsi="Times New Roman" w:cs="Times New Roman"/>
          <w:sz w:val="24"/>
          <w:szCs w:val="24"/>
        </w:rPr>
        <w:t xml:space="preserve">hunted </w:t>
      </w:r>
      <w:r>
        <w:rPr>
          <w:rFonts w:ascii="Times New Roman" w:eastAsia="Times New Roman" w:hAnsi="Times New Roman" w:cs="Times New Roman"/>
          <w:sz w:val="24"/>
          <w:szCs w:val="24"/>
        </w:rPr>
        <w:t xml:space="preserve">fugitive slaves, to people </w:t>
      </w:r>
      <w:r>
        <w:rPr>
          <w:rFonts w:ascii="Times New Roman" w:eastAsia="Times New Roman" w:hAnsi="Times New Roman" w:cs="Times New Roman"/>
          <w:sz w:val="24"/>
          <w:szCs w:val="24"/>
        </w:rPr>
        <w:t xml:space="preserve">forced into the bondage of convict-leasing, to people targeted by a </w:t>
      </w:r>
      <w:proofErr w:type="gramStart"/>
      <w:r>
        <w:rPr>
          <w:rFonts w:ascii="Times New Roman" w:eastAsia="Times New Roman" w:hAnsi="Times New Roman" w:cs="Times New Roman"/>
          <w:sz w:val="24"/>
          <w:szCs w:val="24"/>
        </w:rPr>
        <w:t>contemporary ”</w:t>
      </w:r>
      <w:proofErr w:type="gramEnd"/>
      <w:r>
        <w:rPr>
          <w:rFonts w:ascii="Times New Roman" w:eastAsia="Times New Roman" w:hAnsi="Times New Roman" w:cs="Times New Roman"/>
          <w:sz w:val="24"/>
          <w:szCs w:val="24"/>
        </w:rPr>
        <w:t>[r]</w:t>
      </w:r>
      <w:proofErr w:type="spellStart"/>
      <w:r>
        <w:rPr>
          <w:rFonts w:ascii="Times New Roman" w:eastAsia="Times New Roman" w:hAnsi="Times New Roman" w:cs="Times New Roman"/>
          <w:sz w:val="24"/>
          <w:szCs w:val="24"/>
        </w:rPr>
        <w:t>acism</w:t>
      </w:r>
      <w:proofErr w:type="spellEnd"/>
      <w:r>
        <w:rPr>
          <w:rFonts w:ascii="Times New Roman" w:eastAsia="Times New Roman" w:hAnsi="Times New Roman" w:cs="Times New Roman"/>
          <w:sz w:val="24"/>
          <w:szCs w:val="24"/>
        </w:rPr>
        <w:t xml:space="preserve"> masked behind the disguise of a penal system” (179, 180). Through the lens of this narrative, </w:t>
      </w:r>
      <w:r w:rsidR="00711D6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notes that the priso</w:t>
      </w:r>
      <w:r>
        <w:rPr>
          <w:rFonts w:ascii="Times New Roman" w:eastAsia="Times New Roman" w:hAnsi="Times New Roman" w:cs="Times New Roman"/>
          <w:sz w:val="24"/>
          <w:szCs w:val="24"/>
        </w:rPr>
        <w:t xml:space="preserve">n system, like slavery, </w:t>
      </w:r>
      <w:r w:rsidR="007661A0">
        <w:rPr>
          <w:rFonts w:ascii="Times New Roman" w:eastAsia="Times New Roman" w:hAnsi="Times New Roman" w:cs="Times New Roman"/>
          <w:sz w:val="24"/>
          <w:szCs w:val="24"/>
        </w:rPr>
        <w:t>“</w:t>
      </w:r>
      <w:r>
        <w:rPr>
          <w:rFonts w:ascii="Times New Roman" w:eastAsia="Times New Roman" w:hAnsi="Times New Roman" w:cs="Times New Roman"/>
          <w:sz w:val="24"/>
          <w:szCs w:val="24"/>
        </w:rPr>
        <w:t>can [regularly] hold an individual for ‘life’” (179, 180).</w:t>
      </w:r>
      <w:r w:rsidR="00711D61">
        <w:rPr>
          <w:rFonts w:ascii="Times New Roman" w:eastAsia="Times New Roman" w:hAnsi="Times New Roman" w:cs="Times New Roman"/>
          <w:sz w:val="24"/>
          <w:szCs w:val="24"/>
        </w:rPr>
        <w:t xml:space="preserve"> </w:t>
      </w:r>
      <w:proofErr w:type="gramStart"/>
      <w:r w:rsidR="00711D61">
        <w:rPr>
          <w:rFonts w:ascii="Times New Roman" w:eastAsia="Times New Roman" w:hAnsi="Times New Roman" w:cs="Times New Roman"/>
          <w:sz w:val="24"/>
          <w:szCs w:val="24"/>
        </w:rPr>
        <w:t>Also</w:t>
      </w:r>
      <w:proofErr w:type="gramEnd"/>
      <w:r w:rsidR="004E2FA4">
        <w:rPr>
          <w:rFonts w:ascii="Times New Roman" w:eastAsia="Times New Roman" w:hAnsi="Times New Roman" w:cs="Times New Roman"/>
          <w:sz w:val="24"/>
          <w:szCs w:val="24"/>
        </w:rPr>
        <w:t xml:space="preserve"> like slavery, </w:t>
      </w:r>
      <w:r>
        <w:rPr>
          <w:rFonts w:ascii="Times New Roman" w:eastAsia="Times New Roman" w:hAnsi="Times New Roman" w:cs="Times New Roman"/>
          <w:sz w:val="24"/>
          <w:szCs w:val="24"/>
        </w:rPr>
        <w:t>the carceral system uses guns and iron to tear people from their communities, thereby sc</w:t>
      </w:r>
      <w:r>
        <w:rPr>
          <w:rFonts w:ascii="Times New Roman" w:eastAsia="Times New Roman" w:hAnsi="Times New Roman" w:cs="Times New Roman"/>
          <w:sz w:val="24"/>
          <w:szCs w:val="24"/>
        </w:rPr>
        <w:t xml:space="preserve">arring the </w:t>
      </w:r>
      <w:r w:rsidR="00711D61">
        <w:rPr>
          <w:rFonts w:ascii="Times New Roman" w:eastAsia="Times New Roman" w:hAnsi="Times New Roman" w:cs="Times New Roman"/>
          <w:sz w:val="24"/>
          <w:szCs w:val="24"/>
        </w:rPr>
        <w:t xml:space="preserve">targeted </w:t>
      </w:r>
      <w:r>
        <w:rPr>
          <w:rFonts w:ascii="Times New Roman" w:eastAsia="Times New Roman" w:hAnsi="Times New Roman" w:cs="Times New Roman"/>
          <w:sz w:val="24"/>
          <w:szCs w:val="24"/>
        </w:rPr>
        <w:t>individuals as well their kin.  “I’m forced to raise my son from a cell thousands of miles away,” he tells us,</w:t>
      </w:r>
      <w:r w:rsidR="007661A0">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“separated</w:t>
      </w:r>
      <w:proofErr w:type="gramEnd"/>
      <w:r>
        <w:rPr>
          <w:rFonts w:ascii="Times New Roman" w:eastAsia="Times New Roman" w:hAnsi="Times New Roman" w:cs="Times New Roman"/>
          <w:sz w:val="24"/>
          <w:szCs w:val="24"/>
        </w:rPr>
        <w:t xml:space="preserve"> by razor wire fences equipped with motion-detectors, watch-towers and armed guards with assault rifles” (182).</w:t>
      </w:r>
      <w:r>
        <w:rPr>
          <w:rFonts w:ascii="Times New Roman" w:eastAsia="Times New Roman" w:hAnsi="Times New Roman" w:cs="Times New Roman"/>
          <w:sz w:val="24"/>
          <w:szCs w:val="24"/>
        </w:rPr>
        <w:t xml:space="preserve"> </w:t>
      </w:r>
      <w:r w:rsidR="0018179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973420">
        <w:rPr>
          <w:rFonts w:ascii="Times New Roman" w:eastAsia="Times New Roman" w:hAnsi="Times New Roman" w:cs="Times New Roman"/>
          <w:sz w:val="24"/>
          <w:szCs w:val="24"/>
        </w:rPr>
        <w:t>prison’s c</w:t>
      </w:r>
      <w:r>
        <w:rPr>
          <w:rFonts w:ascii="Times New Roman" w:eastAsia="Times New Roman" w:hAnsi="Times New Roman" w:cs="Times New Roman"/>
          <w:sz w:val="24"/>
          <w:szCs w:val="24"/>
        </w:rPr>
        <w:t xml:space="preserve">ontinued </w:t>
      </w:r>
      <w:r w:rsidR="00973420">
        <w:rPr>
          <w:rFonts w:ascii="Times New Roman" w:eastAsia="Times New Roman" w:hAnsi="Times New Roman" w:cs="Times New Roman"/>
          <w:sz w:val="24"/>
          <w:szCs w:val="24"/>
        </w:rPr>
        <w:t xml:space="preserve">obstruction of </w:t>
      </w:r>
      <w:r>
        <w:rPr>
          <w:rFonts w:ascii="Times New Roman" w:eastAsia="Times New Roman" w:hAnsi="Times New Roman" w:cs="Times New Roman"/>
          <w:sz w:val="24"/>
          <w:szCs w:val="24"/>
        </w:rPr>
        <w:t xml:space="preserve">his efforts to connect with his family cause him “a constant pain that throbs in [his] brain and heart” while the children on the other side of the razor wire suffer “years of collateral damage </w:t>
      </w:r>
      <w:r>
        <w:rPr>
          <w:rFonts w:ascii="Times New Roman" w:eastAsia="Times New Roman" w:hAnsi="Times New Roman" w:cs="Times New Roman"/>
          <w:sz w:val="24"/>
          <w:szCs w:val="24"/>
        </w:rPr>
        <w:t xml:space="preserve">that can never fully heal” (182). Given the suffering that </w:t>
      </w:r>
      <w:r>
        <w:rPr>
          <w:rFonts w:ascii="Times New Roman" w:eastAsia="Times New Roman" w:hAnsi="Times New Roman" w:cs="Times New Roman"/>
          <w:sz w:val="24"/>
          <w:szCs w:val="24"/>
        </w:rPr>
        <w:lastRenderedPageBreak/>
        <w:t xml:space="preserve">Emmanuel has endured at the hands of his countrymen, when he speaks of his “craving to contribute to humanity as a whole,” and when he addresses readers as part of the “we” who can together “stand </w:t>
      </w:r>
      <w:r>
        <w:rPr>
          <w:rFonts w:ascii="Times New Roman" w:eastAsia="Times New Roman" w:hAnsi="Times New Roman" w:cs="Times New Roman"/>
          <w:sz w:val="24"/>
          <w:szCs w:val="24"/>
        </w:rPr>
        <w:t>up to this plague that has been tormenting families for centuries” (183), it is not mere edifying prose; it is an act of resistance that counters prison divisiveness and dehumanization with an expanded sense of community and an image of his people as neith</w:t>
      </w:r>
      <w:r>
        <w:rPr>
          <w:rFonts w:ascii="Times New Roman" w:eastAsia="Times New Roman" w:hAnsi="Times New Roman" w:cs="Times New Roman"/>
          <w:sz w:val="24"/>
          <w:szCs w:val="24"/>
        </w:rPr>
        <w:t xml:space="preserve">er monsters nor victims but allies with much to teach us about resilience and solidarity. </w:t>
      </w:r>
      <w:r>
        <w:rPr>
          <w:rFonts w:ascii="Times New Roman" w:eastAsia="Times New Roman" w:hAnsi="Times New Roman" w:cs="Times New Roman"/>
          <w:strike/>
          <w:sz w:val="24"/>
          <w:szCs w:val="24"/>
        </w:rPr>
        <w:t xml:space="preserve"> </w:t>
      </w:r>
    </w:p>
    <w:p w14:paraId="0000000F" w14:textId="3669E20C"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contributions from currently incarcerated writers are also remarkable for their honest reckoning with painful experience and the insight gained from such reck</w:t>
      </w:r>
      <w:r>
        <w:rPr>
          <w:rFonts w:ascii="Times New Roman" w:eastAsia="Times New Roman" w:hAnsi="Times New Roman" w:cs="Times New Roman"/>
          <w:sz w:val="24"/>
          <w:szCs w:val="24"/>
        </w:rPr>
        <w:t>oning. Joseph (</w:t>
      </w:r>
      <w:proofErr w:type="spellStart"/>
      <w:r>
        <w:rPr>
          <w:rFonts w:ascii="Times New Roman" w:eastAsia="Times New Roman" w:hAnsi="Times New Roman" w:cs="Times New Roman"/>
          <w:sz w:val="24"/>
          <w:szCs w:val="24"/>
        </w:rPr>
        <w:t>Dont’e</w:t>
      </w:r>
      <w:proofErr w:type="spellEnd"/>
      <w:r>
        <w:rPr>
          <w:rFonts w:ascii="Times New Roman" w:eastAsia="Times New Roman" w:hAnsi="Times New Roman" w:cs="Times New Roman"/>
          <w:sz w:val="24"/>
          <w:szCs w:val="24"/>
        </w:rPr>
        <w:t xml:space="preserve">) Williams, for instance, reflects on his recurring returns to prison and the ways that prisons “emotionally and psychologically </w:t>
      </w:r>
      <w:proofErr w:type="spellStart"/>
      <w:r>
        <w:rPr>
          <w:rFonts w:ascii="Times New Roman" w:eastAsia="Times New Roman" w:hAnsi="Times New Roman" w:cs="Times New Roman"/>
          <w:sz w:val="24"/>
          <w:szCs w:val="24"/>
        </w:rPr>
        <w:t>provok</w:t>
      </w:r>
      <w:proofErr w:type="spellEnd"/>
      <w:r>
        <w:rPr>
          <w:rFonts w:ascii="Times New Roman" w:eastAsia="Times New Roman" w:hAnsi="Times New Roman" w:cs="Times New Roman"/>
          <w:sz w:val="24"/>
          <w:szCs w:val="24"/>
        </w:rPr>
        <w:t>[e] people into being more aggressive, hypersexualized, and prone to commit more crime (18). Medical</w:t>
      </w:r>
      <w:r>
        <w:rPr>
          <w:rFonts w:ascii="Times New Roman" w:eastAsia="Times New Roman" w:hAnsi="Times New Roman" w:cs="Times New Roman"/>
          <w:sz w:val="24"/>
          <w:szCs w:val="24"/>
        </w:rPr>
        <w:t xml:space="preserve"> professionals have drawn similar conclusions about the ways that prisons exacerbate hypermasculinity and criminality.</w:t>
      </w:r>
      <w:r w:rsidR="00943BCC">
        <w:rPr>
          <w:rStyle w:val="FootnoteReference"/>
          <w:rFonts w:ascii="Times New Roman" w:eastAsia="Times New Roman" w:hAnsi="Times New Roman" w:cs="Times New Roman"/>
          <w:sz w:val="24"/>
          <w:szCs w:val="24"/>
        </w:rPr>
        <w:footnoteReference w:id="1"/>
      </w:r>
      <w:r w:rsidR="00943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William</w:t>
      </w:r>
      <w:r>
        <w:rPr>
          <w:rFonts w:ascii="Times New Roman" w:eastAsia="Times New Roman" w:hAnsi="Times New Roman" w:cs="Times New Roman"/>
          <w:sz w:val="24"/>
          <w:szCs w:val="24"/>
        </w:rPr>
        <w:t>s gleans this insight from probing the pressures on his own behavior–when he explains how prison has distorted his perception of women, produced in him (from regular strip searches) “an overwhelming need to overcompensate for years of state sanctioned sexu</w:t>
      </w:r>
      <w:r>
        <w:rPr>
          <w:rFonts w:ascii="Times New Roman" w:eastAsia="Times New Roman" w:hAnsi="Times New Roman" w:cs="Times New Roman"/>
          <w:sz w:val="24"/>
          <w:szCs w:val="24"/>
        </w:rPr>
        <w:t>al abuse,” and reduced him to a label that warped both others’ and his own expectations of himself–he attests not only to the depth of the trauma that prison inflicts on people. He also demonstrates the tremendous capacities of some of the people seared by</w:t>
      </w:r>
      <w:r>
        <w:rPr>
          <w:rFonts w:ascii="Times New Roman" w:eastAsia="Times New Roman" w:hAnsi="Times New Roman" w:cs="Times New Roman"/>
          <w:sz w:val="24"/>
          <w:szCs w:val="24"/>
        </w:rPr>
        <w:t xml:space="preserve"> the penal system to reveal and reverse dehumanizing processes.  </w:t>
      </w:r>
    </w:p>
    <w:p w14:paraId="00000010" w14:textId="7F0317D7"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essays stress the value for abolitionist thinking of anti-colonialist frameworks. The piece co-authored by Vicki Chartrand and Niko Rougier draws on Rougier’s critical insight as an Ab</w:t>
      </w:r>
      <w:r>
        <w:rPr>
          <w:rFonts w:ascii="Times New Roman" w:eastAsia="Times New Roman" w:hAnsi="Times New Roman" w:cs="Times New Roman"/>
          <w:sz w:val="24"/>
          <w:szCs w:val="24"/>
        </w:rPr>
        <w:t>enaki artist currently incarcerated at a maximum</w:t>
      </w:r>
      <w:r w:rsidR="004E2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security prison in Quebec to foreground the </w:t>
      </w:r>
      <w:r>
        <w:rPr>
          <w:rFonts w:ascii="Times New Roman" w:eastAsia="Times New Roman" w:hAnsi="Times New Roman" w:cs="Times New Roman"/>
          <w:sz w:val="24"/>
          <w:szCs w:val="24"/>
        </w:rPr>
        <w:lastRenderedPageBreak/>
        <w:t xml:space="preserve">colonialist dimensions of Canada’s penal system. In colonialist fashion, the authors argue, this system tears indigenous people from their land and culture, which </w:t>
      </w:r>
      <w:r>
        <w:rPr>
          <w:rFonts w:ascii="Times New Roman" w:eastAsia="Times New Roman" w:hAnsi="Times New Roman" w:cs="Times New Roman"/>
          <w:sz w:val="24"/>
          <w:szCs w:val="24"/>
        </w:rPr>
        <w:t>undermines their very sense of being. “The severing and destruction of ties and connections is a central component of colonial practice,” note Rougier and Chartrand, “and is intensified in the microsites of the prison” (26). Although prisons may tout rehab</w:t>
      </w:r>
      <w:r>
        <w:rPr>
          <w:rFonts w:ascii="Times New Roman" w:eastAsia="Times New Roman" w:hAnsi="Times New Roman" w:cs="Times New Roman"/>
          <w:sz w:val="24"/>
          <w:szCs w:val="24"/>
        </w:rPr>
        <w:t>ilitation or allow limited Aboriginal rituals, the authors argue, the prison is an “artificial environment” whose very design works “to separate and segregate families, communities and many other connections” (27).  The authors also warn of colonialist</w:t>
      </w:r>
      <w:r w:rsidR="00973420">
        <w:rPr>
          <w:rFonts w:ascii="Times New Roman" w:eastAsia="Times New Roman" w:hAnsi="Times New Roman" w:cs="Times New Roman"/>
          <w:sz w:val="24"/>
          <w:szCs w:val="24"/>
        </w:rPr>
        <w:t xml:space="preserve"> elements</w:t>
      </w:r>
      <w:r>
        <w:rPr>
          <w:rFonts w:ascii="Times New Roman" w:eastAsia="Times New Roman" w:hAnsi="Times New Roman" w:cs="Times New Roman"/>
          <w:sz w:val="24"/>
          <w:szCs w:val="24"/>
        </w:rPr>
        <w:t xml:space="preserve"> in liberatory struggles when “white saviors” presume to rescue “the carceral other.” By calling attention to </w:t>
      </w:r>
      <w:r>
        <w:rPr>
          <w:rFonts w:ascii="Times New Roman" w:eastAsia="Times New Roman" w:hAnsi="Times New Roman" w:cs="Times New Roman"/>
          <w:sz w:val="24"/>
          <w:szCs w:val="24"/>
        </w:rPr>
        <w:t xml:space="preserve">colonialist processes </w:t>
      </w:r>
      <w:r w:rsidR="00973420">
        <w:rPr>
          <w:rFonts w:ascii="Times New Roman" w:eastAsia="Times New Roman" w:hAnsi="Times New Roman" w:cs="Times New Roman"/>
          <w:sz w:val="24"/>
          <w:szCs w:val="24"/>
        </w:rPr>
        <w:t xml:space="preserve">in prisons and in our own lives, </w:t>
      </w:r>
      <w:r>
        <w:rPr>
          <w:rFonts w:ascii="Times New Roman" w:eastAsia="Times New Roman" w:hAnsi="Times New Roman" w:cs="Times New Roman"/>
          <w:sz w:val="24"/>
          <w:szCs w:val="24"/>
        </w:rPr>
        <w:t>and to the ways that such processes sever people—all people—from life-sustaining connec</w:t>
      </w:r>
      <w:r>
        <w:rPr>
          <w:rFonts w:ascii="Times New Roman" w:eastAsia="Times New Roman" w:hAnsi="Times New Roman" w:cs="Times New Roman"/>
          <w:sz w:val="24"/>
          <w:szCs w:val="24"/>
        </w:rPr>
        <w:t xml:space="preserve">tions, the essay points to the value of relations-oriented Indigenous frameworks for building </w:t>
      </w:r>
      <w:r w:rsidR="00973420">
        <w:rPr>
          <w:rFonts w:ascii="Times New Roman" w:eastAsia="Times New Roman" w:hAnsi="Times New Roman" w:cs="Times New Roman"/>
          <w:sz w:val="24"/>
          <w:szCs w:val="24"/>
        </w:rPr>
        <w:t xml:space="preserve">healthy </w:t>
      </w:r>
      <w:r>
        <w:rPr>
          <w:rFonts w:ascii="Times New Roman" w:eastAsia="Times New Roman" w:hAnsi="Times New Roman" w:cs="Times New Roman"/>
          <w:sz w:val="24"/>
          <w:szCs w:val="24"/>
        </w:rPr>
        <w:t>relationships and broad networks of accountability within abolition movements.</w:t>
      </w:r>
    </w:p>
    <w:p w14:paraId="00000011" w14:textId="2A358801"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essays glean lessons from grassroots abolitionist organiz</w:t>
      </w:r>
      <w:r>
        <w:rPr>
          <w:rFonts w:ascii="Times New Roman" w:eastAsia="Times New Roman" w:hAnsi="Times New Roman" w:cs="Times New Roman"/>
          <w:sz w:val="24"/>
          <w:szCs w:val="24"/>
        </w:rPr>
        <w:t xml:space="preserve">ing, some of which underscore the </w:t>
      </w:r>
      <w:r w:rsidR="00973420">
        <w:rPr>
          <w:rFonts w:ascii="Times New Roman" w:eastAsia="Times New Roman" w:hAnsi="Times New Roman" w:cs="Times New Roman"/>
          <w:sz w:val="24"/>
          <w:szCs w:val="24"/>
        </w:rPr>
        <w:t xml:space="preserve">importance </w:t>
      </w:r>
      <w:r>
        <w:rPr>
          <w:rFonts w:ascii="Times New Roman" w:eastAsia="Times New Roman" w:hAnsi="Times New Roman" w:cs="Times New Roman"/>
          <w:sz w:val="24"/>
          <w:szCs w:val="24"/>
        </w:rPr>
        <w:t xml:space="preserve">of resisting carceral logic with </w:t>
      </w:r>
      <w:r w:rsidR="004E2FA4">
        <w:rPr>
          <w:rFonts w:ascii="Times New Roman" w:eastAsia="Times New Roman" w:hAnsi="Times New Roman" w:cs="Times New Roman"/>
          <w:sz w:val="24"/>
          <w:szCs w:val="24"/>
        </w:rPr>
        <w:t xml:space="preserve">practices </w:t>
      </w:r>
      <w:r w:rsidR="0097342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mutual well-being. The Foreword by Diana Block, for instance, addresses the radical </w:t>
      </w:r>
      <w:r w:rsidR="00954DCB">
        <w:rPr>
          <w:rFonts w:ascii="Times New Roman" w:eastAsia="Times New Roman" w:hAnsi="Times New Roman" w:cs="Times New Roman"/>
          <w:sz w:val="24"/>
          <w:szCs w:val="24"/>
        </w:rPr>
        <w:t xml:space="preserve">implications </w:t>
      </w:r>
      <w:r>
        <w:rPr>
          <w:rFonts w:ascii="Times New Roman" w:eastAsia="Times New Roman" w:hAnsi="Times New Roman" w:cs="Times New Roman"/>
          <w:sz w:val="24"/>
          <w:szCs w:val="24"/>
        </w:rPr>
        <w:t>of the California Coalition for Women Prisoners (CCWP) and its organizing ef</w:t>
      </w:r>
      <w:r>
        <w:rPr>
          <w:rFonts w:ascii="Times New Roman" w:eastAsia="Times New Roman" w:hAnsi="Times New Roman" w:cs="Times New Roman"/>
          <w:sz w:val="24"/>
          <w:szCs w:val="24"/>
        </w:rPr>
        <w:t>forts on behalf of incarcerated women, trans, and gender non-conforming people (TGNC). Block describes how CCWP members formed “communities of collective care” across prison walls, which resisted the divide-and-isolate strategies of the prison as well as p</w:t>
      </w:r>
      <w:r>
        <w:rPr>
          <w:rFonts w:ascii="Times New Roman" w:eastAsia="Times New Roman" w:hAnsi="Times New Roman" w:cs="Times New Roman"/>
          <w:sz w:val="24"/>
          <w:szCs w:val="24"/>
        </w:rPr>
        <w:t>rovided a more nurturing alternative to “male-dominated” leftist political movements and a source of strength for bold political struggle (xviii) When the CCWP advocated for incarcerated survivors of sexual violence (women and TGNC people who have been sex</w:t>
      </w:r>
      <w:r>
        <w:rPr>
          <w:rFonts w:ascii="Times New Roman" w:eastAsia="Times New Roman" w:hAnsi="Times New Roman" w:cs="Times New Roman"/>
          <w:sz w:val="24"/>
          <w:szCs w:val="24"/>
        </w:rPr>
        <w:t>ually as</w:t>
      </w:r>
      <w:r w:rsidR="00B129E0">
        <w:rPr>
          <w:rFonts w:ascii="Times New Roman" w:eastAsia="Times New Roman" w:hAnsi="Times New Roman" w:cs="Times New Roman"/>
          <w:sz w:val="24"/>
          <w:szCs w:val="24"/>
        </w:rPr>
        <w:t>s</w:t>
      </w:r>
      <w:r>
        <w:rPr>
          <w:rFonts w:ascii="Times New Roman" w:eastAsia="Times New Roman" w:hAnsi="Times New Roman" w:cs="Times New Roman"/>
          <w:sz w:val="24"/>
          <w:szCs w:val="24"/>
        </w:rPr>
        <w:t>a</w:t>
      </w:r>
      <w:r w:rsidR="00B129E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lted both before and after incarceration), and when they launched #MeTooBehindBars, they not only gave voice to hundreds of forgotten women. They </w:t>
      </w:r>
      <w:r>
        <w:rPr>
          <w:rFonts w:ascii="Times New Roman" w:eastAsia="Times New Roman" w:hAnsi="Times New Roman" w:cs="Times New Roman"/>
          <w:sz w:val="24"/>
          <w:szCs w:val="24"/>
        </w:rPr>
        <w:lastRenderedPageBreak/>
        <w:t>also confounded the “victim/perpetrator” dichotomy of carceral logic and exposed the hypocrisy of a</w:t>
      </w:r>
      <w:r>
        <w:rPr>
          <w:rFonts w:ascii="Times New Roman" w:eastAsia="Times New Roman" w:hAnsi="Times New Roman" w:cs="Times New Roman"/>
          <w:sz w:val="24"/>
          <w:szCs w:val="24"/>
        </w:rPr>
        <w:t>nti-violence movements that rely on prisons to protect people from violence. Brown ends by briefly describing CCWP’s outreach to women’s struggles in Palestine and elsewhere in the Global South. This frames her call for a more broad-based abolitionist move</w:t>
      </w:r>
      <w:r>
        <w:rPr>
          <w:rFonts w:ascii="Times New Roman" w:eastAsia="Times New Roman" w:hAnsi="Times New Roman" w:cs="Times New Roman"/>
          <w:sz w:val="24"/>
          <w:szCs w:val="24"/>
        </w:rPr>
        <w:t xml:space="preserve">ment that links prison abolition to resistance against global structures of oppression.  </w:t>
      </w:r>
    </w:p>
    <w:p w14:paraId="00000012" w14:textId="1167F554" w:rsidR="008F3A7C" w:rsidRDefault="00BD5BDF" w:rsidP="00B129E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Readers should not expect to find in this </w:t>
      </w:r>
      <w:r>
        <w:rPr>
          <w:rFonts w:ascii="Times New Roman" w:eastAsia="Times New Roman" w:hAnsi="Times New Roman" w:cs="Times New Roman"/>
          <w:sz w:val="24"/>
          <w:szCs w:val="24"/>
        </w:rPr>
        <w:t>volume a full account of the</w:t>
      </w:r>
      <w:r w:rsidR="00711D61">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 xml:space="preserve"> links the essays indicate between the carceral state, racial capitalism, heteropatriarch</w:t>
      </w:r>
      <w:r>
        <w:rPr>
          <w:rFonts w:ascii="Times New Roman" w:eastAsia="Times New Roman" w:hAnsi="Times New Roman" w:cs="Times New Roman"/>
          <w:sz w:val="24"/>
          <w:szCs w:val="24"/>
        </w:rPr>
        <w:t xml:space="preserve">y, and global structures of oppression.  Among the range of essays collected here, however, readers will likely find new ways of thinking about the contradictions of our penal system and new frameworks for disrupting </w:t>
      </w:r>
      <w:r w:rsidR="00D20638">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fixation on punishing others and sh</w:t>
      </w:r>
      <w:r>
        <w:rPr>
          <w:rFonts w:ascii="Times New Roman" w:eastAsia="Times New Roman" w:hAnsi="Times New Roman" w:cs="Times New Roman"/>
          <w:sz w:val="24"/>
          <w:szCs w:val="24"/>
        </w:rPr>
        <w:t>ifting conversations toward how we can hold our communities accountable for profound historical and social harms.</w:t>
      </w:r>
    </w:p>
    <w:p w14:paraId="34B269DD" w14:textId="3B940FA3" w:rsidR="00197487" w:rsidRDefault="00197487" w:rsidP="00B129E0">
      <w:pPr>
        <w:spacing w:line="480" w:lineRule="auto"/>
        <w:rPr>
          <w:rFonts w:ascii="Times New Roman" w:eastAsia="Times New Roman" w:hAnsi="Times New Roman" w:cs="Times New Roman"/>
          <w:sz w:val="24"/>
          <w:szCs w:val="24"/>
        </w:rPr>
      </w:pPr>
    </w:p>
    <w:p w14:paraId="3A28BD94" w14:textId="6A86C2FA" w:rsidR="00197487" w:rsidRDefault="00197487" w:rsidP="001974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14:paraId="4EF2DA65" w14:textId="55B12BE8" w:rsidR="00197487" w:rsidRDefault="00197487" w:rsidP="00197487">
      <w:pPr>
        <w:spacing w:line="240" w:lineRule="auto"/>
        <w:rPr>
          <w:rFonts w:ascii="Times New Roman" w:eastAsia="Times New Roman" w:hAnsi="Times New Roman" w:cs="Times New Roman"/>
          <w:sz w:val="24"/>
          <w:szCs w:val="24"/>
        </w:rPr>
      </w:pPr>
    </w:p>
    <w:p w14:paraId="5864D820" w14:textId="5512B8BC" w:rsidR="00943BCC" w:rsidRDefault="00943BCC" w:rsidP="001974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Gilligan,</w:t>
      </w:r>
      <w:r>
        <w:rPr>
          <w:rFonts w:ascii="Times New Roman" w:eastAsia="Times New Roman" w:hAnsi="Times New Roman" w:cs="Times New Roman"/>
          <w:sz w:val="24"/>
          <w:szCs w:val="24"/>
        </w:rPr>
        <w:t xml:space="preserve"> James. </w:t>
      </w:r>
      <w:r>
        <w:rPr>
          <w:rFonts w:ascii="Times New Roman" w:eastAsia="Times New Roman" w:hAnsi="Times New Roman" w:cs="Times New Roman"/>
          <w:sz w:val="24"/>
          <w:szCs w:val="24"/>
        </w:rPr>
        <w:t xml:space="preserve"> </w:t>
      </w:r>
      <w:r w:rsidRPr="00943BCC">
        <w:rPr>
          <w:rFonts w:ascii="Times New Roman" w:eastAsia="Times New Roman" w:hAnsi="Times New Roman" w:cs="Times New Roman"/>
          <w:i/>
          <w:iCs/>
          <w:sz w:val="24"/>
          <w:szCs w:val="24"/>
        </w:rPr>
        <w:t>Violence</w:t>
      </w:r>
      <w:r w:rsidRPr="00711D61">
        <w:rPr>
          <w:rFonts w:ascii="Times New Roman" w:eastAsia="Times New Roman" w:hAnsi="Times New Roman" w:cs="Times New Roman"/>
          <w:i/>
          <w:iCs/>
          <w:sz w:val="24"/>
          <w:szCs w:val="24"/>
        </w:rPr>
        <w:t>: Reflections on a National Epidemic</w:t>
      </w:r>
      <w:r>
        <w:rPr>
          <w:rFonts w:ascii="Times New Roman" w:eastAsia="Times New Roman" w:hAnsi="Times New Roman" w:cs="Times New Roman"/>
          <w:sz w:val="24"/>
          <w:szCs w:val="24"/>
        </w:rPr>
        <w:t xml:space="preserve">. New York: </w:t>
      </w:r>
      <w:r>
        <w:rPr>
          <w:rFonts w:ascii="Times New Roman" w:eastAsia="Times New Roman" w:hAnsi="Times New Roman" w:cs="Times New Roman"/>
          <w:sz w:val="24"/>
          <w:szCs w:val="24"/>
        </w:rPr>
        <w:t>Random House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w:t>
      </w:r>
      <w:r>
        <w:rPr>
          <w:rFonts w:ascii="Times New Roman" w:eastAsia="Times New Roman" w:hAnsi="Times New Roman" w:cs="Times New Roman"/>
          <w:sz w:val="24"/>
          <w:szCs w:val="24"/>
        </w:rPr>
        <w:t>6.</w:t>
      </w:r>
    </w:p>
    <w:p w14:paraId="12F8A0E7" w14:textId="77777777" w:rsidR="00943BCC" w:rsidRDefault="00943BCC" w:rsidP="00197487">
      <w:pPr>
        <w:spacing w:line="240" w:lineRule="auto"/>
        <w:rPr>
          <w:rFonts w:ascii="Times New Roman" w:eastAsia="Times New Roman" w:hAnsi="Times New Roman" w:cs="Times New Roman"/>
          <w:sz w:val="24"/>
          <w:szCs w:val="24"/>
        </w:rPr>
      </w:pPr>
    </w:p>
    <w:p w14:paraId="08EE4D9C" w14:textId="2EBAECC7" w:rsidR="00197487" w:rsidRDefault="00943BCC" w:rsidP="001974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Coyle, Michael J., and </w:t>
      </w:r>
      <w:proofErr w:type="spellStart"/>
      <w:r>
        <w:rPr>
          <w:rFonts w:ascii="Times New Roman" w:eastAsia="Times New Roman" w:hAnsi="Times New Roman" w:cs="Times New Roman"/>
          <w:sz w:val="24"/>
          <w:szCs w:val="24"/>
        </w:rPr>
        <w:t>Mechthild</w:t>
      </w:r>
      <w:proofErr w:type="spellEnd"/>
      <w:r>
        <w:rPr>
          <w:rFonts w:ascii="Times New Roman" w:eastAsia="Times New Roman" w:hAnsi="Times New Roman" w:cs="Times New Roman"/>
          <w:sz w:val="24"/>
          <w:szCs w:val="24"/>
        </w:rPr>
        <w:t xml:space="preserve"> Nagel, ed</w:t>
      </w:r>
      <w:r w:rsidR="00B129E0">
        <w:rPr>
          <w:rFonts w:ascii="Times New Roman" w:eastAsia="Times New Roman" w:hAnsi="Times New Roman" w:cs="Times New Roman"/>
          <w:sz w:val="24"/>
          <w:szCs w:val="24"/>
        </w:rPr>
        <w:t>ited.</w:t>
      </w:r>
      <w:r>
        <w:rPr>
          <w:rFonts w:ascii="Times New Roman" w:eastAsia="Times New Roman" w:hAnsi="Times New Roman" w:cs="Times New Roman"/>
          <w:sz w:val="24"/>
          <w:szCs w:val="24"/>
        </w:rPr>
        <w:t xml:space="preserve"> </w:t>
      </w:r>
      <w:r w:rsidRPr="006B2620">
        <w:rPr>
          <w:rFonts w:ascii="Times New Roman" w:eastAsia="Times New Roman" w:hAnsi="Times New Roman" w:cs="Times New Roman"/>
          <w:i/>
          <w:iCs/>
          <w:sz w:val="24"/>
          <w:szCs w:val="24"/>
        </w:rPr>
        <w:t>Contesting Carceral Logic: Toward Abolitionist Futures</w:t>
      </w:r>
      <w:r>
        <w:rPr>
          <w:rFonts w:ascii="Times New Roman" w:eastAsia="Times New Roman" w:hAnsi="Times New Roman" w:cs="Times New Roman"/>
          <w:i/>
          <w:iCs/>
          <w:sz w:val="24"/>
          <w:szCs w:val="24"/>
        </w:rPr>
        <w:t xml:space="preserve">. </w:t>
      </w:r>
      <w:r w:rsidR="00BE6E7E">
        <w:rPr>
          <w:rFonts w:ascii="Times New Roman" w:eastAsia="Times New Roman" w:hAnsi="Times New Roman" w:cs="Times New Roman"/>
          <w:sz w:val="24"/>
          <w:szCs w:val="24"/>
        </w:rPr>
        <w:t>New York: R</w:t>
      </w:r>
      <w:r>
        <w:rPr>
          <w:rFonts w:ascii="Times New Roman" w:eastAsia="Times New Roman" w:hAnsi="Times New Roman" w:cs="Times New Roman"/>
          <w:sz w:val="24"/>
          <w:szCs w:val="24"/>
        </w:rPr>
        <w:t>outledge, 2022</w:t>
      </w:r>
      <w:r w:rsidR="00BE6E7E">
        <w:rPr>
          <w:rFonts w:ascii="Times New Roman" w:eastAsia="Times New Roman" w:hAnsi="Times New Roman" w:cs="Times New Roman"/>
          <w:sz w:val="24"/>
          <w:szCs w:val="24"/>
        </w:rPr>
        <w:t>.</w:t>
      </w:r>
    </w:p>
    <w:p w14:paraId="78467161" w14:textId="41789CA9" w:rsidR="003F6C31" w:rsidRDefault="003F6C31" w:rsidP="003F6C31">
      <w:pPr>
        <w:spacing w:line="240" w:lineRule="auto"/>
        <w:rPr>
          <w:rFonts w:ascii="Times New Roman" w:eastAsia="Times New Roman" w:hAnsi="Times New Roman" w:cs="Times New Roman"/>
          <w:sz w:val="24"/>
          <w:szCs w:val="24"/>
        </w:rPr>
      </w:pPr>
    </w:p>
    <w:p w14:paraId="4F643215" w14:textId="5A866D1A" w:rsidR="00BE6E7E" w:rsidRDefault="00BE6E7E" w:rsidP="003F6C31">
      <w:pPr>
        <w:spacing w:line="240" w:lineRule="auto"/>
        <w:rPr>
          <w:rFonts w:ascii="Times New Roman" w:eastAsia="Times New Roman" w:hAnsi="Times New Roman" w:cs="Times New Roman"/>
          <w:sz w:val="24"/>
          <w:szCs w:val="24"/>
        </w:rPr>
      </w:pPr>
    </w:p>
    <w:p w14:paraId="721455F5" w14:textId="77777777" w:rsidR="00B129E0" w:rsidRDefault="00B129E0" w:rsidP="003F6C31">
      <w:pPr>
        <w:spacing w:line="240" w:lineRule="auto"/>
        <w:rPr>
          <w:rFonts w:ascii="Times New Roman" w:eastAsia="Times New Roman" w:hAnsi="Times New Roman" w:cs="Times New Roman"/>
          <w:sz w:val="24"/>
          <w:szCs w:val="24"/>
        </w:rPr>
      </w:pPr>
    </w:p>
    <w:p w14:paraId="00000014" w14:textId="59434094" w:rsidR="008F3A7C" w:rsidRDefault="003F6C31" w:rsidP="00B129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Shari Stone-</w:t>
      </w:r>
      <w:proofErr w:type="spellStart"/>
      <w:r>
        <w:rPr>
          <w:rFonts w:ascii="Times New Roman" w:eastAsia="Times New Roman" w:hAnsi="Times New Roman" w:cs="Times New Roman"/>
          <w:sz w:val="24"/>
          <w:szCs w:val="24"/>
        </w:rPr>
        <w:t>Mediatore</w:t>
      </w:r>
      <w:proofErr w:type="spellEnd"/>
      <w:r>
        <w:rPr>
          <w:rFonts w:ascii="Times New Roman" w:eastAsia="Times New Roman" w:hAnsi="Times New Roman" w:cs="Times New Roman"/>
          <w:sz w:val="24"/>
          <w:szCs w:val="24"/>
        </w:rPr>
        <w:t xml:space="preserve"> is Professor of Philosophy at Ohio Wesleyan University. She is the author of </w:t>
      </w:r>
      <w:r w:rsidRPr="003F6C31">
        <w:rPr>
          <w:rFonts w:ascii="Times New Roman" w:eastAsia="Times New Roman" w:hAnsi="Times New Roman" w:cs="Times New Roman"/>
          <w:i/>
          <w:iCs/>
          <w:sz w:val="24"/>
          <w:szCs w:val="24"/>
        </w:rPr>
        <w:t>Reading Across Borders: Storytelling and Knowledges of Resistance</w:t>
      </w:r>
      <w:r>
        <w:rPr>
          <w:rFonts w:ascii="Times New Roman" w:eastAsia="Times New Roman" w:hAnsi="Times New Roman" w:cs="Times New Roman"/>
          <w:sz w:val="24"/>
          <w:szCs w:val="24"/>
        </w:rPr>
        <w:t xml:space="preserve"> (Palgrave Macmillan, 2003). She is also a co-founder and recent Managing Director of Parole Illinois, an organization of people inside and outside of prison dedicated to creating a more just </w:t>
      </w:r>
      <w:r w:rsidR="000C780A">
        <w:rPr>
          <w:rFonts w:ascii="Times New Roman" w:eastAsia="Times New Roman" w:hAnsi="Times New Roman" w:cs="Times New Roman"/>
          <w:sz w:val="24"/>
          <w:szCs w:val="24"/>
        </w:rPr>
        <w:t>l</w:t>
      </w:r>
      <w:r>
        <w:rPr>
          <w:rFonts w:ascii="Times New Roman" w:eastAsia="Times New Roman" w:hAnsi="Times New Roman" w:cs="Times New Roman"/>
          <w:sz w:val="24"/>
          <w:szCs w:val="24"/>
        </w:rPr>
        <w:t>egal syste</w:t>
      </w:r>
      <w:r w:rsidR="00B129E0">
        <w:rPr>
          <w:rFonts w:ascii="Times New Roman" w:eastAsia="Times New Roman" w:hAnsi="Times New Roman" w:cs="Times New Roman"/>
          <w:sz w:val="24"/>
          <w:szCs w:val="24"/>
        </w:rPr>
        <w:t>m.</w:t>
      </w:r>
    </w:p>
    <w:p w14:paraId="00000138" w14:textId="77777777" w:rsidR="008F3A7C" w:rsidRDefault="008F3A7C" w:rsidP="00BC4B2F">
      <w:pPr>
        <w:spacing w:line="240" w:lineRule="auto"/>
        <w:rPr>
          <w:rFonts w:ascii="Times New Roman" w:eastAsia="Times New Roman" w:hAnsi="Times New Roman" w:cs="Times New Roman"/>
          <w:sz w:val="24"/>
          <w:szCs w:val="24"/>
        </w:rPr>
      </w:pPr>
    </w:p>
    <w:sectPr w:rsidR="008F3A7C" w:rsidSect="00B129E0">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873D" w14:textId="77777777" w:rsidR="00BD5BDF" w:rsidRDefault="00BD5BDF" w:rsidP="00943BCC">
      <w:pPr>
        <w:spacing w:line="240" w:lineRule="auto"/>
      </w:pPr>
      <w:r>
        <w:separator/>
      </w:r>
    </w:p>
  </w:endnote>
  <w:endnote w:type="continuationSeparator" w:id="0">
    <w:p w14:paraId="6C07234B" w14:textId="77777777" w:rsidR="00BD5BDF" w:rsidRDefault="00BD5BDF" w:rsidP="00943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850130"/>
      <w:docPartObj>
        <w:docPartGallery w:val="Page Numbers (Bottom of Page)"/>
        <w:docPartUnique/>
      </w:docPartObj>
    </w:sdtPr>
    <w:sdtContent>
      <w:p w14:paraId="5984B3F8" w14:textId="38E5B052" w:rsidR="00B129E0" w:rsidRDefault="00B129E0" w:rsidP="008F2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DA5F7" w14:textId="77777777" w:rsidR="00B129E0" w:rsidRDefault="00B129E0" w:rsidP="00B12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A0AF" w14:textId="77777777" w:rsidR="00B129E0" w:rsidRDefault="00B129E0" w:rsidP="00B129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A9B2" w14:textId="77777777" w:rsidR="00BD5BDF" w:rsidRDefault="00BD5BDF" w:rsidP="00943BCC">
      <w:pPr>
        <w:spacing w:line="240" w:lineRule="auto"/>
      </w:pPr>
      <w:r>
        <w:separator/>
      </w:r>
    </w:p>
  </w:footnote>
  <w:footnote w:type="continuationSeparator" w:id="0">
    <w:p w14:paraId="7AEA2948" w14:textId="77777777" w:rsidR="00BD5BDF" w:rsidRDefault="00BD5BDF" w:rsidP="00943BCC">
      <w:pPr>
        <w:spacing w:line="240" w:lineRule="auto"/>
      </w:pPr>
      <w:r>
        <w:continuationSeparator/>
      </w:r>
    </w:p>
  </w:footnote>
  <w:footnote w:id="1">
    <w:p w14:paraId="1711BC9B" w14:textId="58C5A572" w:rsidR="00943BCC" w:rsidRPr="00943BCC" w:rsidRDefault="00943BCC">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 instance, Gilligan, </w:t>
      </w:r>
      <w:r w:rsidRPr="00943BCC">
        <w:rPr>
          <w:rFonts w:ascii="Times New Roman" w:eastAsia="Times New Roman" w:hAnsi="Times New Roman" w:cs="Times New Roman"/>
          <w:i/>
          <w:iCs/>
          <w:sz w:val="24"/>
          <w:szCs w:val="24"/>
        </w:rPr>
        <w:t>Violence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chapters 5 and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886962"/>
      <w:docPartObj>
        <w:docPartGallery w:val="Page Numbers (Top of Page)"/>
        <w:docPartUnique/>
      </w:docPartObj>
    </w:sdtPr>
    <w:sdtContent>
      <w:p w14:paraId="4DC99D18" w14:textId="7081EB84" w:rsidR="00B129E0" w:rsidRDefault="00B129E0" w:rsidP="008F2D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1265C" w14:textId="77777777" w:rsidR="00B129E0" w:rsidRDefault="00B129E0" w:rsidP="00B129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016837"/>
      <w:docPartObj>
        <w:docPartGallery w:val="Page Numbers (Top of Page)"/>
        <w:docPartUnique/>
      </w:docPartObj>
    </w:sdtPr>
    <w:sdtContent>
      <w:p w14:paraId="4C089D1F" w14:textId="06B96824" w:rsidR="00B129E0" w:rsidRDefault="00B129E0" w:rsidP="008F2D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060C09" w14:textId="77777777" w:rsidR="00B129E0" w:rsidRDefault="00B129E0" w:rsidP="00B129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E90"/>
    <w:multiLevelType w:val="multilevel"/>
    <w:tmpl w:val="608E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3016F"/>
    <w:multiLevelType w:val="multilevel"/>
    <w:tmpl w:val="6032C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937D5A"/>
    <w:multiLevelType w:val="multilevel"/>
    <w:tmpl w:val="4DDA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C95566"/>
    <w:multiLevelType w:val="multilevel"/>
    <w:tmpl w:val="F1EA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84CE3"/>
    <w:multiLevelType w:val="multilevel"/>
    <w:tmpl w:val="E676DA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AB55D8"/>
    <w:multiLevelType w:val="multilevel"/>
    <w:tmpl w:val="1A626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45AC2"/>
    <w:multiLevelType w:val="multilevel"/>
    <w:tmpl w:val="2CC00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736E37"/>
    <w:multiLevelType w:val="multilevel"/>
    <w:tmpl w:val="0004E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0E2739"/>
    <w:multiLevelType w:val="multilevel"/>
    <w:tmpl w:val="F2D8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7593007">
    <w:abstractNumId w:val="7"/>
  </w:num>
  <w:num w:numId="2" w16cid:durableId="213082036">
    <w:abstractNumId w:val="6"/>
  </w:num>
  <w:num w:numId="3" w16cid:durableId="605695442">
    <w:abstractNumId w:val="2"/>
  </w:num>
  <w:num w:numId="4" w16cid:durableId="65034026">
    <w:abstractNumId w:val="1"/>
  </w:num>
  <w:num w:numId="5" w16cid:durableId="1526022779">
    <w:abstractNumId w:val="0"/>
  </w:num>
  <w:num w:numId="6" w16cid:durableId="1817409678">
    <w:abstractNumId w:val="3"/>
  </w:num>
  <w:num w:numId="7" w16cid:durableId="437413869">
    <w:abstractNumId w:val="5"/>
  </w:num>
  <w:num w:numId="8" w16cid:durableId="1124349795">
    <w:abstractNumId w:val="8"/>
  </w:num>
  <w:num w:numId="9" w16cid:durableId="1077705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7C"/>
    <w:rsid w:val="000C780A"/>
    <w:rsid w:val="00181792"/>
    <w:rsid w:val="00197487"/>
    <w:rsid w:val="001D5139"/>
    <w:rsid w:val="003F6C31"/>
    <w:rsid w:val="00494659"/>
    <w:rsid w:val="004E2FA4"/>
    <w:rsid w:val="00691BEC"/>
    <w:rsid w:val="006B2620"/>
    <w:rsid w:val="00711D61"/>
    <w:rsid w:val="007661A0"/>
    <w:rsid w:val="008F3A7C"/>
    <w:rsid w:val="00943BCC"/>
    <w:rsid w:val="00954DCB"/>
    <w:rsid w:val="00973420"/>
    <w:rsid w:val="0097419A"/>
    <w:rsid w:val="00B129E0"/>
    <w:rsid w:val="00BC4B2F"/>
    <w:rsid w:val="00BD5BDF"/>
    <w:rsid w:val="00BE6E7E"/>
    <w:rsid w:val="00D2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4CC5D"/>
  <w15:docId w15:val="{E1022690-1B1F-414F-B6CD-7778D4BD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markedcontent">
    <w:name w:val="markedcontent"/>
    <w:basedOn w:val="DefaultParagraphFont"/>
    <w:rsid w:val="006B2620"/>
  </w:style>
  <w:style w:type="paragraph" w:styleId="FootnoteText">
    <w:name w:val="footnote text"/>
    <w:basedOn w:val="Normal"/>
    <w:link w:val="FootnoteTextChar"/>
    <w:uiPriority w:val="99"/>
    <w:semiHidden/>
    <w:unhideWhenUsed/>
    <w:rsid w:val="00943BCC"/>
    <w:pPr>
      <w:spacing w:line="240" w:lineRule="auto"/>
    </w:pPr>
    <w:rPr>
      <w:sz w:val="20"/>
      <w:szCs w:val="20"/>
    </w:rPr>
  </w:style>
  <w:style w:type="character" w:customStyle="1" w:styleId="FootnoteTextChar">
    <w:name w:val="Footnote Text Char"/>
    <w:basedOn w:val="DefaultParagraphFont"/>
    <w:link w:val="FootnoteText"/>
    <w:uiPriority w:val="99"/>
    <w:semiHidden/>
    <w:rsid w:val="00943BCC"/>
    <w:rPr>
      <w:sz w:val="20"/>
      <w:szCs w:val="20"/>
    </w:rPr>
  </w:style>
  <w:style w:type="character" w:styleId="FootnoteReference">
    <w:name w:val="footnote reference"/>
    <w:basedOn w:val="DefaultParagraphFont"/>
    <w:uiPriority w:val="99"/>
    <w:semiHidden/>
    <w:unhideWhenUsed/>
    <w:rsid w:val="00943BCC"/>
    <w:rPr>
      <w:vertAlign w:val="superscript"/>
    </w:rPr>
  </w:style>
  <w:style w:type="paragraph" w:styleId="Footer">
    <w:name w:val="footer"/>
    <w:basedOn w:val="Normal"/>
    <w:link w:val="FooterChar"/>
    <w:uiPriority w:val="99"/>
    <w:unhideWhenUsed/>
    <w:rsid w:val="00B129E0"/>
    <w:pPr>
      <w:tabs>
        <w:tab w:val="center" w:pos="4680"/>
        <w:tab w:val="right" w:pos="9360"/>
      </w:tabs>
      <w:spacing w:line="240" w:lineRule="auto"/>
    </w:pPr>
  </w:style>
  <w:style w:type="character" w:customStyle="1" w:styleId="FooterChar">
    <w:name w:val="Footer Char"/>
    <w:basedOn w:val="DefaultParagraphFont"/>
    <w:link w:val="Footer"/>
    <w:uiPriority w:val="99"/>
    <w:rsid w:val="00B129E0"/>
  </w:style>
  <w:style w:type="character" w:styleId="PageNumber">
    <w:name w:val="page number"/>
    <w:basedOn w:val="DefaultParagraphFont"/>
    <w:uiPriority w:val="99"/>
    <w:semiHidden/>
    <w:unhideWhenUsed/>
    <w:rsid w:val="00B129E0"/>
  </w:style>
  <w:style w:type="paragraph" w:styleId="Header">
    <w:name w:val="header"/>
    <w:basedOn w:val="Normal"/>
    <w:link w:val="HeaderChar"/>
    <w:uiPriority w:val="99"/>
    <w:unhideWhenUsed/>
    <w:rsid w:val="00B129E0"/>
    <w:pPr>
      <w:tabs>
        <w:tab w:val="center" w:pos="4680"/>
        <w:tab w:val="right" w:pos="9360"/>
      </w:tabs>
      <w:spacing w:line="240" w:lineRule="auto"/>
    </w:pPr>
  </w:style>
  <w:style w:type="character" w:customStyle="1" w:styleId="HeaderChar">
    <w:name w:val="Header Char"/>
    <w:basedOn w:val="DefaultParagraphFont"/>
    <w:link w:val="Header"/>
    <w:uiPriority w:val="99"/>
    <w:rsid w:val="00B1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513">
      <w:bodyDiv w:val="1"/>
      <w:marLeft w:val="0"/>
      <w:marRight w:val="0"/>
      <w:marTop w:val="0"/>
      <w:marBottom w:val="0"/>
      <w:divBdr>
        <w:top w:val="none" w:sz="0" w:space="0" w:color="auto"/>
        <w:left w:val="none" w:sz="0" w:space="0" w:color="auto"/>
        <w:bottom w:val="none" w:sz="0" w:space="0" w:color="auto"/>
        <w:right w:val="none" w:sz="0" w:space="0" w:color="auto"/>
      </w:divBdr>
    </w:div>
    <w:div w:id="766075971">
      <w:bodyDiv w:val="1"/>
      <w:marLeft w:val="0"/>
      <w:marRight w:val="0"/>
      <w:marTop w:val="0"/>
      <w:marBottom w:val="0"/>
      <w:divBdr>
        <w:top w:val="none" w:sz="0" w:space="0" w:color="auto"/>
        <w:left w:val="none" w:sz="0" w:space="0" w:color="auto"/>
        <w:bottom w:val="none" w:sz="0" w:space="0" w:color="auto"/>
        <w:right w:val="none" w:sz="0" w:space="0" w:color="auto"/>
      </w:divBdr>
    </w:div>
    <w:div w:id="167290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9B9B-424E-164C-B463-E2FE7FA2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2022-05-15T14:07:00Z</dcterms:created>
  <dcterms:modified xsi:type="dcterms:W3CDTF">2022-05-15T22:45:00Z</dcterms:modified>
</cp:coreProperties>
</file>