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6B99" w14:textId="77777777" w:rsidR="006B2620" w:rsidRDefault="006B2620" w:rsidP="00BC4B2F">
      <w:pPr>
        <w:spacing w:line="240" w:lineRule="auto"/>
        <w:rPr>
          <w:rFonts w:ascii="Times New Roman" w:eastAsia="Times New Roman" w:hAnsi="Times New Roman" w:cs="Times New Roman"/>
          <w:sz w:val="24"/>
          <w:szCs w:val="24"/>
        </w:rPr>
      </w:pPr>
    </w:p>
    <w:p w14:paraId="0F97A6F7" w14:textId="77777777" w:rsidR="006B2620" w:rsidRDefault="006B2620" w:rsidP="00BC4B2F">
      <w:pPr>
        <w:spacing w:line="240" w:lineRule="auto"/>
        <w:rPr>
          <w:rFonts w:ascii="Times New Roman" w:eastAsia="Times New Roman" w:hAnsi="Times New Roman" w:cs="Times New Roman"/>
          <w:sz w:val="24"/>
          <w:szCs w:val="24"/>
        </w:rPr>
      </w:pPr>
    </w:p>
    <w:p w14:paraId="00000002" w14:textId="6B5C7110" w:rsidR="008F3A7C" w:rsidRDefault="006B2620" w:rsidP="00BC4B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 Coyle and </w:t>
      </w:r>
      <w:proofErr w:type="spellStart"/>
      <w:r>
        <w:rPr>
          <w:rFonts w:ascii="Times New Roman" w:eastAsia="Times New Roman" w:hAnsi="Times New Roman" w:cs="Times New Roman"/>
          <w:sz w:val="24"/>
          <w:szCs w:val="24"/>
        </w:rPr>
        <w:t>Mechthild</w:t>
      </w:r>
      <w:proofErr w:type="spellEnd"/>
      <w:r>
        <w:rPr>
          <w:rFonts w:ascii="Times New Roman" w:eastAsia="Times New Roman" w:hAnsi="Times New Roman" w:cs="Times New Roman"/>
          <w:sz w:val="24"/>
          <w:szCs w:val="24"/>
        </w:rPr>
        <w:t xml:space="preserve"> Nagel, </w:t>
      </w:r>
      <w:r w:rsidR="00711D6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00BD5BDF" w:rsidRPr="006B2620">
        <w:rPr>
          <w:rFonts w:ascii="Times New Roman" w:eastAsia="Times New Roman" w:hAnsi="Times New Roman" w:cs="Times New Roman"/>
          <w:i/>
          <w:iCs/>
          <w:sz w:val="24"/>
          <w:szCs w:val="24"/>
        </w:rPr>
        <w:t>Contesting Carceral Logic: Toward Abolitionist Futures</w:t>
      </w:r>
      <w:r>
        <w:rPr>
          <w:rFonts w:ascii="Times New Roman" w:eastAsia="Times New Roman" w:hAnsi="Times New Roman" w:cs="Times New Roman"/>
          <w:i/>
          <w:iCs/>
          <w:sz w:val="24"/>
          <w:szCs w:val="24"/>
        </w:rPr>
        <w:t xml:space="preserve">. </w:t>
      </w:r>
      <w:r w:rsidRPr="006B2620">
        <w:rPr>
          <w:rFonts w:ascii="Times New Roman" w:eastAsia="Times New Roman" w:hAnsi="Times New Roman" w:cs="Times New Roman"/>
          <w:sz w:val="24"/>
          <w:szCs w:val="24"/>
        </w:rPr>
        <w:t>R</w:t>
      </w:r>
      <w:r w:rsidR="007661A0">
        <w:rPr>
          <w:rFonts w:ascii="Times New Roman" w:eastAsia="Times New Roman" w:hAnsi="Times New Roman" w:cs="Times New Roman"/>
          <w:sz w:val="24"/>
          <w:szCs w:val="24"/>
        </w:rPr>
        <w:t>outledge, 2022.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Pp. 213. $</w:t>
      </w:r>
      <w:r w:rsidR="0097419A">
        <w:rPr>
          <w:rFonts w:ascii="Times New Roman" w:eastAsia="Times New Roman" w:hAnsi="Times New Roman" w:cs="Times New Roman"/>
          <w:sz w:val="24"/>
          <w:szCs w:val="24"/>
        </w:rPr>
        <w:t>49.95</w:t>
      </w:r>
      <w:r>
        <w:rPr>
          <w:rFonts w:ascii="Times New Roman" w:eastAsia="Times New Roman" w:hAnsi="Times New Roman" w:cs="Times New Roman"/>
          <w:sz w:val="24"/>
          <w:szCs w:val="24"/>
        </w:rPr>
        <w:t>, paperback. ISBN: 9780367751326</w:t>
      </w:r>
    </w:p>
    <w:p w14:paraId="383F7B09" w14:textId="77777777" w:rsidR="006B2620" w:rsidRPr="006B2620" w:rsidRDefault="006B2620" w:rsidP="00BC4B2F">
      <w:pPr>
        <w:spacing w:line="240" w:lineRule="auto"/>
        <w:rPr>
          <w:rFonts w:ascii="Times New Roman" w:eastAsia="Times New Roman" w:hAnsi="Times New Roman" w:cs="Times New Roman"/>
          <w:sz w:val="24"/>
          <w:szCs w:val="24"/>
        </w:rPr>
      </w:pPr>
    </w:p>
    <w:p w14:paraId="00000003" w14:textId="77777777" w:rsidR="008F3A7C" w:rsidRDefault="008F3A7C" w:rsidP="00BC4B2F">
      <w:pPr>
        <w:spacing w:line="240" w:lineRule="auto"/>
        <w:rPr>
          <w:rFonts w:ascii="Times New Roman" w:eastAsia="Times New Roman" w:hAnsi="Times New Roman" w:cs="Times New Roman"/>
          <w:sz w:val="24"/>
          <w:szCs w:val="24"/>
        </w:rPr>
      </w:pPr>
    </w:p>
    <w:p w14:paraId="00000004" w14:textId="39AE0F87" w:rsidR="008F3A7C" w:rsidRDefault="00BD5BDF" w:rsidP="00B129E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years, Americans across the political spectrum have recognized abuses in the U.S. criminal-legal system; however, the notion of this system as a “justice system”</w:t>
      </w:r>
      <w:r w:rsidR="00691BEC">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a rational set of institutions that may sometimes be corrupted by abuse but is fundamentally oriented towards justice</w:t>
      </w:r>
      <w:r w:rsidR="00691BEC">
        <w:rPr>
          <w:rFonts w:ascii="Times New Roman" w:eastAsia="Times New Roman" w:hAnsi="Times New Roman" w:cs="Times New Roman"/>
          <w:sz w:val="24"/>
          <w:szCs w:val="24"/>
        </w:rPr>
        <w:t xml:space="preserve"> and safety</w:t>
      </w:r>
      <w:r>
        <w:rPr>
          <w:rFonts w:ascii="Times New Roman" w:eastAsia="Times New Roman" w:hAnsi="Times New Roman" w:cs="Times New Roman"/>
          <w:sz w:val="24"/>
          <w:szCs w:val="24"/>
        </w:rPr>
        <w:t xml:space="preserve">--remains deeply ingrained in the national consciousness. Except in more specialized circles, questions about the basic logic of </w:t>
      </w:r>
      <w:r w:rsidR="00691BEC">
        <w:rPr>
          <w:rFonts w:ascii="Times New Roman" w:eastAsia="Times New Roman" w:hAnsi="Times New Roman" w:cs="Times New Roman"/>
          <w:sz w:val="24"/>
          <w:szCs w:val="24"/>
        </w:rPr>
        <w:t xml:space="preserve">our justice </w:t>
      </w:r>
      <w:r>
        <w:rPr>
          <w:rFonts w:ascii="Times New Roman" w:eastAsia="Times New Roman" w:hAnsi="Times New Roman" w:cs="Times New Roman"/>
          <w:sz w:val="24"/>
          <w:szCs w:val="24"/>
        </w:rPr>
        <w:t xml:space="preserve">system are rarely raised. Building on a rich tradition of abolitionist thought, </w:t>
      </w:r>
      <w:r>
        <w:rPr>
          <w:rFonts w:ascii="Times New Roman" w:eastAsia="Times New Roman" w:hAnsi="Times New Roman" w:cs="Times New Roman"/>
          <w:i/>
          <w:sz w:val="24"/>
          <w:szCs w:val="24"/>
        </w:rPr>
        <w:t xml:space="preserve">Contesting Carceral Logic </w:t>
      </w:r>
      <w:r>
        <w:rPr>
          <w:rFonts w:ascii="Times New Roman" w:eastAsia="Times New Roman" w:hAnsi="Times New Roman" w:cs="Times New Roman"/>
          <w:sz w:val="24"/>
          <w:szCs w:val="24"/>
        </w:rPr>
        <w:t>helps a wider audience to raise more probing questions about the system we have called “justice.” Why, for instance, do we identify justice and safety with incarcerating people? Why are the same racialized and dispossessed populations locked up across the world? And why do we target and vilify the transgressions of socially vulnerable populations while ignoring the much more substantial harms of poverty and institutionalized racism?</w:t>
      </w:r>
    </w:p>
    <w:p w14:paraId="00000005" w14:textId="79451B1B"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contributors to </w:t>
      </w:r>
      <w:r>
        <w:rPr>
          <w:rFonts w:ascii="Times New Roman" w:eastAsia="Times New Roman" w:hAnsi="Times New Roman" w:cs="Times New Roman"/>
          <w:i/>
          <w:sz w:val="24"/>
          <w:szCs w:val="24"/>
        </w:rPr>
        <w:t xml:space="preserve">Contesting Carceral Logic </w:t>
      </w:r>
      <w:r>
        <w:rPr>
          <w:rFonts w:ascii="Times New Roman" w:eastAsia="Times New Roman" w:hAnsi="Times New Roman" w:cs="Times New Roman"/>
          <w:sz w:val="24"/>
          <w:szCs w:val="24"/>
        </w:rPr>
        <w:t>share a commitment to radical critique of what passes as “criminal justice,” but their contributions vary widely in intellectual style and social and geographic standpoints. The heterogeneous collection does not offer a systematic critique of modern punishment or methodical elaboration of penal abolition and its links to broader transformation of the world that has given rise to prisons. The book does, however, present a rich variety of perspectives–anti-colonial, anti-racist, feminist, Marxist, Foucauldian, Southern crimin</w:t>
      </w:r>
      <w:r w:rsidR="0019748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logy, activism-situated, and poetic--on the contradictions of the modern penal system. Readers new to these arguments will find a variety of inroads for critically examining the modern paradigm of justice. Readers familiar with abolitionist texts are bound to encounter some </w:t>
      </w:r>
      <w:r>
        <w:rPr>
          <w:rFonts w:ascii="Times New Roman" w:eastAsia="Times New Roman" w:hAnsi="Times New Roman" w:cs="Times New Roman"/>
          <w:sz w:val="24"/>
          <w:szCs w:val="24"/>
        </w:rPr>
        <w:lastRenderedPageBreak/>
        <w:t xml:space="preserve">new provocations amongst the variety of essays collected here for exploring a kind of “justice” that does not exacerbate but helps us to heal from racist violence and other social harms. </w:t>
      </w:r>
    </w:p>
    <w:p w14:paraId="00000006" w14:textId="4BFF7A5B"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introduction by editors Michael Coyle and </w:t>
      </w:r>
      <w:proofErr w:type="spellStart"/>
      <w:r w:rsidR="00D10E61">
        <w:rPr>
          <w:rFonts w:ascii="Times New Roman" w:eastAsia="Times New Roman" w:hAnsi="Times New Roman" w:cs="Times New Roman"/>
          <w:sz w:val="24"/>
          <w:szCs w:val="24"/>
        </w:rPr>
        <w:t>Mechthild</w:t>
      </w:r>
      <w:proofErr w:type="spellEnd"/>
      <w:r w:rsidR="00D10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Nagel frames the volume in terms of an explicitly abolitionist stance. They contrast </w:t>
      </w:r>
      <w:r>
        <w:rPr>
          <w:rFonts w:ascii="Times New Roman" w:eastAsia="Times New Roman" w:hAnsi="Times New Roman" w:cs="Times New Roman"/>
          <w:i/>
          <w:sz w:val="24"/>
          <w:szCs w:val="24"/>
        </w:rPr>
        <w:t>carceral logic</w:t>
      </w:r>
      <w:r>
        <w:rPr>
          <w:rFonts w:ascii="Times New Roman" w:eastAsia="Times New Roman" w:hAnsi="Times New Roman" w:cs="Times New Roman"/>
          <w:sz w:val="24"/>
          <w:szCs w:val="24"/>
        </w:rPr>
        <w:t xml:space="preserve">–a logic centered on the premise “that threats, punishments, and imprisonment broadly work as solutions to social </w:t>
      </w:r>
      <w:proofErr w:type="gramStart"/>
      <w:r>
        <w:rPr>
          <w:rFonts w:ascii="Times New Roman" w:eastAsia="Times New Roman" w:hAnsi="Times New Roman" w:cs="Times New Roman"/>
          <w:sz w:val="24"/>
          <w:szCs w:val="24"/>
        </w:rPr>
        <w:t>problems”--</w:t>
      </w:r>
      <w:proofErr w:type="gramEnd"/>
      <w:r>
        <w:rPr>
          <w:rFonts w:ascii="Times New Roman" w:eastAsia="Times New Roman" w:hAnsi="Times New Roman" w:cs="Times New Roman"/>
          <w:sz w:val="24"/>
          <w:szCs w:val="24"/>
        </w:rPr>
        <w:t xml:space="preserve">to </w:t>
      </w:r>
      <w:r>
        <w:rPr>
          <w:rFonts w:ascii="Times New Roman" w:eastAsia="Times New Roman" w:hAnsi="Times New Roman" w:cs="Times New Roman"/>
          <w:i/>
          <w:sz w:val="24"/>
          <w:szCs w:val="24"/>
        </w:rPr>
        <w:t>penal</w:t>
      </w:r>
      <w:r w:rsidRPr="00B129E0">
        <w:rPr>
          <w:rFonts w:ascii="Times New Roman" w:eastAsia="Times New Roman" w:hAnsi="Times New Roman" w:cs="Times New Roman"/>
          <w:i/>
          <w:sz w:val="24"/>
          <w:szCs w:val="24"/>
        </w:rPr>
        <w:t xml:space="preserve"> abolition logic</w:t>
      </w:r>
      <w:r w:rsidR="00B129E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B129E0">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rejects carceral assumptions and shifts the conversation to “how communities can best socially organize to respond to [all] transgression” (1, 5). While the discussion of penal abolition remains general, the introduction effectively brings under scrutiny the contours of a punishment-oriented mindset born of racism and violence that now dominates modern life. Citing decolonial theorists, critical race theorists, and Michel Foucault, it traces our punishment-oriented criminal-legal system to colonialism, white supremacy, and modern capitalism, each of which has invoked the authority of the law and the tools of state-sanctioned punishment to enforce power relations. It invites readers to consider how, from colonialism to the present day, the ruse of “criminal justice” has served as a cover to maintain control over subjugated populations.</w:t>
      </w:r>
    </w:p>
    <w:p w14:paraId="00000007" w14:textId="1E284831"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introduction also offers a compelling account of the broad reach of carceral logic across the neocolonial world. In the United States and elsewhere, the editors argue, the punish-and-imprison logic has exercised an “almost complete grasp. . .on what is called the ‘criminal justice system’” (2). This logic also has structured everything from immigration policy to schools, from mental health treatment to responses to “difference of almost any kind,” where state-sanctioned punishment is used to control people who trouble the social order (2). In fact, the editors argue, we have become so fixated on punishing troublemakers that we have largely overlooked the failure of our punishment-oriented systems to reduce crime and the possibility of </w:t>
      </w:r>
      <w:r>
        <w:rPr>
          <w:rFonts w:ascii="Times New Roman" w:eastAsia="Times New Roman" w:hAnsi="Times New Roman" w:cs="Times New Roman"/>
          <w:sz w:val="24"/>
          <w:szCs w:val="24"/>
        </w:rPr>
        <w:lastRenderedPageBreak/>
        <w:t>alternative responses to harm. “[L]</w:t>
      </w:r>
      <w:proofErr w:type="spellStart"/>
      <w:r>
        <w:rPr>
          <w:rFonts w:ascii="Times New Roman" w:eastAsia="Times New Roman" w:hAnsi="Times New Roman" w:cs="Times New Roman"/>
          <w:sz w:val="24"/>
          <w:szCs w:val="24"/>
        </w:rPr>
        <w:t>ike</w:t>
      </w:r>
      <w:proofErr w:type="spellEnd"/>
      <w:r>
        <w:rPr>
          <w:rFonts w:ascii="Times New Roman" w:eastAsia="Times New Roman" w:hAnsi="Times New Roman" w:cs="Times New Roman"/>
          <w:sz w:val="24"/>
          <w:szCs w:val="24"/>
        </w:rPr>
        <w:t xml:space="preserve"> a hammer that sees only contexts in which to pummel,” say Coyle and Nagel, societies mired in the control-and-punishment mindset have become carceral states that “see only contexts in which to punish and imprison” (1).  </w:t>
      </w:r>
    </w:p>
    <w:p w14:paraId="00000008" w14:textId="1439495C"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logic becomes an unquestioned framework of our institutions, it often structures even the disciplines used to study those institutions, which become unwitting accomplices with that logic. The editors argue that this has become the case with the disciplines of criminology and philosophy of law, which aside from some important exceptions, have tended to follow received ways of seeing “crime” and “criminals,” reduce justice to punishment of “criminals,” and limit inquiry to theorizing the grounds or the appropriate degree of punishment (4). The project of </w:t>
      </w:r>
      <w:r>
        <w:rPr>
          <w:rFonts w:ascii="Times New Roman" w:eastAsia="Times New Roman" w:hAnsi="Times New Roman" w:cs="Times New Roman"/>
          <w:i/>
          <w:sz w:val="24"/>
          <w:szCs w:val="24"/>
        </w:rPr>
        <w:t>Carceral Logic</w:t>
      </w:r>
      <w:r>
        <w:rPr>
          <w:rFonts w:ascii="Times New Roman" w:eastAsia="Times New Roman" w:hAnsi="Times New Roman" w:cs="Times New Roman"/>
          <w:sz w:val="24"/>
          <w:szCs w:val="24"/>
        </w:rPr>
        <w:t>, however, is not to critically examine criminology programs or engage specific debates within these disciplines. Instead, it speaks to readers with a general interest in justice and social problems and offers them an array of perspectives from which to think critically about the role that prisons have played in our world.</w:t>
      </w:r>
    </w:p>
    <w:p w14:paraId="00000009" w14:textId="77777777"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most powerful essays are penned from currently incarcerated writers. These writings offer glimpses into the profound emotional and psychological harm that is endemic to our modern penal system. Beyond testifying to the depth of abuse, though, they also attest to the resilient humanity, insight, and value to our community of some of the people our criminal-legal system has treated as disposable. “Disenthrall,” by Emmanuel X, gives voice to the severe crushing of humanity that lies at the core of our penal system, not unlike that of the slave-trade. Having been caged for 5 years “in a cell smaller than an average bathroom with no TV, radio, or window. . . [s]hackled and handcuffed every time I move” (179), and </w:t>
      </w:r>
      <w:proofErr w:type="gramStart"/>
      <w:r>
        <w:rPr>
          <w:rFonts w:ascii="Times New Roman" w:eastAsia="Times New Roman" w:hAnsi="Times New Roman" w:cs="Times New Roman"/>
          <w:sz w:val="24"/>
          <w:szCs w:val="24"/>
        </w:rPr>
        <w:t>having  mustered</w:t>
      </w:r>
      <w:proofErr w:type="gramEnd"/>
      <w:r>
        <w:rPr>
          <w:rFonts w:ascii="Times New Roman" w:eastAsia="Times New Roman" w:hAnsi="Times New Roman" w:cs="Times New Roman"/>
          <w:sz w:val="24"/>
          <w:szCs w:val="24"/>
        </w:rPr>
        <w:t xml:space="preserve"> strength from inside himself to reflect upon his experience, Emmanuel describes how incarceration does not merely detain but enacts a systematic pummeling of the human spirit.</w:t>
      </w:r>
    </w:p>
    <w:p w14:paraId="0000000A" w14:textId="77777777" w:rsidR="008F3A7C" w:rsidRDefault="008F3A7C" w:rsidP="00B129E0">
      <w:pPr>
        <w:spacing w:line="480" w:lineRule="auto"/>
        <w:ind w:firstLine="720"/>
        <w:rPr>
          <w:rFonts w:ascii="Times New Roman" w:eastAsia="Times New Roman" w:hAnsi="Times New Roman" w:cs="Times New Roman"/>
          <w:sz w:val="24"/>
          <w:szCs w:val="24"/>
        </w:rPr>
      </w:pPr>
    </w:p>
    <w:p w14:paraId="0000000B" w14:textId="77777777" w:rsidR="008F3A7C" w:rsidRDefault="00BD5BDF" w:rsidP="00B129E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Submerged into ruins losing all sense of hope and direction. Stolen. Stripped away from our opportunity to share the full experience of humanity. To thrive in society. To give and contribute to our communities. To experience nature – the nourishment of our kids and to provide for and watch our families grow. </w:t>
      </w:r>
    </w:p>
    <w:p w14:paraId="0000000C" w14:textId="77777777" w:rsidR="008F3A7C" w:rsidRDefault="00BD5BDF" w:rsidP="00B129E0">
      <w:pPr>
        <w:spacing w:line="480" w:lineRule="auto"/>
        <w:ind w:left="720"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…as if we’re a virus; a deadly plague stripped from civilization. . .as if we’re infected with a deadly disease that gnaws our identities until we become nothing more than a number (178). </w:t>
      </w:r>
    </w:p>
    <w:p w14:paraId="0000000D" w14:textId="77777777" w:rsidR="008F3A7C" w:rsidRDefault="008F3A7C" w:rsidP="00B129E0">
      <w:pPr>
        <w:spacing w:line="480" w:lineRule="auto"/>
        <w:rPr>
          <w:rFonts w:ascii="Times New Roman" w:eastAsia="Times New Roman" w:hAnsi="Times New Roman" w:cs="Times New Roman"/>
          <w:strike/>
          <w:sz w:val="24"/>
          <w:szCs w:val="24"/>
        </w:rPr>
      </w:pPr>
    </w:p>
    <w:p w14:paraId="0000000E" w14:textId="158474B0" w:rsidR="008F3A7C" w:rsidRDefault="00BD5BDF" w:rsidP="00B129E0">
      <w:pP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Emmanuel is not the first to compare the U.S. penal system to slavery, </w:t>
      </w:r>
      <w:r w:rsidR="00711D61">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his experience-driven account of the continuit</w:t>
      </w:r>
      <w:r w:rsidR="000C780A">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t xml:space="preserve">between </w:t>
      </w:r>
      <w:r w:rsidR="00711D61">
        <w:rPr>
          <w:rFonts w:ascii="Times New Roman" w:eastAsia="Times New Roman" w:hAnsi="Times New Roman" w:cs="Times New Roman"/>
          <w:sz w:val="24"/>
          <w:szCs w:val="24"/>
        </w:rPr>
        <w:t xml:space="preserve">enslavement and incarceration </w:t>
      </w:r>
      <w:r>
        <w:rPr>
          <w:rFonts w:ascii="Times New Roman" w:eastAsia="Times New Roman" w:hAnsi="Times New Roman" w:cs="Times New Roman"/>
          <w:sz w:val="24"/>
          <w:szCs w:val="24"/>
        </w:rPr>
        <w:t>is particularly compelling. Struck by having witnessed “at least 85% of [his] male childhood peers become incarcerated,” Emmanuel traces the “hidden heritage” of his</w:t>
      </w:r>
      <w:r w:rsidR="000C7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people</w:t>
      </w:r>
      <w:r w:rsidR="00711D61">
        <w:rPr>
          <w:rFonts w:ascii="Times New Roman" w:eastAsia="Times New Roman" w:hAnsi="Times New Roman" w:cs="Times New Roman"/>
          <w:sz w:val="24"/>
          <w:szCs w:val="24"/>
        </w:rPr>
        <w:t xml:space="preserve">: </w:t>
      </w:r>
      <w:r w:rsidR="000C780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rom </w:t>
      </w:r>
      <w:r w:rsidR="00181792">
        <w:rPr>
          <w:rFonts w:ascii="Times New Roman" w:eastAsia="Times New Roman" w:hAnsi="Times New Roman" w:cs="Times New Roman"/>
          <w:sz w:val="24"/>
          <w:szCs w:val="24"/>
        </w:rPr>
        <w:t xml:space="preserve">hunted </w:t>
      </w:r>
      <w:r>
        <w:rPr>
          <w:rFonts w:ascii="Times New Roman" w:eastAsia="Times New Roman" w:hAnsi="Times New Roman" w:cs="Times New Roman"/>
          <w:sz w:val="24"/>
          <w:szCs w:val="24"/>
        </w:rPr>
        <w:t xml:space="preserve">fugitive slaves, to people forced into the bondage of convict-leasing, to people targeted by a </w:t>
      </w:r>
      <w:proofErr w:type="gramStart"/>
      <w:r>
        <w:rPr>
          <w:rFonts w:ascii="Times New Roman" w:eastAsia="Times New Roman" w:hAnsi="Times New Roman" w:cs="Times New Roman"/>
          <w:sz w:val="24"/>
          <w:szCs w:val="24"/>
        </w:rPr>
        <w:t>contemporary ”</w:t>
      </w:r>
      <w:proofErr w:type="gramEnd"/>
      <w:r>
        <w:rPr>
          <w:rFonts w:ascii="Times New Roman" w:eastAsia="Times New Roman" w:hAnsi="Times New Roman" w:cs="Times New Roman"/>
          <w:sz w:val="24"/>
          <w:szCs w:val="24"/>
        </w:rPr>
        <w:t>[r]</w:t>
      </w:r>
      <w:proofErr w:type="spellStart"/>
      <w:r>
        <w:rPr>
          <w:rFonts w:ascii="Times New Roman" w:eastAsia="Times New Roman" w:hAnsi="Times New Roman" w:cs="Times New Roman"/>
          <w:sz w:val="24"/>
          <w:szCs w:val="24"/>
        </w:rPr>
        <w:t>acism</w:t>
      </w:r>
      <w:proofErr w:type="spellEnd"/>
      <w:r>
        <w:rPr>
          <w:rFonts w:ascii="Times New Roman" w:eastAsia="Times New Roman" w:hAnsi="Times New Roman" w:cs="Times New Roman"/>
          <w:sz w:val="24"/>
          <w:szCs w:val="24"/>
        </w:rPr>
        <w:t xml:space="preserve"> masked behind the disguise of a penal system” (179, 180). Through the lens of this narrative, </w:t>
      </w:r>
      <w:r w:rsidR="00711D6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notes that the prison system, like slavery, </w:t>
      </w:r>
      <w:r w:rsidR="007661A0">
        <w:rPr>
          <w:rFonts w:ascii="Times New Roman" w:eastAsia="Times New Roman" w:hAnsi="Times New Roman" w:cs="Times New Roman"/>
          <w:sz w:val="24"/>
          <w:szCs w:val="24"/>
        </w:rPr>
        <w:t>“</w:t>
      </w:r>
      <w:r>
        <w:rPr>
          <w:rFonts w:ascii="Times New Roman" w:eastAsia="Times New Roman" w:hAnsi="Times New Roman" w:cs="Times New Roman"/>
          <w:sz w:val="24"/>
          <w:szCs w:val="24"/>
        </w:rPr>
        <w:t>can [regularly] hold an individual for ‘life’” (179, 180).</w:t>
      </w:r>
      <w:r w:rsidR="00711D61">
        <w:rPr>
          <w:rFonts w:ascii="Times New Roman" w:eastAsia="Times New Roman" w:hAnsi="Times New Roman" w:cs="Times New Roman"/>
          <w:sz w:val="24"/>
          <w:szCs w:val="24"/>
        </w:rPr>
        <w:t xml:space="preserve"> </w:t>
      </w:r>
      <w:proofErr w:type="gramStart"/>
      <w:r w:rsidR="00711D61">
        <w:rPr>
          <w:rFonts w:ascii="Times New Roman" w:eastAsia="Times New Roman" w:hAnsi="Times New Roman" w:cs="Times New Roman"/>
          <w:sz w:val="24"/>
          <w:szCs w:val="24"/>
        </w:rPr>
        <w:t>Also</w:t>
      </w:r>
      <w:proofErr w:type="gramEnd"/>
      <w:r w:rsidR="004E2FA4">
        <w:rPr>
          <w:rFonts w:ascii="Times New Roman" w:eastAsia="Times New Roman" w:hAnsi="Times New Roman" w:cs="Times New Roman"/>
          <w:sz w:val="24"/>
          <w:szCs w:val="24"/>
        </w:rPr>
        <w:t xml:space="preserve"> like slavery, </w:t>
      </w:r>
      <w:r>
        <w:rPr>
          <w:rFonts w:ascii="Times New Roman" w:eastAsia="Times New Roman" w:hAnsi="Times New Roman" w:cs="Times New Roman"/>
          <w:sz w:val="24"/>
          <w:szCs w:val="24"/>
        </w:rPr>
        <w:t xml:space="preserve">the carceral system uses guns and iron to tear people from their communities, thereby scarring the </w:t>
      </w:r>
      <w:r w:rsidR="00711D61">
        <w:rPr>
          <w:rFonts w:ascii="Times New Roman" w:eastAsia="Times New Roman" w:hAnsi="Times New Roman" w:cs="Times New Roman"/>
          <w:sz w:val="24"/>
          <w:szCs w:val="24"/>
        </w:rPr>
        <w:t xml:space="preserve">targeted </w:t>
      </w:r>
      <w:r>
        <w:rPr>
          <w:rFonts w:ascii="Times New Roman" w:eastAsia="Times New Roman" w:hAnsi="Times New Roman" w:cs="Times New Roman"/>
          <w:sz w:val="24"/>
          <w:szCs w:val="24"/>
        </w:rPr>
        <w:t>individuals as well their kin.  “I’m forced to raise my son from a cell thousands of miles away,” he tells us,</w:t>
      </w:r>
      <w:r w:rsidR="007661A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“separated</w:t>
      </w:r>
      <w:proofErr w:type="gramEnd"/>
      <w:r>
        <w:rPr>
          <w:rFonts w:ascii="Times New Roman" w:eastAsia="Times New Roman" w:hAnsi="Times New Roman" w:cs="Times New Roman"/>
          <w:sz w:val="24"/>
          <w:szCs w:val="24"/>
        </w:rPr>
        <w:t xml:space="preserve"> by razor wire fences equipped with motion-detectors, watch-towers and armed guards with assault rifles” (182). </w:t>
      </w:r>
      <w:r w:rsidR="0018179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973420">
        <w:rPr>
          <w:rFonts w:ascii="Times New Roman" w:eastAsia="Times New Roman" w:hAnsi="Times New Roman" w:cs="Times New Roman"/>
          <w:sz w:val="24"/>
          <w:szCs w:val="24"/>
        </w:rPr>
        <w:t>prison’s c</w:t>
      </w:r>
      <w:r>
        <w:rPr>
          <w:rFonts w:ascii="Times New Roman" w:eastAsia="Times New Roman" w:hAnsi="Times New Roman" w:cs="Times New Roman"/>
          <w:sz w:val="24"/>
          <w:szCs w:val="24"/>
        </w:rPr>
        <w:t xml:space="preserve">ontinued </w:t>
      </w:r>
      <w:r w:rsidR="00973420">
        <w:rPr>
          <w:rFonts w:ascii="Times New Roman" w:eastAsia="Times New Roman" w:hAnsi="Times New Roman" w:cs="Times New Roman"/>
          <w:sz w:val="24"/>
          <w:szCs w:val="24"/>
        </w:rPr>
        <w:t xml:space="preserve">obstruction of </w:t>
      </w:r>
      <w:r>
        <w:rPr>
          <w:rFonts w:ascii="Times New Roman" w:eastAsia="Times New Roman" w:hAnsi="Times New Roman" w:cs="Times New Roman"/>
          <w:sz w:val="24"/>
          <w:szCs w:val="24"/>
        </w:rPr>
        <w:t xml:space="preserve">his efforts to connect with his family cause him “a constant pain that throbs in [his] brain and heart” while the children on the other side of the razor wire suffer “years of collateral damage that can never fully heal” (182). Given the suffering that </w:t>
      </w:r>
      <w:r>
        <w:rPr>
          <w:rFonts w:ascii="Times New Roman" w:eastAsia="Times New Roman" w:hAnsi="Times New Roman" w:cs="Times New Roman"/>
          <w:sz w:val="24"/>
          <w:szCs w:val="24"/>
        </w:rPr>
        <w:lastRenderedPageBreak/>
        <w:t xml:space="preserve">Emmanuel has endured at the hands of his countrymen, when he speaks of his “craving to contribute to humanity as a whole,” and when he addresses readers as part of the “we” who can together “stand up to this plague that has been tormenting families for centuries” (183), it is not mere edifying prose; it is an act of resistance that counters prison divisiveness and dehumanization with an expanded sense of community and an image of his people as neither monsters nor victims but allies with much to teach us about resilience and solidarity. </w:t>
      </w:r>
      <w:r>
        <w:rPr>
          <w:rFonts w:ascii="Times New Roman" w:eastAsia="Times New Roman" w:hAnsi="Times New Roman" w:cs="Times New Roman"/>
          <w:strike/>
          <w:sz w:val="24"/>
          <w:szCs w:val="24"/>
        </w:rPr>
        <w:t xml:space="preserve"> </w:t>
      </w:r>
    </w:p>
    <w:p w14:paraId="0000000F" w14:textId="3669E20C"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contributions from currently incarcerated writers are also remarkable for their honest reckoning with painful experience and the insight gained from such reckoning. Joseph (</w:t>
      </w:r>
      <w:proofErr w:type="spellStart"/>
      <w:r>
        <w:rPr>
          <w:rFonts w:ascii="Times New Roman" w:eastAsia="Times New Roman" w:hAnsi="Times New Roman" w:cs="Times New Roman"/>
          <w:sz w:val="24"/>
          <w:szCs w:val="24"/>
        </w:rPr>
        <w:t>Dont’e</w:t>
      </w:r>
      <w:proofErr w:type="spellEnd"/>
      <w:r>
        <w:rPr>
          <w:rFonts w:ascii="Times New Roman" w:eastAsia="Times New Roman" w:hAnsi="Times New Roman" w:cs="Times New Roman"/>
          <w:sz w:val="24"/>
          <w:szCs w:val="24"/>
        </w:rPr>
        <w:t xml:space="preserve">) Williams, for instance, reflects on his recurring returns to prison and the ways that prisons “emotionally and psychologically </w:t>
      </w:r>
      <w:proofErr w:type="spellStart"/>
      <w:r>
        <w:rPr>
          <w:rFonts w:ascii="Times New Roman" w:eastAsia="Times New Roman" w:hAnsi="Times New Roman" w:cs="Times New Roman"/>
          <w:sz w:val="24"/>
          <w:szCs w:val="24"/>
        </w:rPr>
        <w:t>provok</w:t>
      </w:r>
      <w:proofErr w:type="spellEnd"/>
      <w:r>
        <w:rPr>
          <w:rFonts w:ascii="Times New Roman" w:eastAsia="Times New Roman" w:hAnsi="Times New Roman" w:cs="Times New Roman"/>
          <w:sz w:val="24"/>
          <w:szCs w:val="24"/>
        </w:rPr>
        <w:t>[e] people into being more aggressive, hypersexualized, and prone to commit more crime (18). Medical professionals have drawn similar conclusions about the ways that prisons exacerbate hypermasculinity and criminality.</w:t>
      </w:r>
      <w:r w:rsidR="00943BCC">
        <w:rPr>
          <w:rStyle w:val="FootnoteReference"/>
          <w:rFonts w:ascii="Times New Roman" w:eastAsia="Times New Roman" w:hAnsi="Times New Roman" w:cs="Times New Roman"/>
          <w:sz w:val="24"/>
          <w:szCs w:val="24"/>
        </w:rPr>
        <w:footnoteReference w:id="1"/>
      </w:r>
      <w:r w:rsidR="00943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Williams gleans this insight from probing the pressures on his own behavior–when he explains how prison has distorted his perception of women, produced in him (from regular strip searches) “an overwhelming need to overcompensate for years of state sanctioned sexual abuse,” and reduced him to a label that warped both others’ and his own expectations of himself–he attests not only to the depth of the trauma that prison inflicts on people. He also demonstrates the tremendous capacities of some of the people seared by the penal system to reveal and reverse dehumanizing processes.  </w:t>
      </w:r>
    </w:p>
    <w:p w14:paraId="00000010" w14:textId="7F0317D7"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essays stress the value for abolitionist thinking of anti-colonialist frameworks. The piece co-authored by Vicki Chartrand and Niko Rougier draws on Rougier’s critical insight as an Abenaki artist currently incarcerated at a maximum</w:t>
      </w:r>
      <w:r w:rsidR="004E2F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security prison in Quebec to foreground the </w:t>
      </w:r>
      <w:r>
        <w:rPr>
          <w:rFonts w:ascii="Times New Roman" w:eastAsia="Times New Roman" w:hAnsi="Times New Roman" w:cs="Times New Roman"/>
          <w:sz w:val="24"/>
          <w:szCs w:val="24"/>
        </w:rPr>
        <w:lastRenderedPageBreak/>
        <w:t>colonialist dimensions of Canada’s penal system. In colonialist fashion, the authors argue, this system tears indigenous people from their land and culture, which undermines their very sense of being. “The severing and destruction of ties and connections is a central component of colonial practice,” note Rougier and Chartrand, “and is intensified in the microsites of the prison” (26). Although prisons may tout rehabilitation or allow limited Aboriginal rituals, the authors argue, the prison is an “artificial environment” whose very design works “to separate and segregate families, communities and many other connections” (27).  The authors also warn of colonialist</w:t>
      </w:r>
      <w:r w:rsidR="00973420">
        <w:rPr>
          <w:rFonts w:ascii="Times New Roman" w:eastAsia="Times New Roman" w:hAnsi="Times New Roman" w:cs="Times New Roman"/>
          <w:sz w:val="24"/>
          <w:szCs w:val="24"/>
        </w:rPr>
        <w:t xml:space="preserve"> elements</w:t>
      </w:r>
      <w:r>
        <w:rPr>
          <w:rFonts w:ascii="Times New Roman" w:eastAsia="Times New Roman" w:hAnsi="Times New Roman" w:cs="Times New Roman"/>
          <w:sz w:val="24"/>
          <w:szCs w:val="24"/>
        </w:rPr>
        <w:t xml:space="preserve"> in liberatory struggles when “white saviors” presume to rescue “the carceral other.” By calling attention to colonialist processes </w:t>
      </w:r>
      <w:r w:rsidR="00973420">
        <w:rPr>
          <w:rFonts w:ascii="Times New Roman" w:eastAsia="Times New Roman" w:hAnsi="Times New Roman" w:cs="Times New Roman"/>
          <w:sz w:val="24"/>
          <w:szCs w:val="24"/>
        </w:rPr>
        <w:t xml:space="preserve">in prisons and in our own lives, </w:t>
      </w:r>
      <w:r>
        <w:rPr>
          <w:rFonts w:ascii="Times New Roman" w:eastAsia="Times New Roman" w:hAnsi="Times New Roman" w:cs="Times New Roman"/>
          <w:sz w:val="24"/>
          <w:szCs w:val="24"/>
        </w:rPr>
        <w:t xml:space="preserve">and to the ways that such processes sever people—all people—from life-sustaining connections, the essay points to the value of relations-oriented Indigenous frameworks for building </w:t>
      </w:r>
      <w:r w:rsidR="00973420">
        <w:rPr>
          <w:rFonts w:ascii="Times New Roman" w:eastAsia="Times New Roman" w:hAnsi="Times New Roman" w:cs="Times New Roman"/>
          <w:sz w:val="24"/>
          <w:szCs w:val="24"/>
        </w:rPr>
        <w:t xml:space="preserve">healthy </w:t>
      </w:r>
      <w:r>
        <w:rPr>
          <w:rFonts w:ascii="Times New Roman" w:eastAsia="Times New Roman" w:hAnsi="Times New Roman" w:cs="Times New Roman"/>
          <w:sz w:val="24"/>
          <w:szCs w:val="24"/>
        </w:rPr>
        <w:t>relationships and broad networks of accountability within abolition movements.</w:t>
      </w:r>
    </w:p>
    <w:p w14:paraId="00000011" w14:textId="0434C314"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essays glean lessons from grassroots abolitionist organizing, some of which underscore the </w:t>
      </w:r>
      <w:r w:rsidR="00973420">
        <w:rPr>
          <w:rFonts w:ascii="Times New Roman" w:eastAsia="Times New Roman" w:hAnsi="Times New Roman" w:cs="Times New Roman"/>
          <w:sz w:val="24"/>
          <w:szCs w:val="24"/>
        </w:rPr>
        <w:t xml:space="preserve">importance </w:t>
      </w:r>
      <w:r>
        <w:rPr>
          <w:rFonts w:ascii="Times New Roman" w:eastAsia="Times New Roman" w:hAnsi="Times New Roman" w:cs="Times New Roman"/>
          <w:sz w:val="24"/>
          <w:szCs w:val="24"/>
        </w:rPr>
        <w:t xml:space="preserve">of resisting carceral logic with </w:t>
      </w:r>
      <w:r w:rsidR="004E2FA4">
        <w:rPr>
          <w:rFonts w:ascii="Times New Roman" w:eastAsia="Times New Roman" w:hAnsi="Times New Roman" w:cs="Times New Roman"/>
          <w:sz w:val="24"/>
          <w:szCs w:val="24"/>
        </w:rPr>
        <w:t xml:space="preserve">practices </w:t>
      </w:r>
      <w:r w:rsidR="0097342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mutual well-being. The Foreword by Diana Block, for instance, addresses the radical </w:t>
      </w:r>
      <w:r w:rsidR="00954DCB">
        <w:rPr>
          <w:rFonts w:ascii="Times New Roman" w:eastAsia="Times New Roman" w:hAnsi="Times New Roman" w:cs="Times New Roman"/>
          <w:sz w:val="24"/>
          <w:szCs w:val="24"/>
        </w:rPr>
        <w:t xml:space="preserve">implications </w:t>
      </w:r>
      <w:r>
        <w:rPr>
          <w:rFonts w:ascii="Times New Roman" w:eastAsia="Times New Roman" w:hAnsi="Times New Roman" w:cs="Times New Roman"/>
          <w:sz w:val="24"/>
          <w:szCs w:val="24"/>
        </w:rPr>
        <w:t>of the California Coalition for Women Prisoners (CCWP) and its organizing efforts on behalf of incarcerated women, trans, and gender non-conforming people (TGNC). Block describes how CCWP members formed “communities of collective care” across prison walls, which resisted the divide-and-isolate strategies of the prison as well as provided a more nurturing alternative to “male-dominated” leftist political movements and a source of strength for bold political struggle (xviii) When the CCWP advocated for incarcerated survivors of sexual violence (women and TGNC people who have been sexually as</w:t>
      </w:r>
      <w:r w:rsidR="00B129E0">
        <w:rPr>
          <w:rFonts w:ascii="Times New Roman" w:eastAsia="Times New Roman" w:hAnsi="Times New Roman" w:cs="Times New Roman"/>
          <w:sz w:val="24"/>
          <w:szCs w:val="24"/>
        </w:rPr>
        <w:t>s</w:t>
      </w:r>
      <w:r>
        <w:rPr>
          <w:rFonts w:ascii="Times New Roman" w:eastAsia="Times New Roman" w:hAnsi="Times New Roman" w:cs="Times New Roman"/>
          <w:sz w:val="24"/>
          <w:szCs w:val="24"/>
        </w:rPr>
        <w:t>a</w:t>
      </w:r>
      <w:r w:rsidR="00B129E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lted both before and after incarceration), and when they launched #MeTooBehindBars, they not only gave voice to hundreds of forgotten women. They </w:t>
      </w:r>
      <w:r>
        <w:rPr>
          <w:rFonts w:ascii="Times New Roman" w:eastAsia="Times New Roman" w:hAnsi="Times New Roman" w:cs="Times New Roman"/>
          <w:sz w:val="24"/>
          <w:szCs w:val="24"/>
        </w:rPr>
        <w:lastRenderedPageBreak/>
        <w:t xml:space="preserve">also confounded the “victim/perpetrator” dichotomy of carceral logic and exposed the hypocrisy of anti-violence movements that rely on prisons to protect people from violence.  ends by briefly describing CCWP’s outreach to women’s struggles in Palestine and elsewhere in the Global South. This frames her call for a more broad-based abolitionist movement that links prison abolition to resistance against global structures of oppression.  </w:t>
      </w:r>
    </w:p>
    <w:p w14:paraId="00000012" w14:textId="1167F554"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Readers should not expect to find in this volume a full account of the</w:t>
      </w:r>
      <w:r w:rsidR="00711D61">
        <w:rPr>
          <w:rFonts w:ascii="Times New Roman" w:eastAsia="Times New Roman" w:hAnsi="Times New Roman" w:cs="Times New Roman"/>
          <w:sz w:val="24"/>
          <w:szCs w:val="24"/>
        </w:rPr>
        <w:t xml:space="preserve"> various</w:t>
      </w:r>
      <w:r>
        <w:rPr>
          <w:rFonts w:ascii="Times New Roman" w:eastAsia="Times New Roman" w:hAnsi="Times New Roman" w:cs="Times New Roman"/>
          <w:sz w:val="24"/>
          <w:szCs w:val="24"/>
        </w:rPr>
        <w:t xml:space="preserve"> links the essays indicate between the carceral state, racial capitalism, heteropatriarchy, and global structures of oppression.  Among the range of essays collected here, however, readers will likely find new ways of thinking about the contradictions of our penal system and new frameworks for disrupting </w:t>
      </w:r>
      <w:r w:rsidR="00D20638">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fixation on punishing others and shifting conversations toward how we can hold our communities accountable for profound historical and social harms.</w:t>
      </w:r>
    </w:p>
    <w:p w14:paraId="34B269DD" w14:textId="3B940FA3" w:rsidR="00197487" w:rsidRDefault="00197487" w:rsidP="00B129E0">
      <w:pPr>
        <w:spacing w:line="480" w:lineRule="auto"/>
        <w:rPr>
          <w:rFonts w:ascii="Times New Roman" w:eastAsia="Times New Roman" w:hAnsi="Times New Roman" w:cs="Times New Roman"/>
          <w:sz w:val="24"/>
          <w:szCs w:val="24"/>
        </w:rPr>
      </w:pPr>
    </w:p>
    <w:p w14:paraId="3A28BD94" w14:textId="6A86C2FA" w:rsidR="00197487" w:rsidRDefault="00197487" w:rsidP="001974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4EF2DA65" w14:textId="55B12BE8" w:rsidR="00197487" w:rsidRDefault="00197487" w:rsidP="00197487">
      <w:pPr>
        <w:spacing w:line="240" w:lineRule="auto"/>
        <w:rPr>
          <w:rFonts w:ascii="Times New Roman" w:eastAsia="Times New Roman" w:hAnsi="Times New Roman" w:cs="Times New Roman"/>
          <w:sz w:val="24"/>
          <w:szCs w:val="24"/>
        </w:rPr>
      </w:pPr>
    </w:p>
    <w:p w14:paraId="5864D820" w14:textId="5512B8BC" w:rsidR="00943BCC" w:rsidRDefault="00943BCC" w:rsidP="001974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Gilligan, James.  </w:t>
      </w:r>
      <w:r w:rsidRPr="00943BCC">
        <w:rPr>
          <w:rFonts w:ascii="Times New Roman" w:eastAsia="Times New Roman" w:hAnsi="Times New Roman" w:cs="Times New Roman"/>
          <w:i/>
          <w:iCs/>
          <w:sz w:val="24"/>
          <w:szCs w:val="24"/>
        </w:rPr>
        <w:t>Violence</w:t>
      </w:r>
      <w:r w:rsidRPr="00711D61">
        <w:rPr>
          <w:rFonts w:ascii="Times New Roman" w:eastAsia="Times New Roman" w:hAnsi="Times New Roman" w:cs="Times New Roman"/>
          <w:i/>
          <w:iCs/>
          <w:sz w:val="24"/>
          <w:szCs w:val="24"/>
        </w:rPr>
        <w:t>: Reflections on a National Epidemic</w:t>
      </w:r>
      <w:r>
        <w:rPr>
          <w:rFonts w:ascii="Times New Roman" w:eastAsia="Times New Roman" w:hAnsi="Times New Roman" w:cs="Times New Roman"/>
          <w:sz w:val="24"/>
          <w:szCs w:val="24"/>
        </w:rPr>
        <w:t>. New York: Random House: 1996.</w:t>
      </w:r>
    </w:p>
    <w:p w14:paraId="12F8A0E7" w14:textId="77777777" w:rsidR="00943BCC" w:rsidRDefault="00943BCC" w:rsidP="00197487">
      <w:pPr>
        <w:spacing w:line="240" w:lineRule="auto"/>
        <w:rPr>
          <w:rFonts w:ascii="Times New Roman" w:eastAsia="Times New Roman" w:hAnsi="Times New Roman" w:cs="Times New Roman"/>
          <w:sz w:val="24"/>
          <w:szCs w:val="24"/>
        </w:rPr>
      </w:pPr>
    </w:p>
    <w:p w14:paraId="08EE4D9C" w14:textId="2EBAECC7" w:rsidR="00197487" w:rsidRDefault="00943BCC" w:rsidP="001974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Coyle, Michael J., and </w:t>
      </w:r>
      <w:proofErr w:type="spellStart"/>
      <w:r>
        <w:rPr>
          <w:rFonts w:ascii="Times New Roman" w:eastAsia="Times New Roman" w:hAnsi="Times New Roman" w:cs="Times New Roman"/>
          <w:sz w:val="24"/>
          <w:szCs w:val="24"/>
        </w:rPr>
        <w:t>Mechthild</w:t>
      </w:r>
      <w:proofErr w:type="spellEnd"/>
      <w:r>
        <w:rPr>
          <w:rFonts w:ascii="Times New Roman" w:eastAsia="Times New Roman" w:hAnsi="Times New Roman" w:cs="Times New Roman"/>
          <w:sz w:val="24"/>
          <w:szCs w:val="24"/>
        </w:rPr>
        <w:t xml:space="preserve"> Nagel, ed</w:t>
      </w:r>
      <w:r w:rsidR="00B129E0">
        <w:rPr>
          <w:rFonts w:ascii="Times New Roman" w:eastAsia="Times New Roman" w:hAnsi="Times New Roman" w:cs="Times New Roman"/>
          <w:sz w:val="24"/>
          <w:szCs w:val="24"/>
        </w:rPr>
        <w:t>ited.</w:t>
      </w:r>
      <w:r>
        <w:rPr>
          <w:rFonts w:ascii="Times New Roman" w:eastAsia="Times New Roman" w:hAnsi="Times New Roman" w:cs="Times New Roman"/>
          <w:sz w:val="24"/>
          <w:szCs w:val="24"/>
        </w:rPr>
        <w:t xml:space="preserve"> </w:t>
      </w:r>
      <w:r w:rsidRPr="006B2620">
        <w:rPr>
          <w:rFonts w:ascii="Times New Roman" w:eastAsia="Times New Roman" w:hAnsi="Times New Roman" w:cs="Times New Roman"/>
          <w:i/>
          <w:iCs/>
          <w:sz w:val="24"/>
          <w:szCs w:val="24"/>
        </w:rPr>
        <w:t>Contesting Carceral Logic: Toward Abolitionist Futures</w:t>
      </w:r>
      <w:r>
        <w:rPr>
          <w:rFonts w:ascii="Times New Roman" w:eastAsia="Times New Roman" w:hAnsi="Times New Roman" w:cs="Times New Roman"/>
          <w:i/>
          <w:iCs/>
          <w:sz w:val="24"/>
          <w:szCs w:val="24"/>
        </w:rPr>
        <w:t xml:space="preserve">. </w:t>
      </w:r>
      <w:r w:rsidR="00BE6E7E">
        <w:rPr>
          <w:rFonts w:ascii="Times New Roman" w:eastAsia="Times New Roman" w:hAnsi="Times New Roman" w:cs="Times New Roman"/>
          <w:sz w:val="24"/>
          <w:szCs w:val="24"/>
        </w:rPr>
        <w:t>New York: R</w:t>
      </w:r>
      <w:r>
        <w:rPr>
          <w:rFonts w:ascii="Times New Roman" w:eastAsia="Times New Roman" w:hAnsi="Times New Roman" w:cs="Times New Roman"/>
          <w:sz w:val="24"/>
          <w:szCs w:val="24"/>
        </w:rPr>
        <w:t>outledge, 2022</w:t>
      </w:r>
      <w:r w:rsidR="00BE6E7E">
        <w:rPr>
          <w:rFonts w:ascii="Times New Roman" w:eastAsia="Times New Roman" w:hAnsi="Times New Roman" w:cs="Times New Roman"/>
          <w:sz w:val="24"/>
          <w:szCs w:val="24"/>
        </w:rPr>
        <w:t>.</w:t>
      </w:r>
    </w:p>
    <w:p w14:paraId="78467161" w14:textId="41789CA9" w:rsidR="003F6C31" w:rsidRDefault="003F6C31" w:rsidP="003F6C31">
      <w:pPr>
        <w:spacing w:line="240" w:lineRule="auto"/>
        <w:rPr>
          <w:rFonts w:ascii="Times New Roman" w:eastAsia="Times New Roman" w:hAnsi="Times New Roman" w:cs="Times New Roman"/>
          <w:sz w:val="24"/>
          <w:szCs w:val="24"/>
        </w:rPr>
      </w:pPr>
    </w:p>
    <w:p w14:paraId="4F643215" w14:textId="5A866D1A" w:rsidR="00BE6E7E" w:rsidRDefault="00BE6E7E" w:rsidP="003F6C31">
      <w:pPr>
        <w:spacing w:line="240" w:lineRule="auto"/>
        <w:rPr>
          <w:rFonts w:ascii="Times New Roman" w:eastAsia="Times New Roman" w:hAnsi="Times New Roman" w:cs="Times New Roman"/>
          <w:sz w:val="24"/>
          <w:szCs w:val="24"/>
        </w:rPr>
      </w:pPr>
    </w:p>
    <w:p w14:paraId="721455F5" w14:textId="77777777" w:rsidR="00B129E0" w:rsidRDefault="00B129E0" w:rsidP="003F6C31">
      <w:pPr>
        <w:spacing w:line="240" w:lineRule="auto"/>
        <w:rPr>
          <w:rFonts w:ascii="Times New Roman" w:eastAsia="Times New Roman" w:hAnsi="Times New Roman" w:cs="Times New Roman"/>
          <w:sz w:val="24"/>
          <w:szCs w:val="24"/>
        </w:rPr>
      </w:pPr>
    </w:p>
    <w:p w14:paraId="00000014" w14:textId="59434094" w:rsidR="008F3A7C" w:rsidRDefault="003F6C31" w:rsidP="00B129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Shari Stone-</w:t>
      </w:r>
      <w:proofErr w:type="spellStart"/>
      <w:r>
        <w:rPr>
          <w:rFonts w:ascii="Times New Roman" w:eastAsia="Times New Roman" w:hAnsi="Times New Roman" w:cs="Times New Roman"/>
          <w:sz w:val="24"/>
          <w:szCs w:val="24"/>
        </w:rPr>
        <w:t>Mediatore</w:t>
      </w:r>
      <w:proofErr w:type="spellEnd"/>
      <w:r>
        <w:rPr>
          <w:rFonts w:ascii="Times New Roman" w:eastAsia="Times New Roman" w:hAnsi="Times New Roman" w:cs="Times New Roman"/>
          <w:sz w:val="24"/>
          <w:szCs w:val="24"/>
        </w:rPr>
        <w:t xml:space="preserve"> is Professor of Philosophy at Ohio Wesleyan University. She is the author of </w:t>
      </w:r>
      <w:r w:rsidRPr="003F6C31">
        <w:rPr>
          <w:rFonts w:ascii="Times New Roman" w:eastAsia="Times New Roman" w:hAnsi="Times New Roman" w:cs="Times New Roman"/>
          <w:i/>
          <w:iCs/>
          <w:sz w:val="24"/>
          <w:szCs w:val="24"/>
        </w:rPr>
        <w:t>Reading Across Borders: Storytelling and Knowledges of Resistance</w:t>
      </w:r>
      <w:r>
        <w:rPr>
          <w:rFonts w:ascii="Times New Roman" w:eastAsia="Times New Roman" w:hAnsi="Times New Roman" w:cs="Times New Roman"/>
          <w:sz w:val="24"/>
          <w:szCs w:val="24"/>
        </w:rPr>
        <w:t xml:space="preserve"> (Palgrave Macmillan, 2003). She is also a co-founder and recent Managing Director of Parole Illinois, an organization of people inside and outside of prison dedicated to creating a more just </w:t>
      </w:r>
      <w:r w:rsidR="000C780A">
        <w:rPr>
          <w:rFonts w:ascii="Times New Roman" w:eastAsia="Times New Roman" w:hAnsi="Times New Roman" w:cs="Times New Roman"/>
          <w:sz w:val="24"/>
          <w:szCs w:val="24"/>
        </w:rPr>
        <w:t>l</w:t>
      </w:r>
      <w:r>
        <w:rPr>
          <w:rFonts w:ascii="Times New Roman" w:eastAsia="Times New Roman" w:hAnsi="Times New Roman" w:cs="Times New Roman"/>
          <w:sz w:val="24"/>
          <w:szCs w:val="24"/>
        </w:rPr>
        <w:t>egal syste</w:t>
      </w:r>
      <w:r w:rsidR="00B129E0">
        <w:rPr>
          <w:rFonts w:ascii="Times New Roman" w:eastAsia="Times New Roman" w:hAnsi="Times New Roman" w:cs="Times New Roman"/>
          <w:sz w:val="24"/>
          <w:szCs w:val="24"/>
        </w:rPr>
        <w:t>m.</w:t>
      </w:r>
    </w:p>
    <w:p w14:paraId="00000138" w14:textId="77777777" w:rsidR="008F3A7C" w:rsidRDefault="008F3A7C" w:rsidP="00BC4B2F">
      <w:pPr>
        <w:spacing w:line="240" w:lineRule="auto"/>
        <w:rPr>
          <w:rFonts w:ascii="Times New Roman" w:eastAsia="Times New Roman" w:hAnsi="Times New Roman" w:cs="Times New Roman"/>
          <w:sz w:val="24"/>
          <w:szCs w:val="24"/>
        </w:rPr>
      </w:pPr>
    </w:p>
    <w:sectPr w:rsidR="008F3A7C" w:rsidSect="00B129E0">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FA3C" w14:textId="77777777" w:rsidR="00B46F56" w:rsidRDefault="00B46F56" w:rsidP="00943BCC">
      <w:pPr>
        <w:spacing w:line="240" w:lineRule="auto"/>
      </w:pPr>
      <w:r>
        <w:separator/>
      </w:r>
    </w:p>
  </w:endnote>
  <w:endnote w:type="continuationSeparator" w:id="0">
    <w:p w14:paraId="587B8193" w14:textId="77777777" w:rsidR="00B46F56" w:rsidRDefault="00B46F56" w:rsidP="00943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850130"/>
      <w:docPartObj>
        <w:docPartGallery w:val="Page Numbers (Bottom of Page)"/>
        <w:docPartUnique/>
      </w:docPartObj>
    </w:sdtPr>
    <w:sdtContent>
      <w:p w14:paraId="5984B3F8" w14:textId="38E5B052" w:rsidR="00B129E0" w:rsidRDefault="00B129E0" w:rsidP="008F2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DA5F7" w14:textId="77777777" w:rsidR="00B129E0" w:rsidRDefault="00B129E0" w:rsidP="00B12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0AF" w14:textId="77777777" w:rsidR="00B129E0" w:rsidRDefault="00B129E0" w:rsidP="00B12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2909" w14:textId="77777777" w:rsidR="00B46F56" w:rsidRDefault="00B46F56" w:rsidP="00943BCC">
      <w:pPr>
        <w:spacing w:line="240" w:lineRule="auto"/>
      </w:pPr>
      <w:r>
        <w:separator/>
      </w:r>
    </w:p>
  </w:footnote>
  <w:footnote w:type="continuationSeparator" w:id="0">
    <w:p w14:paraId="7BA8A0D4" w14:textId="77777777" w:rsidR="00B46F56" w:rsidRDefault="00B46F56" w:rsidP="00943BCC">
      <w:pPr>
        <w:spacing w:line="240" w:lineRule="auto"/>
      </w:pPr>
      <w:r>
        <w:continuationSeparator/>
      </w:r>
    </w:p>
  </w:footnote>
  <w:footnote w:id="1">
    <w:p w14:paraId="1711BC9B" w14:textId="58C5A572" w:rsidR="00943BCC" w:rsidRPr="00943BCC" w:rsidRDefault="00943BCC">
      <w:pPr>
        <w:pStyle w:val="FootnoteText"/>
        <w:rPr>
          <w:lang w:val="en-US"/>
        </w:rPr>
      </w:pPr>
      <w:r>
        <w:rPr>
          <w:rStyle w:val="FootnoteReference"/>
        </w:rPr>
        <w:footnoteRef/>
      </w:r>
      <w:r>
        <w:t xml:space="preserve"> </w:t>
      </w:r>
      <w:r>
        <w:rPr>
          <w:rFonts w:ascii="Times New Roman" w:eastAsia="Times New Roman" w:hAnsi="Times New Roman" w:cs="Times New Roman"/>
          <w:sz w:val="24"/>
          <w:szCs w:val="24"/>
        </w:rPr>
        <w:t xml:space="preserve">For instance, Gilligan, </w:t>
      </w:r>
      <w:r w:rsidRPr="00943BCC">
        <w:rPr>
          <w:rFonts w:ascii="Times New Roman" w:eastAsia="Times New Roman" w:hAnsi="Times New Roman" w:cs="Times New Roman"/>
          <w:i/>
          <w:iCs/>
          <w:sz w:val="24"/>
          <w:szCs w:val="24"/>
        </w:rPr>
        <w:t>Violence</w:t>
      </w:r>
      <w:r>
        <w:rPr>
          <w:rFonts w:ascii="Times New Roman" w:eastAsia="Times New Roman" w:hAnsi="Times New Roman" w:cs="Times New Roman"/>
          <w:sz w:val="24"/>
          <w:szCs w:val="24"/>
        </w:rPr>
        <w:t xml:space="preserve">, chapters 5 and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886962"/>
      <w:docPartObj>
        <w:docPartGallery w:val="Page Numbers (Top of Page)"/>
        <w:docPartUnique/>
      </w:docPartObj>
    </w:sdtPr>
    <w:sdtContent>
      <w:p w14:paraId="4DC99D18" w14:textId="7081EB84" w:rsidR="00B129E0" w:rsidRDefault="00B129E0" w:rsidP="008F2D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1265C" w14:textId="77777777" w:rsidR="00B129E0" w:rsidRDefault="00B129E0" w:rsidP="00B129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016837"/>
      <w:docPartObj>
        <w:docPartGallery w:val="Page Numbers (Top of Page)"/>
        <w:docPartUnique/>
      </w:docPartObj>
    </w:sdtPr>
    <w:sdtContent>
      <w:p w14:paraId="4C089D1F" w14:textId="06B96824" w:rsidR="00B129E0" w:rsidRDefault="00B129E0" w:rsidP="008F2D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060C09" w14:textId="77777777" w:rsidR="00B129E0" w:rsidRDefault="00B129E0" w:rsidP="00B129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E90"/>
    <w:multiLevelType w:val="multilevel"/>
    <w:tmpl w:val="608EB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3016F"/>
    <w:multiLevelType w:val="multilevel"/>
    <w:tmpl w:val="6032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37D5A"/>
    <w:multiLevelType w:val="multilevel"/>
    <w:tmpl w:val="4DDAF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95566"/>
    <w:multiLevelType w:val="multilevel"/>
    <w:tmpl w:val="F1EA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84CE3"/>
    <w:multiLevelType w:val="multilevel"/>
    <w:tmpl w:val="E676DA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AB55D8"/>
    <w:multiLevelType w:val="multilevel"/>
    <w:tmpl w:val="1A626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45AC2"/>
    <w:multiLevelType w:val="multilevel"/>
    <w:tmpl w:val="2CC0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736E37"/>
    <w:multiLevelType w:val="multilevel"/>
    <w:tmpl w:val="0004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0E2739"/>
    <w:multiLevelType w:val="multilevel"/>
    <w:tmpl w:val="F2D8D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7593007">
    <w:abstractNumId w:val="7"/>
  </w:num>
  <w:num w:numId="2" w16cid:durableId="213082036">
    <w:abstractNumId w:val="6"/>
  </w:num>
  <w:num w:numId="3" w16cid:durableId="605695442">
    <w:abstractNumId w:val="2"/>
  </w:num>
  <w:num w:numId="4" w16cid:durableId="65034026">
    <w:abstractNumId w:val="1"/>
  </w:num>
  <w:num w:numId="5" w16cid:durableId="1526022779">
    <w:abstractNumId w:val="0"/>
  </w:num>
  <w:num w:numId="6" w16cid:durableId="1817409678">
    <w:abstractNumId w:val="3"/>
  </w:num>
  <w:num w:numId="7" w16cid:durableId="437413869">
    <w:abstractNumId w:val="5"/>
  </w:num>
  <w:num w:numId="8" w16cid:durableId="1124349795">
    <w:abstractNumId w:val="8"/>
  </w:num>
  <w:num w:numId="9" w16cid:durableId="107770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7C"/>
    <w:rsid w:val="000C780A"/>
    <w:rsid w:val="00181792"/>
    <w:rsid w:val="00197487"/>
    <w:rsid w:val="001D5139"/>
    <w:rsid w:val="003F6C31"/>
    <w:rsid w:val="00494659"/>
    <w:rsid w:val="004E2FA4"/>
    <w:rsid w:val="00691BEC"/>
    <w:rsid w:val="006B2620"/>
    <w:rsid w:val="00711D61"/>
    <w:rsid w:val="007661A0"/>
    <w:rsid w:val="008F3A7C"/>
    <w:rsid w:val="00943BCC"/>
    <w:rsid w:val="00954DCB"/>
    <w:rsid w:val="00973420"/>
    <w:rsid w:val="0097419A"/>
    <w:rsid w:val="00B129E0"/>
    <w:rsid w:val="00B46F56"/>
    <w:rsid w:val="00BC4B2F"/>
    <w:rsid w:val="00BD5BDF"/>
    <w:rsid w:val="00BE6E7E"/>
    <w:rsid w:val="00D10E61"/>
    <w:rsid w:val="00D2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4CC5D"/>
  <w15:docId w15:val="{E1022690-1B1F-414F-B6CD-7778D4BD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markedcontent">
    <w:name w:val="markedcontent"/>
    <w:basedOn w:val="DefaultParagraphFont"/>
    <w:rsid w:val="006B2620"/>
  </w:style>
  <w:style w:type="paragraph" w:styleId="FootnoteText">
    <w:name w:val="footnote text"/>
    <w:basedOn w:val="Normal"/>
    <w:link w:val="FootnoteTextChar"/>
    <w:uiPriority w:val="99"/>
    <w:semiHidden/>
    <w:unhideWhenUsed/>
    <w:rsid w:val="00943BCC"/>
    <w:pPr>
      <w:spacing w:line="240" w:lineRule="auto"/>
    </w:pPr>
    <w:rPr>
      <w:sz w:val="20"/>
      <w:szCs w:val="20"/>
    </w:rPr>
  </w:style>
  <w:style w:type="character" w:customStyle="1" w:styleId="FootnoteTextChar">
    <w:name w:val="Footnote Text Char"/>
    <w:basedOn w:val="DefaultParagraphFont"/>
    <w:link w:val="FootnoteText"/>
    <w:uiPriority w:val="99"/>
    <w:semiHidden/>
    <w:rsid w:val="00943BCC"/>
    <w:rPr>
      <w:sz w:val="20"/>
      <w:szCs w:val="20"/>
    </w:rPr>
  </w:style>
  <w:style w:type="character" w:styleId="FootnoteReference">
    <w:name w:val="footnote reference"/>
    <w:basedOn w:val="DefaultParagraphFont"/>
    <w:uiPriority w:val="99"/>
    <w:semiHidden/>
    <w:unhideWhenUsed/>
    <w:rsid w:val="00943BCC"/>
    <w:rPr>
      <w:vertAlign w:val="superscript"/>
    </w:rPr>
  </w:style>
  <w:style w:type="paragraph" w:styleId="Footer">
    <w:name w:val="footer"/>
    <w:basedOn w:val="Normal"/>
    <w:link w:val="FooterChar"/>
    <w:uiPriority w:val="99"/>
    <w:unhideWhenUsed/>
    <w:rsid w:val="00B129E0"/>
    <w:pPr>
      <w:tabs>
        <w:tab w:val="center" w:pos="4680"/>
        <w:tab w:val="right" w:pos="9360"/>
      </w:tabs>
      <w:spacing w:line="240" w:lineRule="auto"/>
    </w:pPr>
  </w:style>
  <w:style w:type="character" w:customStyle="1" w:styleId="FooterChar">
    <w:name w:val="Footer Char"/>
    <w:basedOn w:val="DefaultParagraphFont"/>
    <w:link w:val="Footer"/>
    <w:uiPriority w:val="99"/>
    <w:rsid w:val="00B129E0"/>
  </w:style>
  <w:style w:type="character" w:styleId="PageNumber">
    <w:name w:val="page number"/>
    <w:basedOn w:val="DefaultParagraphFont"/>
    <w:uiPriority w:val="99"/>
    <w:semiHidden/>
    <w:unhideWhenUsed/>
    <w:rsid w:val="00B129E0"/>
  </w:style>
  <w:style w:type="paragraph" w:styleId="Header">
    <w:name w:val="header"/>
    <w:basedOn w:val="Normal"/>
    <w:link w:val="HeaderChar"/>
    <w:uiPriority w:val="99"/>
    <w:unhideWhenUsed/>
    <w:rsid w:val="00B129E0"/>
    <w:pPr>
      <w:tabs>
        <w:tab w:val="center" w:pos="4680"/>
        <w:tab w:val="right" w:pos="9360"/>
      </w:tabs>
      <w:spacing w:line="240" w:lineRule="auto"/>
    </w:pPr>
  </w:style>
  <w:style w:type="character" w:customStyle="1" w:styleId="HeaderChar">
    <w:name w:val="Header Char"/>
    <w:basedOn w:val="DefaultParagraphFont"/>
    <w:link w:val="Header"/>
    <w:uiPriority w:val="99"/>
    <w:rsid w:val="00B1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513">
      <w:bodyDiv w:val="1"/>
      <w:marLeft w:val="0"/>
      <w:marRight w:val="0"/>
      <w:marTop w:val="0"/>
      <w:marBottom w:val="0"/>
      <w:divBdr>
        <w:top w:val="none" w:sz="0" w:space="0" w:color="auto"/>
        <w:left w:val="none" w:sz="0" w:space="0" w:color="auto"/>
        <w:bottom w:val="none" w:sz="0" w:space="0" w:color="auto"/>
        <w:right w:val="none" w:sz="0" w:space="0" w:color="auto"/>
      </w:divBdr>
    </w:div>
    <w:div w:id="766075971">
      <w:bodyDiv w:val="1"/>
      <w:marLeft w:val="0"/>
      <w:marRight w:val="0"/>
      <w:marTop w:val="0"/>
      <w:marBottom w:val="0"/>
      <w:divBdr>
        <w:top w:val="none" w:sz="0" w:space="0" w:color="auto"/>
        <w:left w:val="none" w:sz="0" w:space="0" w:color="auto"/>
        <w:bottom w:val="none" w:sz="0" w:space="0" w:color="auto"/>
        <w:right w:val="none" w:sz="0" w:space="0" w:color="auto"/>
      </w:divBdr>
    </w:div>
    <w:div w:id="1672902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9B9B-424E-164C-B463-E2FE7FA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2022-05-15T14:07:00Z</dcterms:created>
  <dcterms:modified xsi:type="dcterms:W3CDTF">2023-03-14T16:12:00Z</dcterms:modified>
</cp:coreProperties>
</file>