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F3" w:rsidRPr="008474E0" w:rsidRDefault="008474E0" w:rsidP="007327D2">
      <w:pPr>
        <w:spacing w:line="480" w:lineRule="auto"/>
        <w:jc w:val="center"/>
        <w:rPr>
          <w:b/>
          <w:szCs w:val="28"/>
        </w:rPr>
      </w:pPr>
      <w:bookmarkStart w:id="0" w:name="_GoBack"/>
      <w:bookmarkEnd w:id="0"/>
      <w:r w:rsidRPr="008474E0">
        <w:rPr>
          <w:b/>
          <w:szCs w:val="28"/>
        </w:rPr>
        <w:t>“</w:t>
      </w:r>
      <w:r w:rsidR="00AA1CF3" w:rsidRPr="008474E0">
        <w:rPr>
          <w:b/>
          <w:szCs w:val="28"/>
        </w:rPr>
        <w:t>Discourse on Metaphysics</w:t>
      </w:r>
      <w:r w:rsidRPr="008474E0">
        <w:rPr>
          <w:b/>
          <w:szCs w:val="28"/>
        </w:rPr>
        <w:t>”</w:t>
      </w:r>
    </w:p>
    <w:p w:rsidR="008474E0" w:rsidRPr="008474E0" w:rsidRDefault="008474E0" w:rsidP="007327D2">
      <w:pPr>
        <w:spacing w:line="480" w:lineRule="auto"/>
        <w:jc w:val="center"/>
        <w:rPr>
          <w:b/>
          <w:szCs w:val="28"/>
        </w:rPr>
      </w:pPr>
      <w:r w:rsidRPr="008474E0">
        <w:rPr>
          <w:b/>
          <w:szCs w:val="28"/>
        </w:rPr>
        <w:t>Lloyd Strickland</w:t>
      </w:r>
    </w:p>
    <w:p w:rsidR="00AA1CF3" w:rsidRDefault="00AA1CF3" w:rsidP="007327D2">
      <w:pPr>
        <w:spacing w:line="480" w:lineRule="auto"/>
      </w:pPr>
    </w:p>
    <w:p w:rsidR="007618DB" w:rsidRDefault="004E79BE" w:rsidP="007327D2">
      <w:pPr>
        <w:spacing w:line="480" w:lineRule="auto"/>
      </w:pPr>
      <w:r>
        <w:t xml:space="preserve">Few </w:t>
      </w:r>
      <w:r w:rsidR="001C7A72">
        <w:t xml:space="preserve">seminal </w:t>
      </w:r>
      <w:r>
        <w:t xml:space="preserve">philosophical </w:t>
      </w:r>
      <w:r w:rsidR="001C7A72">
        <w:t>works</w:t>
      </w:r>
      <w:r>
        <w:t xml:space="preserve"> </w:t>
      </w:r>
      <w:r w:rsidR="0023747F">
        <w:t>are the pro</w:t>
      </w:r>
      <w:r w:rsidR="001C7A72">
        <w:t>du</w:t>
      </w:r>
      <w:r w:rsidR="0023747F">
        <w:t xml:space="preserve">ct of an unoccupied mind </w:t>
      </w:r>
      <w:r>
        <w:t>in the midst of a failed mining project</w:t>
      </w:r>
      <w:r w:rsidR="0023747F">
        <w:t xml:space="preserve">, but that, it seems, </w:t>
      </w:r>
      <w:r w:rsidR="00150474">
        <w:t xml:space="preserve">was the story behind Leibniz’s </w:t>
      </w:r>
      <w:r w:rsidR="008474E0">
        <w:t>“</w:t>
      </w:r>
      <w:r w:rsidR="006C0F6C" w:rsidRPr="008474E0">
        <w:t>Discourse on Metaphysics</w:t>
      </w:r>
      <w:r w:rsidR="008474E0">
        <w:t>”</w:t>
      </w:r>
      <w:r w:rsidR="006C0F6C">
        <w:t xml:space="preserve"> (hereafter: </w:t>
      </w:r>
      <w:r w:rsidR="008474E0">
        <w:t>“</w:t>
      </w:r>
      <w:r w:rsidR="006C0F6C" w:rsidRPr="008474E0">
        <w:t>Discourse</w:t>
      </w:r>
      <w:r w:rsidR="008474E0">
        <w:t>”</w:t>
      </w:r>
      <w:r w:rsidR="006C0F6C">
        <w:t xml:space="preserve">). </w:t>
      </w:r>
      <w:r w:rsidR="00DE1529" w:rsidRPr="00DE1529">
        <w:t>At the beginning of January 1686, Leibniz travelled to the Harz mountains to continue his (ultimately ill-fated) project to improve the productivity of the mines there via wind machines and water pumps of his own invention.</w:t>
      </w:r>
      <w:r w:rsidR="00DE1529">
        <w:rPr>
          <w:rStyle w:val="FootnoteReference"/>
        </w:rPr>
        <w:footnoteReference w:id="1"/>
      </w:r>
      <w:r w:rsidR="006C0F6C">
        <w:t xml:space="preserve"> On 1/11 February 1686, a month or so after arriving, he wrote to Landgrave Ernst von Hesse-Rheinfels </w:t>
      </w:r>
      <w:r w:rsidR="006E0689">
        <w:t xml:space="preserve">(1623-93) </w:t>
      </w:r>
      <w:r w:rsidR="006C0F6C">
        <w:t xml:space="preserve">that, </w:t>
      </w:r>
      <w:r w:rsidR="004B01A7">
        <w:t>“</w:t>
      </w:r>
      <w:r w:rsidR="006A5D88">
        <w:t>Having been somewhere where I had nothing to do for several days, I have recently written a</w:t>
      </w:r>
      <w:r w:rsidR="004B01A7">
        <w:t xml:space="preserve"> short discourse on metaphysics”</w:t>
      </w:r>
      <w:r w:rsidR="006A5D88">
        <w:t xml:space="preserve"> (A II 2</w:t>
      </w:r>
      <w:r w:rsidR="00BE64BB">
        <w:t>:</w:t>
      </w:r>
      <w:r w:rsidR="006A5D88">
        <w:t xml:space="preserve"> 3</w:t>
      </w:r>
      <w:r w:rsidR="00D104DA">
        <w:t>/</w:t>
      </w:r>
      <w:r w:rsidR="003C6E16">
        <w:t>LAC 3</w:t>
      </w:r>
      <w:r w:rsidR="006A5D88">
        <w:t>),</w:t>
      </w:r>
      <w:r w:rsidR="003C6E16">
        <w:rPr>
          <w:rStyle w:val="FootnoteReference"/>
        </w:rPr>
        <w:footnoteReference w:id="2"/>
      </w:r>
      <w:r w:rsidR="006A5D88">
        <w:t xml:space="preserve"> </w:t>
      </w:r>
      <w:r w:rsidR="006C0F6C">
        <w:t>a remark from which</w:t>
      </w:r>
      <w:r w:rsidR="006A5D88">
        <w:t xml:space="preserve"> the text </w:t>
      </w:r>
      <w:r w:rsidR="00150474">
        <w:t>subsequently</w:t>
      </w:r>
      <w:r w:rsidR="006A5D88">
        <w:t xml:space="preserve"> derived its name</w:t>
      </w:r>
      <w:r w:rsidR="00150474">
        <w:t xml:space="preserve"> </w:t>
      </w:r>
      <w:r w:rsidR="00D104DA">
        <w:t>since</w:t>
      </w:r>
      <w:r w:rsidR="00150474">
        <w:t xml:space="preserve"> Leibniz left it without a title</w:t>
      </w:r>
      <w:r w:rsidR="006A5D88">
        <w:t>.</w:t>
      </w:r>
      <w:r w:rsidR="006A5D88">
        <w:rPr>
          <w:rStyle w:val="FootnoteReference"/>
        </w:rPr>
        <w:footnoteReference w:id="3"/>
      </w:r>
      <w:r w:rsidR="00AA1CF3">
        <w:t xml:space="preserve"> </w:t>
      </w:r>
      <w:r w:rsidR="00712C67">
        <w:t xml:space="preserve">Although Leibniz </w:t>
      </w:r>
      <w:r w:rsidR="00787C7A">
        <w:t xml:space="preserve">also </w:t>
      </w:r>
      <w:r w:rsidR="00712C67">
        <w:t>left it unpublished, t</w:t>
      </w:r>
      <w:r w:rsidR="00EF3163">
        <w:t xml:space="preserve">he </w:t>
      </w:r>
      <w:r w:rsidR="008474E0">
        <w:t>“</w:t>
      </w:r>
      <w:r w:rsidR="00EF3163" w:rsidRPr="008474E0">
        <w:t>Discourse</w:t>
      </w:r>
      <w:r w:rsidR="008474E0">
        <w:t>”</w:t>
      </w:r>
      <w:r w:rsidR="00712C67">
        <w:t xml:space="preserve"> has come to be considered as one of his key philosophical writings; some claim that it marks the completion of Leibniz’s </w:t>
      </w:r>
      <w:r w:rsidR="00622BC7">
        <w:t>philosophical system,</w:t>
      </w:r>
      <w:r w:rsidR="00622BC7">
        <w:rPr>
          <w:rStyle w:val="FootnoteReference"/>
        </w:rPr>
        <w:footnoteReference w:id="4"/>
      </w:r>
      <w:r w:rsidR="00622BC7">
        <w:t xml:space="preserve"> </w:t>
      </w:r>
      <w:r w:rsidR="00712C67">
        <w:t>others that it represents</w:t>
      </w:r>
      <w:r w:rsidR="001F5CA5">
        <w:t xml:space="preserve"> his best attempt</w:t>
      </w:r>
      <w:r w:rsidR="00712C67">
        <w:t xml:space="preserve"> at expounding it.</w:t>
      </w:r>
      <w:r w:rsidR="001F5CA5">
        <w:rPr>
          <w:rStyle w:val="FootnoteReference"/>
        </w:rPr>
        <w:footnoteReference w:id="5"/>
      </w:r>
      <w:r w:rsidR="001F5CA5">
        <w:t xml:space="preserve"> </w:t>
      </w:r>
      <w:r w:rsidR="0078276E">
        <w:t xml:space="preserve">Certainly </w:t>
      </w:r>
      <w:r w:rsidR="00787C7A">
        <w:t xml:space="preserve">when considered in the context of his pre-1686 writings, </w:t>
      </w:r>
      <w:r w:rsidR="0078276E">
        <w:t>it represents</w:t>
      </w:r>
      <w:r w:rsidR="00622BC7">
        <w:t xml:space="preserve"> Leibniz’s consolidation of a number of philosophical ideas that he had developed and sketched out in the years beforehand in a host of short private essays, fragment</w:t>
      </w:r>
      <w:r w:rsidR="003911CE">
        <w:t>s</w:t>
      </w:r>
      <w:r w:rsidR="00622BC7">
        <w:t>, and letters</w:t>
      </w:r>
      <w:r w:rsidR="00CD2C61">
        <w:t>.</w:t>
      </w:r>
    </w:p>
    <w:p w:rsidR="00885E20" w:rsidRDefault="007618DB" w:rsidP="007327D2">
      <w:pPr>
        <w:spacing w:line="480" w:lineRule="auto"/>
        <w:ind w:firstLine="720"/>
      </w:pPr>
      <w:r>
        <w:t xml:space="preserve">Before considering the contents of the </w:t>
      </w:r>
      <w:r w:rsidR="008474E0">
        <w:t>“</w:t>
      </w:r>
      <w:r w:rsidRPr="008474E0">
        <w:t>Discourse</w:t>
      </w:r>
      <w:r w:rsidR="008474E0">
        <w:t>”</w:t>
      </w:r>
      <w:r>
        <w:t xml:space="preserve"> it would be helpful to say</w:t>
      </w:r>
      <w:r w:rsidR="00AA1CF3">
        <w:t xml:space="preserve"> a little about the text itself.</w:t>
      </w:r>
      <w:r>
        <w:t xml:space="preserve"> </w:t>
      </w:r>
      <w:r w:rsidR="00AE4A40">
        <w:t xml:space="preserve">The </w:t>
      </w:r>
      <w:r w:rsidR="008474E0">
        <w:t>“</w:t>
      </w:r>
      <w:r w:rsidR="00AE4A40" w:rsidRPr="008474E0">
        <w:t>Discourse</w:t>
      </w:r>
      <w:r w:rsidR="008474E0">
        <w:t>”</w:t>
      </w:r>
      <w:r w:rsidR="00384689">
        <w:t xml:space="preserve"> is</w:t>
      </w:r>
      <w:r w:rsidR="00AE4A40">
        <w:t xml:space="preserve"> </w:t>
      </w:r>
      <w:r>
        <w:t>an essay</w:t>
      </w:r>
      <w:r w:rsidR="008474E0">
        <w:t xml:space="preserve"> of</w:t>
      </w:r>
      <w:r>
        <w:t xml:space="preserve"> </w:t>
      </w:r>
      <w:r w:rsidR="00AE4A40">
        <w:t xml:space="preserve">approximately 17,400 words </w:t>
      </w:r>
      <w:r w:rsidR="00384689">
        <w:t>in length</w:t>
      </w:r>
      <w:r w:rsidR="00AE4A40">
        <w:t xml:space="preserve">, </w:t>
      </w:r>
      <w:r w:rsidR="00384689">
        <w:t xml:space="preserve">which means that, </w:t>
      </w:r>
      <w:r w:rsidR="00AE4A40">
        <w:t xml:space="preserve">by the standards of the day, </w:t>
      </w:r>
      <w:r w:rsidR="00384689">
        <w:t xml:space="preserve">it </w:t>
      </w:r>
      <w:r w:rsidR="00AE4A40">
        <w:t xml:space="preserve">would have </w:t>
      </w:r>
      <w:r w:rsidR="00384689">
        <w:t>been sufficient for</w:t>
      </w:r>
      <w:r w:rsidR="00AE4A40">
        <w:t xml:space="preserve"> a small book, had Leibniz sought to publish it. </w:t>
      </w:r>
      <w:r w:rsidR="008C17C8">
        <w:t xml:space="preserve">In the form in which it is presented in both the critical </w:t>
      </w:r>
      <w:r w:rsidR="008C17C8">
        <w:lastRenderedPageBreak/>
        <w:t>Akademie edition (A VI 4</w:t>
      </w:r>
      <w:r w:rsidR="00BE64BB">
        <w:t>:</w:t>
      </w:r>
      <w:r w:rsidR="008C17C8">
        <w:t xml:space="preserve"> </w:t>
      </w:r>
      <w:r w:rsidR="003E1295">
        <w:t>1529-88</w:t>
      </w:r>
      <w:r w:rsidR="008C17C8">
        <w:t xml:space="preserve">), and in most recent English translations, the </w:t>
      </w:r>
      <w:r w:rsidR="008474E0">
        <w:t>“</w:t>
      </w:r>
      <w:r w:rsidR="00D104DA" w:rsidRPr="008474E0">
        <w:t>Discourse</w:t>
      </w:r>
      <w:r w:rsidR="008474E0">
        <w:t>”</w:t>
      </w:r>
      <w:r w:rsidR="008C17C8">
        <w:t xml:space="preserve"> consists of </w:t>
      </w:r>
      <w:r w:rsidR="008474E0">
        <w:t>thirty-seven</w:t>
      </w:r>
      <w:r w:rsidR="008C17C8">
        <w:t xml:space="preserve"> numbered sections, each with its own </w:t>
      </w:r>
      <w:r w:rsidR="004965EF">
        <w:t>heading</w:t>
      </w:r>
      <w:r w:rsidR="008C17C8">
        <w:t xml:space="preserve">. However, a glance at Leibniz’s original </w:t>
      </w:r>
      <w:r w:rsidR="003E1295">
        <w:t xml:space="preserve">draft </w:t>
      </w:r>
      <w:r w:rsidR="008C17C8">
        <w:t xml:space="preserve">manuscript </w:t>
      </w:r>
      <w:r w:rsidR="006E0689">
        <w:t xml:space="preserve">(LH I </w:t>
      </w:r>
      <w:r w:rsidR="006E0689" w:rsidRPr="006E0689">
        <w:t>3</w:t>
      </w:r>
      <w:r w:rsidR="008474E0">
        <w:t>,</w:t>
      </w:r>
      <w:r w:rsidR="006E0689">
        <w:t xml:space="preserve"> </w:t>
      </w:r>
      <w:r w:rsidR="006E0689" w:rsidRPr="006E0689">
        <w:t>1</w:t>
      </w:r>
      <w:r w:rsidR="00BE64BB">
        <w:t>:</w:t>
      </w:r>
      <w:r w:rsidR="006E0689">
        <w:t xml:space="preserve"> </w:t>
      </w:r>
      <w:r w:rsidR="006E0689" w:rsidRPr="006E0689">
        <w:t>Bl</w:t>
      </w:r>
      <w:r w:rsidR="006C09CF">
        <w:t>.</w:t>
      </w:r>
      <w:r w:rsidR="006E0689">
        <w:t xml:space="preserve"> </w:t>
      </w:r>
      <w:r w:rsidR="006E0689" w:rsidRPr="006E0689">
        <w:t>1</w:t>
      </w:r>
      <w:r w:rsidR="006E0689">
        <w:t>-</w:t>
      </w:r>
      <w:r w:rsidR="006E0689" w:rsidRPr="006E0689">
        <w:t>12</w:t>
      </w:r>
      <w:r w:rsidR="006E0689">
        <w:t xml:space="preserve">) </w:t>
      </w:r>
      <w:r w:rsidR="008C17C8">
        <w:t xml:space="preserve">reveals that he initially wrote the text as one continuous piece before later adding section numbers and </w:t>
      </w:r>
      <w:r w:rsidR="004965EF">
        <w:t>headings</w:t>
      </w:r>
      <w:r w:rsidR="008C17C8">
        <w:t>, all of which are found on the right hand margins of the page, in square brackets. Curiously, when a fair copy was made of the entire text (</w:t>
      </w:r>
      <w:r w:rsidR="008474E0">
        <w:t>LH IV 4,</w:t>
      </w:r>
      <w:r w:rsidR="008C17C8" w:rsidRPr="008C17C8">
        <w:t xml:space="preserve"> 7</w:t>
      </w:r>
      <w:r w:rsidR="00BE64BB">
        <w:t>:</w:t>
      </w:r>
      <w:r w:rsidR="008C17C8" w:rsidRPr="008C17C8">
        <w:t xml:space="preserve"> Bl</w:t>
      </w:r>
      <w:r w:rsidR="006C09CF">
        <w:t>.</w:t>
      </w:r>
      <w:r w:rsidR="008C17C8" w:rsidRPr="008C17C8">
        <w:t xml:space="preserve"> 1</w:t>
      </w:r>
      <w:r w:rsidR="0055455F">
        <w:t>-</w:t>
      </w:r>
      <w:r w:rsidR="008C17C8" w:rsidRPr="008C17C8">
        <w:t>18</w:t>
      </w:r>
      <w:r w:rsidR="008C17C8">
        <w:t>), Leibniz’s section numbers were included but his section headings were not.</w:t>
      </w:r>
      <w:r w:rsidR="006E0689">
        <w:rPr>
          <w:rStyle w:val="FootnoteReference"/>
        </w:rPr>
        <w:footnoteReference w:id="6"/>
      </w:r>
      <w:r w:rsidR="008C17C8">
        <w:t xml:space="preserve"> </w:t>
      </w:r>
      <w:r w:rsidR="007E3FD8">
        <w:t>Given that Leibniz wrote part of the fair copy himself,</w:t>
      </w:r>
      <w:r w:rsidR="007E3FD8">
        <w:rPr>
          <w:rStyle w:val="FootnoteReference"/>
        </w:rPr>
        <w:footnoteReference w:id="7"/>
      </w:r>
      <w:r w:rsidR="007E3FD8">
        <w:t xml:space="preserve"> it seems reasonable to suppose that the section </w:t>
      </w:r>
      <w:r w:rsidR="004965EF">
        <w:t>headings</w:t>
      </w:r>
      <w:r w:rsidR="007E3FD8">
        <w:t xml:space="preserve"> were not intended to form part of the text itself but were </w:t>
      </w:r>
      <w:r w:rsidR="003E1295">
        <w:t>add</w:t>
      </w:r>
      <w:r w:rsidR="007E3FD8">
        <w:t xml:space="preserve">ed </w:t>
      </w:r>
      <w:r w:rsidR="003E1295">
        <w:t>to</w:t>
      </w:r>
      <w:r w:rsidR="007E3FD8">
        <w:t xml:space="preserve"> the draft for a different reason.</w:t>
      </w:r>
      <w:r w:rsidR="00885E20">
        <w:t xml:space="preserve"> </w:t>
      </w:r>
      <w:r w:rsidR="0061355F">
        <w:t xml:space="preserve">He certainly found a use for them, for </w:t>
      </w:r>
      <w:r w:rsidR="00885E20">
        <w:t xml:space="preserve">there exists a separate manuscript consisting of the section </w:t>
      </w:r>
      <w:r w:rsidR="004965EF">
        <w:t>headings</w:t>
      </w:r>
      <w:r w:rsidR="00885E20">
        <w:t xml:space="preserve"> alone</w:t>
      </w:r>
      <w:r w:rsidR="006E0689">
        <w:t xml:space="preserve"> (LBr 16</w:t>
      </w:r>
      <w:r w:rsidR="00BE64BB">
        <w:t>:</w:t>
      </w:r>
      <w:r w:rsidR="006E0689">
        <w:t xml:space="preserve"> Bl</w:t>
      </w:r>
      <w:r w:rsidR="006C09CF">
        <w:t>.</w:t>
      </w:r>
      <w:r w:rsidR="006E0689">
        <w:t xml:space="preserve"> 46-</w:t>
      </w:r>
      <w:r w:rsidR="006E0689" w:rsidRPr="00E44E6A">
        <w:t>7</w:t>
      </w:r>
      <w:r w:rsidR="006E0689">
        <w:t>)</w:t>
      </w:r>
      <w:r w:rsidR="00885E20">
        <w:t>,</w:t>
      </w:r>
      <w:r w:rsidR="00C42E85">
        <w:t xml:space="preserve"> </w:t>
      </w:r>
      <w:r w:rsidR="00885E20">
        <w:t xml:space="preserve">which Leibniz enclosed with his letter to Landgrave Ernst </w:t>
      </w:r>
      <w:r w:rsidR="003D1C05">
        <w:t>of 1/11 February 1686</w:t>
      </w:r>
      <w:r w:rsidR="00885E20">
        <w:t>,</w:t>
      </w:r>
      <w:r w:rsidR="003911CE">
        <w:rPr>
          <w:rStyle w:val="FootnoteReference"/>
        </w:rPr>
        <w:footnoteReference w:id="8"/>
      </w:r>
      <w:r w:rsidR="00885E20">
        <w:t xml:space="preserve"> </w:t>
      </w:r>
      <w:r w:rsidR="0061355F">
        <w:t>with the request that he</w:t>
      </w:r>
      <w:r w:rsidR="00885E20">
        <w:t xml:space="preserve"> pass </w:t>
      </w:r>
      <w:r w:rsidR="003E1295">
        <w:t xml:space="preserve">on </w:t>
      </w:r>
      <w:r w:rsidR="00885E20">
        <w:t xml:space="preserve">the section </w:t>
      </w:r>
      <w:r w:rsidR="004965EF">
        <w:t>headings</w:t>
      </w:r>
      <w:r w:rsidR="00885E20">
        <w:t xml:space="preserve"> </w:t>
      </w:r>
      <w:r w:rsidR="003D1C05">
        <w:t xml:space="preserve">(or </w:t>
      </w:r>
      <w:r w:rsidR="004B01A7">
        <w:t>“summary of the articles”</w:t>
      </w:r>
      <w:r w:rsidR="003D1C05">
        <w:t xml:space="preserve">, as Leibniz </w:t>
      </w:r>
      <w:r w:rsidR="0061355F">
        <w:t>call</w:t>
      </w:r>
      <w:r w:rsidR="004965EF">
        <w:t>ed</w:t>
      </w:r>
      <w:r w:rsidR="0061355F">
        <w:t xml:space="preserve"> them</w:t>
      </w:r>
      <w:r w:rsidR="003D1C05">
        <w:t>, A II 2</w:t>
      </w:r>
      <w:r w:rsidR="00BE64BB">
        <w:t>:</w:t>
      </w:r>
      <w:r w:rsidR="003D1C05">
        <w:t xml:space="preserve"> 4/</w:t>
      </w:r>
      <w:r w:rsidR="00E06943">
        <w:t>LA</w:t>
      </w:r>
      <w:r w:rsidR="008474E0">
        <w:t>R</w:t>
      </w:r>
      <w:r w:rsidR="00E06943">
        <w:t xml:space="preserve"> </w:t>
      </w:r>
      <w:r w:rsidR="0055455F">
        <w:t>3</w:t>
      </w:r>
      <w:r w:rsidR="003D1C05">
        <w:t xml:space="preserve">) to </w:t>
      </w:r>
      <w:r w:rsidR="00885E20">
        <w:t>the renowned philosopher Antoine Arnauld (1612-94) for his consideration.</w:t>
      </w:r>
      <w:r w:rsidR="00FE7A25">
        <w:rPr>
          <w:rStyle w:val="FootnoteReference"/>
        </w:rPr>
        <w:footnoteReference w:id="9"/>
      </w:r>
      <w:r w:rsidR="00885E20">
        <w:t xml:space="preserve"> This prompted a short-lived but illuminating correspondence between Leibniz and Arnauld over the course of 1686 and 1687</w:t>
      </w:r>
      <w:r w:rsidR="0035632B">
        <w:t>.</w:t>
      </w:r>
      <w:r w:rsidR="0035632B">
        <w:rPr>
          <w:rStyle w:val="FootnoteReference"/>
        </w:rPr>
        <w:footnoteReference w:id="10"/>
      </w:r>
      <w:r w:rsidR="00885E20">
        <w:t xml:space="preserve"> </w:t>
      </w:r>
    </w:p>
    <w:p w:rsidR="005C0383" w:rsidRDefault="005C0383" w:rsidP="007327D2">
      <w:pPr>
        <w:spacing w:line="480" w:lineRule="auto"/>
      </w:pPr>
      <w:r>
        <w:tab/>
        <w:t>Hence there are three key manuscripts:</w:t>
      </w:r>
      <w:r w:rsidR="001F0EA9">
        <w:rPr>
          <w:rStyle w:val="FootnoteReference"/>
        </w:rPr>
        <w:footnoteReference w:id="11"/>
      </w:r>
    </w:p>
    <w:p w:rsidR="005C0383" w:rsidRDefault="005C0383" w:rsidP="007327D2">
      <w:pPr>
        <w:spacing w:line="480" w:lineRule="auto"/>
      </w:pPr>
    </w:p>
    <w:p w:rsidR="005C0383" w:rsidRDefault="005C0383" w:rsidP="007327D2">
      <w:pPr>
        <w:pStyle w:val="ListParagraph"/>
        <w:numPr>
          <w:ilvl w:val="0"/>
          <w:numId w:val="2"/>
        </w:numPr>
        <w:spacing w:line="480" w:lineRule="auto"/>
      </w:pPr>
      <w:r>
        <w:t xml:space="preserve">Leibniz’s original draft, with section </w:t>
      </w:r>
      <w:r w:rsidR="006C256A">
        <w:t>headings added</w:t>
      </w:r>
    </w:p>
    <w:p w:rsidR="005C0383" w:rsidRDefault="005C0383" w:rsidP="007327D2">
      <w:pPr>
        <w:pStyle w:val="ListParagraph"/>
        <w:numPr>
          <w:ilvl w:val="0"/>
          <w:numId w:val="2"/>
        </w:numPr>
        <w:spacing w:line="480" w:lineRule="auto"/>
      </w:pPr>
      <w:r>
        <w:t>The fair copy, partially in Leibniz’s hand, with Leibniz’s corrections</w:t>
      </w:r>
      <w:r w:rsidR="00B30431">
        <w:t>, but</w:t>
      </w:r>
      <w:r>
        <w:t xml:space="preserve"> no section </w:t>
      </w:r>
      <w:r w:rsidR="006C256A">
        <w:t>headings</w:t>
      </w:r>
    </w:p>
    <w:p w:rsidR="005C0383" w:rsidRDefault="005C0383" w:rsidP="007327D2">
      <w:pPr>
        <w:pStyle w:val="ListParagraph"/>
        <w:numPr>
          <w:ilvl w:val="0"/>
          <w:numId w:val="2"/>
        </w:numPr>
        <w:spacing w:line="480" w:lineRule="auto"/>
      </w:pPr>
      <w:r>
        <w:t xml:space="preserve">Leibniz’s copy of the section </w:t>
      </w:r>
      <w:r w:rsidR="006C256A">
        <w:t>headings</w:t>
      </w:r>
    </w:p>
    <w:p w:rsidR="005C0383" w:rsidRPr="003D1C05" w:rsidRDefault="005C0383" w:rsidP="007327D2">
      <w:pPr>
        <w:spacing w:line="480" w:lineRule="auto"/>
      </w:pPr>
    </w:p>
    <w:p w:rsidR="002A4ABD" w:rsidRPr="00B21373" w:rsidRDefault="008C17C8" w:rsidP="007327D2">
      <w:pPr>
        <w:spacing w:line="480" w:lineRule="auto"/>
        <w:ind w:firstLine="720"/>
      </w:pPr>
      <w:r>
        <w:t xml:space="preserve">When the </w:t>
      </w:r>
      <w:r>
        <w:rPr>
          <w:i/>
        </w:rPr>
        <w:t>Discourse</w:t>
      </w:r>
      <w:r>
        <w:t xml:space="preserve"> was first published in 1846, the editor, </w:t>
      </w:r>
      <w:r w:rsidR="001372B9">
        <w:t xml:space="preserve">Carl Ludwig </w:t>
      </w:r>
      <w:r>
        <w:t xml:space="preserve">Grotefend, </w:t>
      </w:r>
      <w:r w:rsidR="005C0383">
        <w:t>followed</w:t>
      </w:r>
      <w:r>
        <w:t xml:space="preserve"> the fair copy of the manuscript</w:t>
      </w:r>
      <w:r w:rsidR="008620C8">
        <w:t xml:space="preserve"> (2)</w:t>
      </w:r>
      <w:r>
        <w:t xml:space="preserve">, </w:t>
      </w:r>
      <w:r w:rsidR="008620C8">
        <w:t>printing the</w:t>
      </w:r>
      <w:r>
        <w:t xml:space="preserve"> section headings</w:t>
      </w:r>
      <w:r w:rsidR="008620C8">
        <w:t xml:space="preserve"> (3) </w:t>
      </w:r>
      <w:r>
        <w:t>as a separate document.</w:t>
      </w:r>
      <w:r w:rsidR="004965EF">
        <w:rPr>
          <w:rStyle w:val="FootnoteReference"/>
        </w:rPr>
        <w:footnoteReference w:id="12"/>
      </w:r>
      <w:r>
        <w:t xml:space="preserve"> Subsequent edi</w:t>
      </w:r>
      <w:r w:rsidR="004965EF">
        <w:t>tions, such as that of Gerhardt</w:t>
      </w:r>
      <w:r>
        <w:t>, followed suit.</w:t>
      </w:r>
      <w:r>
        <w:rPr>
          <w:rStyle w:val="FootnoteReference"/>
        </w:rPr>
        <w:footnoteReference w:id="13"/>
      </w:r>
      <w:r>
        <w:t xml:space="preserve"> </w:t>
      </w:r>
      <w:r w:rsidR="002A4ABD">
        <w:t xml:space="preserve">Then, in 1907, </w:t>
      </w:r>
      <w:r w:rsidR="006E0689">
        <w:t xml:space="preserve">in </w:t>
      </w:r>
      <w:r w:rsidR="002A4ABD">
        <w:t xml:space="preserve">Henri Lestienne’s edition, </w:t>
      </w:r>
      <w:r>
        <w:t xml:space="preserve">the </w:t>
      </w:r>
      <w:r w:rsidR="008474E0">
        <w:t>“</w:t>
      </w:r>
      <w:r w:rsidRPr="008474E0">
        <w:t>Discourse</w:t>
      </w:r>
      <w:r w:rsidR="008474E0">
        <w:t>”</w:t>
      </w:r>
      <w:r>
        <w:t xml:space="preserve"> was printed with both Leibniz’s section numbers </w:t>
      </w:r>
      <w:r w:rsidRPr="00C91EE4">
        <w:rPr>
          <w:i/>
        </w:rPr>
        <w:t>and</w:t>
      </w:r>
      <w:r>
        <w:t xml:space="preserve"> section headings, </w:t>
      </w:r>
      <w:r w:rsidR="005C0383">
        <w:t xml:space="preserve">though the section headings used were drawn not from the original draft of the </w:t>
      </w:r>
      <w:r w:rsidR="008474E0">
        <w:t>“</w:t>
      </w:r>
      <w:r w:rsidR="005C0383" w:rsidRPr="008474E0">
        <w:t>Discourse</w:t>
      </w:r>
      <w:r w:rsidR="008474E0">
        <w:t>”</w:t>
      </w:r>
      <w:r w:rsidR="005C0383">
        <w:t xml:space="preserve"> but from the separate document of headings written for the Landgrave</w:t>
      </w:r>
      <w:r w:rsidR="008620C8">
        <w:t xml:space="preserve"> (3)</w:t>
      </w:r>
      <w:r>
        <w:t xml:space="preserve">. </w:t>
      </w:r>
      <w:r w:rsidR="002A4ABD">
        <w:t xml:space="preserve">Many English editions of the </w:t>
      </w:r>
      <w:r w:rsidR="008474E0">
        <w:t>“</w:t>
      </w:r>
      <w:r w:rsidR="002A4ABD" w:rsidRPr="008474E0">
        <w:t>Discourse</w:t>
      </w:r>
      <w:r w:rsidR="008474E0">
        <w:t>”</w:t>
      </w:r>
      <w:r w:rsidR="002A4ABD">
        <w:t xml:space="preserve"> are likewise hybrids</w:t>
      </w:r>
      <w:r w:rsidR="00B21373">
        <w:t>;</w:t>
      </w:r>
      <w:r w:rsidR="002A4ABD">
        <w:t xml:space="preserve"> the editions by Montgomery (</w:t>
      </w:r>
      <w:r w:rsidR="002A4ABD" w:rsidRPr="002C2AEB">
        <w:t>1902</w:t>
      </w:r>
      <w:r w:rsidR="00BE64BB">
        <w:t>:</w:t>
      </w:r>
      <w:r w:rsidR="002A4ABD" w:rsidRPr="002C2AEB">
        <w:t xml:space="preserve"> 3-63</w:t>
      </w:r>
      <w:r w:rsidR="002A4ABD">
        <w:t xml:space="preserve">), Loemker (PPL 303-30), </w:t>
      </w:r>
      <w:r w:rsidR="00B83BCB">
        <w:t xml:space="preserve">Morris and Parkinson (PW 18-47), </w:t>
      </w:r>
      <w:r w:rsidR="00CD1758">
        <w:t xml:space="preserve">and </w:t>
      </w:r>
      <w:r w:rsidR="00B21373">
        <w:t>Woolhouse and Francks (WF</w:t>
      </w:r>
      <w:r w:rsidR="00220B74">
        <w:t>T</w:t>
      </w:r>
      <w:r w:rsidR="00B21373">
        <w:t xml:space="preserve"> 53-89) are hybrids </w:t>
      </w:r>
      <w:r w:rsidR="00B30431">
        <w:t xml:space="preserve">consisting </w:t>
      </w:r>
      <w:r w:rsidR="00B21373">
        <w:t xml:space="preserve">of the text </w:t>
      </w:r>
      <w:r w:rsidR="006E0689">
        <w:t>of the fair copy</w:t>
      </w:r>
      <w:r w:rsidR="00B21373">
        <w:t xml:space="preserve"> (2) and the section headings from (3), </w:t>
      </w:r>
      <w:r w:rsidR="00CD1758">
        <w:t xml:space="preserve">while </w:t>
      </w:r>
      <w:r w:rsidR="00B21373">
        <w:t xml:space="preserve">that of </w:t>
      </w:r>
      <w:r w:rsidR="002A4ABD">
        <w:t>Ariew and Garber (</w:t>
      </w:r>
      <w:r w:rsidR="003750EB">
        <w:t>PE</w:t>
      </w:r>
      <w:r w:rsidR="002A4ABD">
        <w:t xml:space="preserve"> 35-</w:t>
      </w:r>
      <w:r w:rsidR="00B21373">
        <w:t>68</w:t>
      </w:r>
      <w:r w:rsidR="002A4ABD">
        <w:t>) combine</w:t>
      </w:r>
      <w:r w:rsidR="00E732FB">
        <w:t>s</w:t>
      </w:r>
      <w:r w:rsidR="002A4ABD">
        <w:t xml:space="preserve"> the text of the fair copy (2) with the section headings from Leibniz’s original draft (1)</w:t>
      </w:r>
      <w:r w:rsidR="00CD1758">
        <w:t>. Only</w:t>
      </w:r>
      <w:r w:rsidR="00E732FB">
        <w:t xml:space="preserve"> </w:t>
      </w:r>
      <w:r w:rsidR="008620C8">
        <w:t xml:space="preserve">the edition of </w:t>
      </w:r>
      <w:r w:rsidR="00E732FB">
        <w:t>Martin and Brown (</w:t>
      </w:r>
      <w:r w:rsidR="00C27BB1">
        <w:t xml:space="preserve">Leibniz </w:t>
      </w:r>
      <w:r w:rsidR="00E732FB">
        <w:t>1988) follow</w:t>
      </w:r>
      <w:r w:rsidR="00CD1758">
        <w:t>s</w:t>
      </w:r>
      <w:r w:rsidR="00E732FB">
        <w:t xml:space="preserve"> the text </w:t>
      </w:r>
      <w:r w:rsidR="00CD1758">
        <w:t>and section headings from Leibniz’s original draft</w:t>
      </w:r>
      <w:r w:rsidR="00E732FB">
        <w:t xml:space="preserve"> (1)</w:t>
      </w:r>
      <w:r w:rsidR="00CD1758">
        <w:t xml:space="preserve">, </w:t>
      </w:r>
      <w:r w:rsidR="008620C8">
        <w:t>with</w:t>
      </w:r>
      <w:r w:rsidR="00CD1758">
        <w:t xml:space="preserve"> Leibniz’s corrections in the fair copy (2) </w:t>
      </w:r>
      <w:r w:rsidR="008620C8">
        <w:t xml:space="preserve">also marked, </w:t>
      </w:r>
      <w:r w:rsidR="00CD1758">
        <w:t>and the separate document of section headings (3) printed as an appendix</w:t>
      </w:r>
      <w:r w:rsidR="00B21373">
        <w:t xml:space="preserve">. Those approaching the </w:t>
      </w:r>
      <w:r w:rsidR="008474E0">
        <w:t>“</w:t>
      </w:r>
      <w:r w:rsidR="00B21373" w:rsidRPr="008474E0">
        <w:t>Discourse</w:t>
      </w:r>
      <w:r w:rsidR="008474E0">
        <w:t>”</w:t>
      </w:r>
      <w:r w:rsidR="00B21373">
        <w:t xml:space="preserve"> should therefore</w:t>
      </w:r>
      <w:r w:rsidR="00E732FB">
        <w:t xml:space="preserve"> keep in mind that the various translations available are not all based on the same manuscript or combinations of manuscripts.</w:t>
      </w:r>
    </w:p>
    <w:p w:rsidR="00CC2E8D" w:rsidRPr="00C50253" w:rsidRDefault="00D55E2A" w:rsidP="007327D2">
      <w:pPr>
        <w:spacing w:line="480" w:lineRule="auto"/>
      </w:pPr>
      <w:r>
        <w:tab/>
        <w:t xml:space="preserve">What, then, of the text’s contents? </w:t>
      </w:r>
      <w:r w:rsidR="00CC2E8D">
        <w:t xml:space="preserve">In his letter to the Landgrave, Leibniz </w:t>
      </w:r>
      <w:r w:rsidR="002B5400">
        <w:t>identifie</w:t>
      </w:r>
      <w:r w:rsidR="00CC2E8D">
        <w:t xml:space="preserve">s the principal topics of the </w:t>
      </w:r>
      <w:r w:rsidR="008474E0">
        <w:t>“</w:t>
      </w:r>
      <w:r w:rsidR="00CC2E8D" w:rsidRPr="008474E0">
        <w:t>Discourse</w:t>
      </w:r>
      <w:r w:rsidR="008474E0">
        <w:t>”</w:t>
      </w:r>
      <w:r w:rsidR="00CC2E8D">
        <w:t xml:space="preserve"> </w:t>
      </w:r>
      <w:r w:rsidR="002B5400">
        <w:t xml:space="preserve">as </w:t>
      </w:r>
      <w:r w:rsidR="004B01A7">
        <w:t>“</w:t>
      </w:r>
      <w:r w:rsidR="00CC2E8D">
        <w:t>questions about grace, God’s concurrence with creatures, the nature of miracles, the cause of sin and the origin of evil, the immortality of the soul, [and] ideas</w:t>
      </w:r>
      <w:r w:rsidR="004B01A7">
        <w:t>”</w:t>
      </w:r>
      <w:r w:rsidR="00CC2E8D">
        <w:t xml:space="preserve"> (A II</w:t>
      </w:r>
      <w:r w:rsidR="00BE64BB">
        <w:t xml:space="preserve"> 2:</w:t>
      </w:r>
      <w:r w:rsidR="00CC2E8D">
        <w:t xml:space="preserve"> 3-4/LA</w:t>
      </w:r>
      <w:r w:rsidR="008474E0">
        <w:t>R</w:t>
      </w:r>
      <w:r w:rsidR="00CC2E8D">
        <w:t xml:space="preserve"> </w:t>
      </w:r>
      <w:r w:rsidR="0055455F">
        <w:t>3</w:t>
      </w:r>
      <w:r w:rsidR="00CC2E8D">
        <w:t>).</w:t>
      </w:r>
      <w:r w:rsidR="002B5400">
        <w:t xml:space="preserve"> This, as we shall see, is somewhat misleading, </w:t>
      </w:r>
      <w:r w:rsidR="00D5744A">
        <w:t>as these topics occupy</w:t>
      </w:r>
      <w:r w:rsidR="002B5400">
        <w:t xml:space="preserve"> </w:t>
      </w:r>
      <w:r w:rsidR="00047121">
        <w:t>less than</w:t>
      </w:r>
      <w:r w:rsidR="002B5400">
        <w:t xml:space="preserve"> a third of the text</w:t>
      </w:r>
      <w:r w:rsidR="00D5744A">
        <w:t xml:space="preserve">, which is concerned with many other thorny matters, such as God’s choice of the best, the nature of substance, final causes, and the relationship between soul and body. We can </w:t>
      </w:r>
      <w:r w:rsidR="00AA1CF3">
        <w:t xml:space="preserve">fruitfully distil the themes of the </w:t>
      </w:r>
      <w:r w:rsidR="008474E0">
        <w:t>“</w:t>
      </w:r>
      <w:r w:rsidR="00AA1CF3" w:rsidRPr="008474E0">
        <w:t>Discourse</w:t>
      </w:r>
      <w:r w:rsidR="008474E0">
        <w:t>”</w:t>
      </w:r>
      <w:r w:rsidR="00AA1CF3">
        <w:t xml:space="preserve"> down to: God</w:t>
      </w:r>
      <w:r w:rsidR="00B30431">
        <w:t xml:space="preserve"> and hi</w:t>
      </w:r>
      <w:r w:rsidR="00AA1CF3">
        <w:t>s choice of the best (</w:t>
      </w:r>
      <w:r w:rsidR="00AA1CF3">
        <w:rPr>
          <w:rFonts w:cs="Times New Roman"/>
        </w:rPr>
        <w:t>§§</w:t>
      </w:r>
      <w:r w:rsidR="00AA1CF3">
        <w:t>1-7), substance (</w:t>
      </w:r>
      <w:r w:rsidR="00AA1CF3">
        <w:rPr>
          <w:rFonts w:cs="Times New Roman"/>
        </w:rPr>
        <w:t>§§</w:t>
      </w:r>
      <w:r w:rsidR="00AA1CF3">
        <w:t>8-16), physics (</w:t>
      </w:r>
      <w:r w:rsidR="00AA1CF3">
        <w:rPr>
          <w:rFonts w:cs="Times New Roman"/>
        </w:rPr>
        <w:t>§§</w:t>
      </w:r>
      <w:r w:rsidR="00AA1CF3">
        <w:t>17-22), and the relationship between God and minds (</w:t>
      </w:r>
      <w:r w:rsidR="00AA1CF3">
        <w:rPr>
          <w:rFonts w:cs="Times New Roman"/>
        </w:rPr>
        <w:t>§§</w:t>
      </w:r>
      <w:r w:rsidR="0055455F">
        <w:rPr>
          <w:rFonts w:cs="Times New Roman"/>
        </w:rPr>
        <w:t>2</w:t>
      </w:r>
      <w:r w:rsidR="00AA1CF3">
        <w:t>3-37). In what follows</w:t>
      </w:r>
      <w:r w:rsidR="00C50253">
        <w:t xml:space="preserve">, I shall </w:t>
      </w:r>
      <w:r w:rsidR="00AE23D5">
        <w:t>broadly follow each of these themes, outlining their key topics and doctrines</w:t>
      </w:r>
      <w:r w:rsidR="00C50253">
        <w:t xml:space="preserve">, and end by considering what (aside from </w:t>
      </w:r>
      <w:r>
        <w:t xml:space="preserve">his </w:t>
      </w:r>
      <w:r w:rsidR="00C50253">
        <w:t>having nothing</w:t>
      </w:r>
      <w:r w:rsidR="002500CA">
        <w:t xml:space="preserve"> else </w:t>
      </w:r>
      <w:r w:rsidR="00C50253">
        <w:t xml:space="preserve">to do!) prompted Leibniz to write the </w:t>
      </w:r>
      <w:r w:rsidR="008474E0">
        <w:t>“</w:t>
      </w:r>
      <w:r w:rsidR="00C50253" w:rsidRPr="008474E0">
        <w:t>Discourse</w:t>
      </w:r>
      <w:r w:rsidR="008474E0">
        <w:t>”</w:t>
      </w:r>
      <w:r w:rsidR="00C50253">
        <w:t>.</w:t>
      </w:r>
    </w:p>
    <w:p w:rsidR="004D3107" w:rsidRDefault="004D3107" w:rsidP="007327D2">
      <w:pPr>
        <w:spacing w:line="480" w:lineRule="auto"/>
        <w:rPr>
          <w:rFonts w:cs="Times New Roman"/>
          <w:szCs w:val="24"/>
        </w:rPr>
      </w:pPr>
    </w:p>
    <w:p w:rsidR="00E84FC5" w:rsidRPr="00D5744A" w:rsidRDefault="00AB0504" w:rsidP="007327D2">
      <w:pPr>
        <w:spacing w:line="480" w:lineRule="auto"/>
        <w:rPr>
          <w:rFonts w:cs="Times New Roman"/>
          <w:b/>
          <w:szCs w:val="24"/>
        </w:rPr>
      </w:pPr>
      <w:r>
        <w:rPr>
          <w:rFonts w:cs="Times New Roman"/>
          <w:b/>
          <w:szCs w:val="24"/>
        </w:rPr>
        <w:t xml:space="preserve">1. </w:t>
      </w:r>
      <w:r w:rsidR="00E84FC5" w:rsidRPr="00D5744A">
        <w:rPr>
          <w:rFonts w:cs="Times New Roman"/>
          <w:b/>
          <w:szCs w:val="24"/>
        </w:rPr>
        <w:t>God</w:t>
      </w:r>
      <w:r w:rsidR="007927D2">
        <w:rPr>
          <w:rFonts w:cs="Times New Roman"/>
          <w:b/>
          <w:szCs w:val="24"/>
        </w:rPr>
        <w:t xml:space="preserve"> and Hi</w:t>
      </w:r>
      <w:r w:rsidR="00D5744A" w:rsidRPr="00D5744A">
        <w:rPr>
          <w:rFonts w:cs="Times New Roman"/>
          <w:b/>
          <w:szCs w:val="24"/>
        </w:rPr>
        <w:t xml:space="preserve">s </w:t>
      </w:r>
      <w:r w:rsidR="008474E0">
        <w:rPr>
          <w:rFonts w:cs="Times New Roman"/>
          <w:b/>
          <w:szCs w:val="24"/>
        </w:rPr>
        <w:t>c</w:t>
      </w:r>
      <w:r w:rsidR="00D5744A" w:rsidRPr="00D5744A">
        <w:rPr>
          <w:rFonts w:cs="Times New Roman"/>
          <w:b/>
          <w:szCs w:val="24"/>
        </w:rPr>
        <w:t xml:space="preserve">hoice of the </w:t>
      </w:r>
      <w:r w:rsidR="008474E0">
        <w:rPr>
          <w:rFonts w:cs="Times New Roman"/>
          <w:b/>
          <w:szCs w:val="24"/>
        </w:rPr>
        <w:t>b</w:t>
      </w:r>
      <w:r w:rsidR="00D5744A" w:rsidRPr="00D5744A">
        <w:rPr>
          <w:rFonts w:cs="Times New Roman"/>
          <w:b/>
          <w:szCs w:val="24"/>
        </w:rPr>
        <w:t>est (§§1-7)</w:t>
      </w:r>
    </w:p>
    <w:p w:rsidR="00E315F8" w:rsidRDefault="007927D2" w:rsidP="007327D2">
      <w:pPr>
        <w:spacing w:line="480" w:lineRule="auto"/>
        <w:rPr>
          <w:rFonts w:cs="Times New Roman"/>
          <w:szCs w:val="24"/>
        </w:rPr>
      </w:pPr>
      <w:r>
        <w:rPr>
          <w:rFonts w:cs="Times New Roman"/>
          <w:szCs w:val="24"/>
        </w:rPr>
        <w:t xml:space="preserve">The </w:t>
      </w:r>
      <w:r w:rsidR="008474E0">
        <w:rPr>
          <w:rFonts w:cs="Times New Roman"/>
          <w:szCs w:val="24"/>
        </w:rPr>
        <w:t>“</w:t>
      </w:r>
      <w:r w:rsidRPr="008474E0">
        <w:rPr>
          <w:rFonts w:cs="Times New Roman"/>
          <w:szCs w:val="24"/>
        </w:rPr>
        <w:t>Discourse</w:t>
      </w:r>
      <w:r w:rsidR="008474E0">
        <w:rPr>
          <w:rFonts w:cs="Times New Roman"/>
          <w:szCs w:val="24"/>
        </w:rPr>
        <w:t>”</w:t>
      </w:r>
      <w:r>
        <w:rPr>
          <w:rFonts w:cs="Times New Roman"/>
          <w:szCs w:val="24"/>
        </w:rPr>
        <w:t xml:space="preserve"> begins with God, who is </w:t>
      </w:r>
      <w:r w:rsidR="002C6821">
        <w:rPr>
          <w:rFonts w:cs="Times New Roman"/>
          <w:szCs w:val="24"/>
        </w:rPr>
        <w:t xml:space="preserve">almost </w:t>
      </w:r>
      <w:r>
        <w:rPr>
          <w:rFonts w:cs="Times New Roman"/>
          <w:szCs w:val="24"/>
        </w:rPr>
        <w:t>o</w:t>
      </w:r>
      <w:r w:rsidR="00E27049">
        <w:rPr>
          <w:rFonts w:cs="Times New Roman"/>
          <w:szCs w:val="24"/>
        </w:rPr>
        <w:t>mnipresent throughout the text</w:t>
      </w:r>
      <w:r>
        <w:rPr>
          <w:rFonts w:cs="Times New Roman"/>
          <w:szCs w:val="24"/>
        </w:rPr>
        <w:t>.</w:t>
      </w:r>
      <w:r w:rsidR="002C6821">
        <w:rPr>
          <w:rStyle w:val="FootnoteReference"/>
          <w:rFonts w:cs="Times New Roman"/>
          <w:szCs w:val="24"/>
        </w:rPr>
        <w:footnoteReference w:id="14"/>
      </w:r>
      <w:r>
        <w:rPr>
          <w:rFonts w:cs="Times New Roman"/>
          <w:szCs w:val="24"/>
        </w:rPr>
        <w:t xml:space="preserve"> Given the central role God plays in </w:t>
      </w:r>
      <w:r w:rsidR="00483275">
        <w:rPr>
          <w:rFonts w:cs="Times New Roman"/>
          <w:szCs w:val="24"/>
        </w:rPr>
        <w:t xml:space="preserve">the </w:t>
      </w:r>
      <w:r>
        <w:rPr>
          <w:rFonts w:cs="Times New Roman"/>
          <w:szCs w:val="24"/>
        </w:rPr>
        <w:t xml:space="preserve">metaphysical system sketched out in the </w:t>
      </w:r>
      <w:r w:rsidR="008474E0">
        <w:rPr>
          <w:rFonts w:cs="Times New Roman"/>
          <w:szCs w:val="24"/>
        </w:rPr>
        <w:t>“</w:t>
      </w:r>
      <w:r w:rsidR="00B30431" w:rsidRPr="008474E0">
        <w:rPr>
          <w:rFonts w:cs="Times New Roman"/>
          <w:szCs w:val="24"/>
        </w:rPr>
        <w:t>Discourse</w:t>
      </w:r>
      <w:r w:rsidR="008474E0">
        <w:rPr>
          <w:rFonts w:cs="Times New Roman"/>
          <w:szCs w:val="24"/>
        </w:rPr>
        <w:t>”</w:t>
      </w:r>
      <w:r>
        <w:rPr>
          <w:rFonts w:cs="Times New Roman"/>
          <w:szCs w:val="24"/>
        </w:rPr>
        <w:t>, it is perhaps surprising that Leibniz makes no effort to prove God’s existence; instead, he opts to begin with God’s nature.</w:t>
      </w:r>
      <w:r w:rsidR="002C6821">
        <w:rPr>
          <w:rFonts w:cs="Times New Roman"/>
          <w:szCs w:val="24"/>
        </w:rPr>
        <w:t xml:space="preserve"> In §1, a</w:t>
      </w:r>
      <w:r w:rsidR="002C6821" w:rsidRPr="002C6821">
        <w:rPr>
          <w:rFonts w:cs="Times New Roman"/>
          <w:szCs w:val="24"/>
        </w:rPr>
        <w:t xml:space="preserve">fter defining God as </w:t>
      </w:r>
      <w:r w:rsidR="004B01A7">
        <w:rPr>
          <w:rFonts w:cs="Times New Roman"/>
          <w:szCs w:val="24"/>
        </w:rPr>
        <w:t>“</w:t>
      </w:r>
      <w:r w:rsidR="002C6821" w:rsidRPr="002C6821">
        <w:rPr>
          <w:rFonts w:cs="Times New Roman"/>
          <w:szCs w:val="24"/>
        </w:rPr>
        <w:t>an absolutely perfect being</w:t>
      </w:r>
      <w:r w:rsidR="004B01A7">
        <w:rPr>
          <w:rFonts w:cs="Times New Roman"/>
          <w:szCs w:val="24"/>
        </w:rPr>
        <w:t>”</w:t>
      </w:r>
      <w:r w:rsidR="002C6821" w:rsidRPr="002C6821">
        <w:rPr>
          <w:rFonts w:cs="Times New Roman"/>
          <w:szCs w:val="24"/>
        </w:rPr>
        <w:t xml:space="preserve">, who has </w:t>
      </w:r>
      <w:r w:rsidR="002C6821">
        <w:rPr>
          <w:rFonts w:cs="Times New Roman"/>
          <w:szCs w:val="24"/>
        </w:rPr>
        <w:t>the supreme degree of power and knowledge</w:t>
      </w:r>
      <w:r w:rsidR="002C6821" w:rsidRPr="002C6821">
        <w:rPr>
          <w:rFonts w:cs="Times New Roman"/>
          <w:szCs w:val="24"/>
        </w:rPr>
        <w:t xml:space="preserve">, Leibniz claims </w:t>
      </w:r>
      <w:r w:rsidR="004B01A7">
        <w:rPr>
          <w:rFonts w:cs="Times New Roman"/>
          <w:szCs w:val="24"/>
        </w:rPr>
        <w:t>“</w:t>
      </w:r>
      <w:r w:rsidR="002C6821" w:rsidRPr="002C6821">
        <w:rPr>
          <w:rFonts w:cs="Times New Roman"/>
          <w:szCs w:val="24"/>
        </w:rPr>
        <w:t xml:space="preserve">Hence it follows that God, who possesses supreme and infinite wisdom, acts in the most perfect way, not only in the metaphysical </w:t>
      </w:r>
      <w:r w:rsidR="002C6821">
        <w:rPr>
          <w:rFonts w:cs="Times New Roman"/>
          <w:szCs w:val="24"/>
        </w:rPr>
        <w:t>sense but also morally speaking</w:t>
      </w:r>
      <w:r w:rsidR="004B01A7">
        <w:rPr>
          <w:rFonts w:cs="Times New Roman"/>
          <w:szCs w:val="24"/>
        </w:rPr>
        <w:t>”</w:t>
      </w:r>
      <w:r w:rsidR="002C6821">
        <w:rPr>
          <w:rFonts w:cs="Times New Roman"/>
          <w:szCs w:val="24"/>
        </w:rPr>
        <w:t xml:space="preserve"> (A VI 4</w:t>
      </w:r>
      <w:r w:rsidR="000D2F60">
        <w:rPr>
          <w:rFonts w:cs="Times New Roman"/>
          <w:szCs w:val="24"/>
        </w:rPr>
        <w:t>:</w:t>
      </w:r>
      <w:r w:rsidR="002C6821">
        <w:rPr>
          <w:rFonts w:cs="Times New Roman"/>
          <w:szCs w:val="24"/>
        </w:rPr>
        <w:t xml:space="preserve"> 1531/PPL 303). </w:t>
      </w:r>
      <w:r w:rsidR="00F53FB8">
        <w:rPr>
          <w:rFonts w:cs="Times New Roman"/>
          <w:szCs w:val="24"/>
        </w:rPr>
        <w:t xml:space="preserve">In saying </w:t>
      </w:r>
      <w:r w:rsidR="004B01A7">
        <w:rPr>
          <w:rFonts w:cs="Times New Roman"/>
          <w:szCs w:val="24"/>
        </w:rPr>
        <w:t>“it follows”</w:t>
      </w:r>
      <w:r w:rsidR="00F53FB8">
        <w:rPr>
          <w:rFonts w:cs="Times New Roman"/>
          <w:szCs w:val="24"/>
        </w:rPr>
        <w:t xml:space="preserve"> </w:t>
      </w:r>
      <w:r w:rsidR="002C6821">
        <w:rPr>
          <w:rFonts w:cs="Times New Roman"/>
          <w:szCs w:val="24"/>
        </w:rPr>
        <w:t xml:space="preserve">that God acts in the most perfect way </w:t>
      </w:r>
      <w:r w:rsidR="00F53FB8">
        <w:rPr>
          <w:rFonts w:cs="Times New Roman"/>
          <w:szCs w:val="24"/>
        </w:rPr>
        <w:t xml:space="preserve">Leibniz does not indicate whether he means it follows </w:t>
      </w:r>
      <w:r w:rsidR="00C12C25">
        <w:rPr>
          <w:rFonts w:cs="Times New Roman"/>
          <w:i/>
          <w:szCs w:val="24"/>
        </w:rPr>
        <w:t>metaphysically</w:t>
      </w:r>
      <w:r w:rsidR="00F53FB8">
        <w:rPr>
          <w:rFonts w:cs="Times New Roman"/>
          <w:szCs w:val="24"/>
        </w:rPr>
        <w:t xml:space="preserve">, such that a perfect being must necessarily </w:t>
      </w:r>
      <w:r w:rsidR="002C6821">
        <w:rPr>
          <w:rFonts w:cs="Times New Roman"/>
          <w:szCs w:val="24"/>
        </w:rPr>
        <w:t>act in the most perfect way</w:t>
      </w:r>
      <w:r w:rsidR="00F53FB8">
        <w:rPr>
          <w:rFonts w:cs="Times New Roman"/>
          <w:szCs w:val="24"/>
        </w:rPr>
        <w:t xml:space="preserve">, or </w:t>
      </w:r>
      <w:r w:rsidR="002C6821">
        <w:rPr>
          <w:rFonts w:cs="Times New Roman"/>
          <w:szCs w:val="24"/>
        </w:rPr>
        <w:t xml:space="preserve">whether he has </w:t>
      </w:r>
      <w:r w:rsidR="00F53FB8">
        <w:rPr>
          <w:rFonts w:cs="Times New Roman"/>
          <w:szCs w:val="24"/>
        </w:rPr>
        <w:t>some less strict entailment</w:t>
      </w:r>
      <w:r w:rsidR="002C6821">
        <w:rPr>
          <w:rFonts w:cs="Times New Roman"/>
          <w:szCs w:val="24"/>
        </w:rPr>
        <w:t xml:space="preserve"> in mind</w:t>
      </w:r>
      <w:r w:rsidR="00F53FB8">
        <w:rPr>
          <w:rFonts w:cs="Times New Roman"/>
          <w:szCs w:val="24"/>
        </w:rPr>
        <w:t>.</w:t>
      </w:r>
      <w:r w:rsidR="00757554">
        <w:rPr>
          <w:rFonts w:cs="Times New Roman"/>
          <w:szCs w:val="24"/>
        </w:rPr>
        <w:t xml:space="preserve"> </w:t>
      </w:r>
      <w:r w:rsidR="00757554" w:rsidRPr="00757554">
        <w:rPr>
          <w:rFonts w:cs="Times New Roman"/>
          <w:szCs w:val="24"/>
        </w:rPr>
        <w:t xml:space="preserve">This is clarified only in </w:t>
      </w:r>
      <w:r w:rsidR="00757554">
        <w:rPr>
          <w:rFonts w:cs="Times New Roman"/>
          <w:szCs w:val="24"/>
        </w:rPr>
        <w:t>§</w:t>
      </w:r>
      <w:r w:rsidR="00757554" w:rsidRPr="00757554">
        <w:rPr>
          <w:rFonts w:cs="Times New Roman"/>
          <w:szCs w:val="24"/>
        </w:rPr>
        <w:t xml:space="preserve">13, </w:t>
      </w:r>
      <w:r w:rsidR="00C12C25">
        <w:rPr>
          <w:rFonts w:cs="Times New Roman"/>
          <w:szCs w:val="24"/>
        </w:rPr>
        <w:t>where</w:t>
      </w:r>
      <w:r w:rsidR="00757554">
        <w:rPr>
          <w:rFonts w:cs="Times New Roman"/>
          <w:szCs w:val="24"/>
        </w:rPr>
        <w:t xml:space="preserve"> Leibniz claims that </w:t>
      </w:r>
      <w:r w:rsidR="00A813BB">
        <w:rPr>
          <w:rFonts w:cs="Times New Roman"/>
          <w:szCs w:val="24"/>
        </w:rPr>
        <w:t xml:space="preserve">it was </w:t>
      </w:r>
      <w:r w:rsidR="00757554">
        <w:rPr>
          <w:rFonts w:cs="Times New Roman"/>
          <w:szCs w:val="24"/>
        </w:rPr>
        <w:t>God’</w:t>
      </w:r>
      <w:r w:rsidR="00757554" w:rsidRPr="00757554">
        <w:rPr>
          <w:rFonts w:cs="Times New Roman"/>
          <w:szCs w:val="24"/>
        </w:rPr>
        <w:t xml:space="preserve">s </w:t>
      </w:r>
      <w:r w:rsidR="004B01A7">
        <w:rPr>
          <w:rFonts w:cs="Times New Roman"/>
          <w:szCs w:val="24"/>
        </w:rPr>
        <w:t>“</w:t>
      </w:r>
      <w:r w:rsidR="00757554" w:rsidRPr="00757554">
        <w:rPr>
          <w:rFonts w:cs="Times New Roman"/>
          <w:szCs w:val="24"/>
        </w:rPr>
        <w:t>first free decree</w:t>
      </w:r>
      <w:r w:rsidR="000D2F60">
        <w:rPr>
          <w:rFonts w:cs="Times New Roman"/>
          <w:szCs w:val="24"/>
        </w:rPr>
        <w:t xml:space="preserve"> . . . </w:t>
      </w:r>
      <w:r w:rsidR="00757554" w:rsidRPr="00757554">
        <w:rPr>
          <w:rFonts w:cs="Times New Roman"/>
          <w:szCs w:val="24"/>
        </w:rPr>
        <w:t>always to do what is most perfect</w:t>
      </w:r>
      <w:r w:rsidR="004B01A7">
        <w:rPr>
          <w:rFonts w:cs="Times New Roman"/>
          <w:szCs w:val="24"/>
        </w:rPr>
        <w:t>”</w:t>
      </w:r>
      <w:r w:rsidR="00757554" w:rsidRPr="00757554">
        <w:rPr>
          <w:rFonts w:cs="Times New Roman"/>
          <w:szCs w:val="24"/>
        </w:rPr>
        <w:t xml:space="preserve"> and that other courses of action were possible</w:t>
      </w:r>
      <w:r w:rsidR="00A813BB">
        <w:rPr>
          <w:rFonts w:cs="Times New Roman"/>
          <w:szCs w:val="24"/>
        </w:rPr>
        <w:t xml:space="preserve"> for him but were rejected on account of being less attractive</w:t>
      </w:r>
      <w:r w:rsidR="00131623">
        <w:rPr>
          <w:rFonts w:cs="Times New Roman"/>
          <w:szCs w:val="24"/>
        </w:rPr>
        <w:t xml:space="preserve"> </w:t>
      </w:r>
      <w:r w:rsidR="00131623" w:rsidRPr="00757554">
        <w:rPr>
          <w:rFonts w:cs="Times New Roman"/>
          <w:szCs w:val="24"/>
        </w:rPr>
        <w:t>(A VI 4</w:t>
      </w:r>
      <w:r w:rsidR="000D2F60">
        <w:rPr>
          <w:rFonts w:cs="Times New Roman"/>
          <w:szCs w:val="24"/>
        </w:rPr>
        <w:t>:</w:t>
      </w:r>
      <w:r w:rsidR="00131623" w:rsidRPr="00757554">
        <w:rPr>
          <w:rFonts w:cs="Times New Roman"/>
          <w:szCs w:val="24"/>
        </w:rPr>
        <w:t xml:space="preserve"> 1548/PPL 311)</w:t>
      </w:r>
      <w:r w:rsidR="00131623">
        <w:rPr>
          <w:rFonts w:cs="Times New Roman"/>
          <w:szCs w:val="24"/>
        </w:rPr>
        <w:t>.</w:t>
      </w:r>
      <w:r w:rsidR="0000004C">
        <w:rPr>
          <w:rStyle w:val="FootnoteReference"/>
          <w:rFonts w:cs="Times New Roman"/>
          <w:szCs w:val="24"/>
        </w:rPr>
        <w:footnoteReference w:id="15"/>
      </w:r>
      <w:r w:rsidR="00131623">
        <w:rPr>
          <w:rFonts w:cs="Times New Roman"/>
          <w:szCs w:val="24"/>
        </w:rPr>
        <w:t xml:space="preserve"> H</w:t>
      </w:r>
      <w:r w:rsidR="00E315F8">
        <w:rPr>
          <w:rFonts w:cs="Times New Roman"/>
          <w:szCs w:val="24"/>
        </w:rPr>
        <w:t xml:space="preserve">aving established that God always acts in the most perfect way, Leibniz </w:t>
      </w:r>
      <w:r w:rsidR="00131623">
        <w:rPr>
          <w:rFonts w:cs="Times New Roman"/>
          <w:szCs w:val="24"/>
        </w:rPr>
        <w:t>conclude</w:t>
      </w:r>
      <w:r w:rsidR="00E315F8">
        <w:rPr>
          <w:rFonts w:cs="Times New Roman"/>
          <w:szCs w:val="24"/>
        </w:rPr>
        <w:t xml:space="preserve">s that </w:t>
      </w:r>
      <w:r w:rsidR="004B01A7">
        <w:rPr>
          <w:rFonts w:cs="Times New Roman"/>
          <w:szCs w:val="24"/>
        </w:rPr>
        <w:t>“</w:t>
      </w:r>
      <w:r w:rsidR="00E315F8" w:rsidRPr="00E315F8">
        <w:rPr>
          <w:rFonts w:cs="Times New Roman"/>
          <w:szCs w:val="24"/>
        </w:rPr>
        <w:t>the more enlightened and informed we are about the works of God, the more we shall be disposed to find them excellent and entirely in keeping</w:t>
      </w:r>
      <w:r w:rsidR="00E27049">
        <w:rPr>
          <w:rFonts w:cs="Times New Roman"/>
          <w:szCs w:val="24"/>
        </w:rPr>
        <w:t xml:space="preserve"> with everything we could have </w:t>
      </w:r>
      <w:r w:rsidR="00E315F8" w:rsidRPr="00E315F8">
        <w:rPr>
          <w:rFonts w:cs="Times New Roman"/>
          <w:szCs w:val="24"/>
        </w:rPr>
        <w:t>desired</w:t>
      </w:r>
      <w:r w:rsidR="004B01A7">
        <w:rPr>
          <w:rFonts w:cs="Times New Roman"/>
          <w:szCs w:val="24"/>
        </w:rPr>
        <w:t>”</w:t>
      </w:r>
      <w:r w:rsidR="00E315F8">
        <w:rPr>
          <w:rFonts w:cs="Times New Roman"/>
          <w:szCs w:val="24"/>
        </w:rPr>
        <w:t xml:space="preserve"> (A VI 4</w:t>
      </w:r>
      <w:r w:rsidR="000D2F60">
        <w:rPr>
          <w:rFonts w:cs="Times New Roman"/>
          <w:szCs w:val="24"/>
        </w:rPr>
        <w:t>:</w:t>
      </w:r>
      <w:r w:rsidR="00E315F8">
        <w:rPr>
          <w:rFonts w:cs="Times New Roman"/>
          <w:szCs w:val="24"/>
        </w:rPr>
        <w:t xml:space="preserve"> </w:t>
      </w:r>
      <w:r w:rsidR="00E960DE">
        <w:rPr>
          <w:rFonts w:cs="Times New Roman"/>
          <w:szCs w:val="24"/>
        </w:rPr>
        <w:t>1531</w:t>
      </w:r>
      <w:r w:rsidR="00E315F8">
        <w:rPr>
          <w:rFonts w:cs="Times New Roman"/>
          <w:szCs w:val="24"/>
        </w:rPr>
        <w:t>/PPL 303-4).</w:t>
      </w:r>
    </w:p>
    <w:p w:rsidR="0024224B" w:rsidRDefault="006C5BF1" w:rsidP="007327D2">
      <w:pPr>
        <w:spacing w:line="480" w:lineRule="auto"/>
        <w:rPr>
          <w:rFonts w:cs="Times New Roman"/>
          <w:szCs w:val="24"/>
        </w:rPr>
      </w:pPr>
      <w:r>
        <w:rPr>
          <w:rFonts w:cs="Times New Roman"/>
          <w:szCs w:val="24"/>
        </w:rPr>
        <w:tab/>
      </w:r>
      <w:r w:rsidR="00246FDB">
        <w:rPr>
          <w:rFonts w:cs="Times New Roman"/>
          <w:szCs w:val="24"/>
        </w:rPr>
        <w:t xml:space="preserve">In §§2-3, Leibniz </w:t>
      </w:r>
      <w:r w:rsidR="00E661B3">
        <w:rPr>
          <w:rFonts w:cs="Times New Roman"/>
          <w:szCs w:val="24"/>
        </w:rPr>
        <w:t>defend</w:t>
      </w:r>
      <w:r w:rsidR="00E315F8">
        <w:rPr>
          <w:rFonts w:cs="Times New Roman"/>
          <w:szCs w:val="24"/>
        </w:rPr>
        <w:t>s the key claim of §1 about the excellence of God’s works</w:t>
      </w:r>
      <w:r w:rsidR="00246FDB">
        <w:rPr>
          <w:rFonts w:cs="Times New Roman"/>
          <w:szCs w:val="24"/>
        </w:rPr>
        <w:t xml:space="preserve"> </w:t>
      </w:r>
      <w:r w:rsidR="00E661B3">
        <w:rPr>
          <w:rFonts w:cs="Times New Roman"/>
          <w:szCs w:val="24"/>
        </w:rPr>
        <w:t xml:space="preserve">against alternative </w:t>
      </w:r>
      <w:r>
        <w:rPr>
          <w:rFonts w:cs="Times New Roman"/>
          <w:szCs w:val="24"/>
        </w:rPr>
        <w:t>view</w:t>
      </w:r>
      <w:r w:rsidR="00E315F8">
        <w:rPr>
          <w:rFonts w:cs="Times New Roman"/>
          <w:szCs w:val="24"/>
        </w:rPr>
        <w:t>s</w:t>
      </w:r>
      <w:r w:rsidR="00E661B3">
        <w:rPr>
          <w:rFonts w:cs="Times New Roman"/>
          <w:szCs w:val="24"/>
        </w:rPr>
        <w:t xml:space="preserve"> </w:t>
      </w:r>
      <w:r>
        <w:rPr>
          <w:rFonts w:cs="Times New Roman"/>
          <w:szCs w:val="24"/>
        </w:rPr>
        <w:t>foun</w:t>
      </w:r>
      <w:r w:rsidR="00E661B3">
        <w:rPr>
          <w:rFonts w:cs="Times New Roman"/>
          <w:szCs w:val="24"/>
        </w:rPr>
        <w:t xml:space="preserve">d </w:t>
      </w:r>
      <w:r>
        <w:rPr>
          <w:rFonts w:cs="Times New Roman"/>
          <w:szCs w:val="24"/>
        </w:rPr>
        <w:t>in the work of</w:t>
      </w:r>
      <w:r w:rsidR="00246FDB">
        <w:rPr>
          <w:rFonts w:cs="Times New Roman"/>
          <w:szCs w:val="24"/>
        </w:rPr>
        <w:t xml:space="preserve"> two of the most influential philosophers of </w:t>
      </w:r>
      <w:r w:rsidR="00E661B3">
        <w:rPr>
          <w:rFonts w:cs="Times New Roman"/>
          <w:szCs w:val="24"/>
        </w:rPr>
        <w:t>the seventeenth century</w:t>
      </w:r>
      <w:r w:rsidR="00246FDB">
        <w:rPr>
          <w:rFonts w:cs="Times New Roman"/>
          <w:szCs w:val="24"/>
        </w:rPr>
        <w:t xml:space="preserve">, namely René Descartes (1596-1650) and Nicolas Malebranche (1638-1715) (although Leibniz does not </w:t>
      </w:r>
      <w:r w:rsidR="00131623">
        <w:rPr>
          <w:rFonts w:cs="Times New Roman"/>
          <w:szCs w:val="24"/>
        </w:rPr>
        <w:t xml:space="preserve">here </w:t>
      </w:r>
      <w:r w:rsidR="00246FDB">
        <w:rPr>
          <w:rFonts w:cs="Times New Roman"/>
          <w:szCs w:val="24"/>
        </w:rPr>
        <w:t xml:space="preserve">mention them by name, any philosophically-informed reader of the day </w:t>
      </w:r>
      <w:r w:rsidR="00246FDB" w:rsidRPr="00885E54">
        <w:rPr>
          <w:rFonts w:cs="Times New Roman"/>
          <w:szCs w:val="24"/>
        </w:rPr>
        <w:t xml:space="preserve">would have known who his targets were). </w:t>
      </w:r>
      <w:r w:rsidR="00E661B3" w:rsidRPr="00885E54">
        <w:rPr>
          <w:rFonts w:cs="Times New Roman"/>
          <w:szCs w:val="24"/>
        </w:rPr>
        <w:t xml:space="preserve">In §2, he takes issue with Descartes’ claim that God is not subject to external, objective criteria for goodness or beauty but rather lays down </w:t>
      </w:r>
      <w:r w:rsidRPr="00885E54">
        <w:rPr>
          <w:rFonts w:cs="Times New Roman"/>
          <w:szCs w:val="24"/>
        </w:rPr>
        <w:t>the</w:t>
      </w:r>
      <w:r w:rsidR="00E661B3" w:rsidRPr="00885E54">
        <w:rPr>
          <w:rFonts w:cs="Times New Roman"/>
          <w:szCs w:val="24"/>
        </w:rPr>
        <w:t xml:space="preserve"> criteria </w:t>
      </w:r>
      <w:r w:rsidRPr="00885E54">
        <w:rPr>
          <w:rFonts w:cs="Times New Roman"/>
          <w:szCs w:val="24"/>
        </w:rPr>
        <w:t xml:space="preserve">for goodness </w:t>
      </w:r>
      <w:r w:rsidR="00E661B3" w:rsidRPr="00885E54">
        <w:rPr>
          <w:rFonts w:cs="Times New Roman"/>
          <w:szCs w:val="24"/>
        </w:rPr>
        <w:t>himself.</w:t>
      </w:r>
      <w:r w:rsidR="00E661B3" w:rsidRPr="00885E54">
        <w:rPr>
          <w:rStyle w:val="FootnoteReference"/>
          <w:rFonts w:cs="Times New Roman"/>
          <w:szCs w:val="24"/>
        </w:rPr>
        <w:footnoteReference w:id="16"/>
      </w:r>
      <w:r w:rsidR="00E661B3" w:rsidRPr="00885E54">
        <w:rPr>
          <w:rFonts w:cs="Times New Roman"/>
          <w:szCs w:val="24"/>
        </w:rPr>
        <w:t xml:space="preserve"> </w:t>
      </w:r>
      <w:r w:rsidR="008A09AB" w:rsidRPr="00885E54">
        <w:rPr>
          <w:rFonts w:cs="Times New Roman"/>
          <w:szCs w:val="24"/>
        </w:rPr>
        <w:t xml:space="preserve">Leibniz </w:t>
      </w:r>
      <w:r w:rsidR="00FC0701">
        <w:rPr>
          <w:rFonts w:cs="Times New Roman"/>
          <w:szCs w:val="24"/>
        </w:rPr>
        <w:t>raises two objections to</w:t>
      </w:r>
      <w:r w:rsidR="008A09AB" w:rsidRPr="00885E54">
        <w:rPr>
          <w:rFonts w:cs="Times New Roman"/>
          <w:szCs w:val="24"/>
        </w:rPr>
        <w:t xml:space="preserve"> this suggestion</w:t>
      </w:r>
      <w:r w:rsidR="00FC0701">
        <w:rPr>
          <w:rFonts w:cs="Times New Roman"/>
          <w:szCs w:val="24"/>
        </w:rPr>
        <w:t xml:space="preserve">, both of which </w:t>
      </w:r>
      <w:r w:rsidR="0024224B">
        <w:rPr>
          <w:rFonts w:cs="Times New Roman"/>
          <w:szCs w:val="24"/>
        </w:rPr>
        <w:t xml:space="preserve">he </w:t>
      </w:r>
      <w:r w:rsidR="00FC0701">
        <w:rPr>
          <w:rFonts w:cs="Times New Roman"/>
          <w:szCs w:val="24"/>
        </w:rPr>
        <w:t>had rehearsed</w:t>
      </w:r>
      <w:r w:rsidR="008A09AB" w:rsidRPr="00885E54">
        <w:rPr>
          <w:rFonts w:cs="Times New Roman"/>
          <w:szCs w:val="24"/>
        </w:rPr>
        <w:t xml:space="preserve"> </w:t>
      </w:r>
      <w:r w:rsidR="00FC0701">
        <w:rPr>
          <w:rFonts w:cs="Times New Roman"/>
          <w:szCs w:val="24"/>
        </w:rPr>
        <w:t xml:space="preserve">in a host of </w:t>
      </w:r>
      <w:r w:rsidR="00B30431">
        <w:rPr>
          <w:rFonts w:cs="Times New Roman"/>
          <w:szCs w:val="24"/>
        </w:rPr>
        <w:t xml:space="preserve">anti-Cartesian </w:t>
      </w:r>
      <w:r w:rsidR="00FC0701">
        <w:rPr>
          <w:rFonts w:cs="Times New Roman"/>
          <w:szCs w:val="24"/>
        </w:rPr>
        <w:t>writings from the 1670s onwards</w:t>
      </w:r>
      <w:r w:rsidR="008A09AB" w:rsidRPr="00885E54">
        <w:rPr>
          <w:rFonts w:cs="Times New Roman"/>
          <w:szCs w:val="24"/>
        </w:rPr>
        <w:t>.</w:t>
      </w:r>
      <w:r w:rsidR="000D2F60">
        <w:rPr>
          <w:rStyle w:val="FootnoteReference"/>
          <w:rFonts w:cs="Times New Roman"/>
          <w:szCs w:val="24"/>
        </w:rPr>
        <w:footnoteReference w:id="17"/>
      </w:r>
      <w:r w:rsidR="008A09AB" w:rsidRPr="00885E54">
        <w:rPr>
          <w:rFonts w:cs="Times New Roman"/>
          <w:szCs w:val="24"/>
        </w:rPr>
        <w:t xml:space="preserve"> First, he notes </w:t>
      </w:r>
      <w:r w:rsidR="007003C8" w:rsidRPr="00885E54">
        <w:rPr>
          <w:rFonts w:cs="Times New Roman"/>
          <w:szCs w:val="24"/>
        </w:rPr>
        <w:t xml:space="preserve">that </w:t>
      </w:r>
      <w:r w:rsidR="0024224B">
        <w:rPr>
          <w:rFonts w:cs="Times New Roman"/>
          <w:szCs w:val="24"/>
        </w:rPr>
        <w:t>Descartes’ position</w:t>
      </w:r>
      <w:r w:rsidR="007003C8" w:rsidRPr="00885E54">
        <w:rPr>
          <w:rFonts w:cs="Times New Roman"/>
          <w:szCs w:val="24"/>
        </w:rPr>
        <w:t xml:space="preserve"> conflicts with the Genesis account of creation in which it is stated that, having created the world, God surveyed what he had done and found or saw that it was good</w:t>
      </w:r>
      <w:r w:rsidR="00602DDB">
        <w:rPr>
          <w:rFonts w:cs="Times New Roman"/>
          <w:szCs w:val="24"/>
        </w:rPr>
        <w:t xml:space="preserve"> (Gen</w:t>
      </w:r>
      <w:r w:rsidR="007C3FF9">
        <w:rPr>
          <w:rFonts w:cs="Times New Roman"/>
          <w:szCs w:val="24"/>
        </w:rPr>
        <w:t>esis</w:t>
      </w:r>
      <w:r w:rsidR="00602DDB">
        <w:rPr>
          <w:rFonts w:cs="Times New Roman"/>
          <w:szCs w:val="24"/>
        </w:rPr>
        <w:t xml:space="preserve"> 1</w:t>
      </w:r>
      <w:r w:rsidR="000D2F60">
        <w:rPr>
          <w:rFonts w:cs="Times New Roman"/>
          <w:szCs w:val="24"/>
        </w:rPr>
        <w:t>:</w:t>
      </w:r>
      <w:r w:rsidR="00602DDB">
        <w:rPr>
          <w:rFonts w:cs="Times New Roman"/>
          <w:szCs w:val="24"/>
        </w:rPr>
        <w:t>31)</w:t>
      </w:r>
      <w:r w:rsidR="00885E54">
        <w:rPr>
          <w:rFonts w:cs="Times New Roman"/>
          <w:szCs w:val="24"/>
        </w:rPr>
        <w:t xml:space="preserve">; such </w:t>
      </w:r>
      <w:r w:rsidR="004168D8">
        <w:rPr>
          <w:rFonts w:cs="Times New Roman"/>
          <w:szCs w:val="24"/>
        </w:rPr>
        <w:t>phrasing</w:t>
      </w:r>
      <w:r w:rsidR="00885E54">
        <w:rPr>
          <w:rFonts w:cs="Times New Roman"/>
          <w:szCs w:val="24"/>
        </w:rPr>
        <w:t xml:space="preserve"> </w:t>
      </w:r>
      <w:r w:rsidR="00885E54" w:rsidRPr="00885E54">
        <w:rPr>
          <w:rFonts w:cs="Times New Roman"/>
          <w:szCs w:val="24"/>
        </w:rPr>
        <w:t>suggest</w:t>
      </w:r>
      <w:r w:rsidR="002500CA">
        <w:rPr>
          <w:rFonts w:cs="Times New Roman"/>
          <w:szCs w:val="24"/>
        </w:rPr>
        <w:t>ed</w:t>
      </w:r>
      <w:r w:rsidR="00885E54">
        <w:rPr>
          <w:rFonts w:cs="Times New Roman"/>
          <w:szCs w:val="24"/>
        </w:rPr>
        <w:t xml:space="preserve"> to Leibniz that</w:t>
      </w:r>
      <w:r w:rsidR="00885E54" w:rsidRPr="00885E54">
        <w:rPr>
          <w:rFonts w:cs="Times New Roman"/>
          <w:szCs w:val="24"/>
        </w:rPr>
        <w:t xml:space="preserve"> God </w:t>
      </w:r>
      <w:r w:rsidR="00885E54">
        <w:rPr>
          <w:rFonts w:cs="Times New Roman"/>
          <w:szCs w:val="24"/>
        </w:rPr>
        <w:t>had</w:t>
      </w:r>
      <w:r w:rsidR="00885E54" w:rsidRPr="00885E54">
        <w:rPr>
          <w:rFonts w:cs="Times New Roman"/>
          <w:szCs w:val="24"/>
        </w:rPr>
        <w:t xml:space="preserve"> </w:t>
      </w:r>
      <w:r w:rsidR="00602DDB">
        <w:rPr>
          <w:rFonts w:cs="Times New Roman"/>
          <w:szCs w:val="24"/>
        </w:rPr>
        <w:t>measur</w:t>
      </w:r>
      <w:r w:rsidR="00885E54">
        <w:rPr>
          <w:rFonts w:cs="Times New Roman"/>
          <w:szCs w:val="24"/>
        </w:rPr>
        <w:t>ed his work</w:t>
      </w:r>
      <w:r w:rsidR="00885E54" w:rsidRPr="00885E54">
        <w:rPr>
          <w:rFonts w:cs="Times New Roman"/>
          <w:szCs w:val="24"/>
        </w:rPr>
        <w:t xml:space="preserve"> against </w:t>
      </w:r>
      <w:r w:rsidR="00602DDB">
        <w:rPr>
          <w:rFonts w:cs="Times New Roman"/>
          <w:szCs w:val="24"/>
        </w:rPr>
        <w:t xml:space="preserve">an </w:t>
      </w:r>
      <w:r w:rsidR="00885E54" w:rsidRPr="00885E54">
        <w:rPr>
          <w:rFonts w:cs="Times New Roman"/>
          <w:szCs w:val="24"/>
        </w:rPr>
        <w:t xml:space="preserve">objective </w:t>
      </w:r>
      <w:r w:rsidR="00602DDB">
        <w:rPr>
          <w:rFonts w:cs="Times New Roman"/>
          <w:szCs w:val="24"/>
        </w:rPr>
        <w:t>standard</w:t>
      </w:r>
      <w:r w:rsidR="00885E54" w:rsidRPr="00885E54">
        <w:rPr>
          <w:rFonts w:cs="Times New Roman"/>
          <w:szCs w:val="24"/>
        </w:rPr>
        <w:t xml:space="preserve"> for goodness rather than </w:t>
      </w:r>
      <w:r w:rsidR="00047121">
        <w:rPr>
          <w:rFonts w:cs="Times New Roman"/>
          <w:szCs w:val="24"/>
        </w:rPr>
        <w:t xml:space="preserve">had </w:t>
      </w:r>
      <w:r w:rsidR="00885E54" w:rsidRPr="00885E54">
        <w:rPr>
          <w:rFonts w:cs="Times New Roman"/>
          <w:szCs w:val="24"/>
        </w:rPr>
        <w:t>simply stipulat</w:t>
      </w:r>
      <w:r w:rsidR="004168D8">
        <w:rPr>
          <w:rFonts w:cs="Times New Roman"/>
          <w:szCs w:val="24"/>
        </w:rPr>
        <w:t>ed</w:t>
      </w:r>
      <w:r w:rsidR="00885E54" w:rsidRPr="00885E54">
        <w:rPr>
          <w:rFonts w:cs="Times New Roman"/>
          <w:szCs w:val="24"/>
        </w:rPr>
        <w:t xml:space="preserve"> it to be good</w:t>
      </w:r>
      <w:r w:rsidR="007003C8" w:rsidRPr="00885E54">
        <w:rPr>
          <w:rFonts w:cs="Times New Roman"/>
          <w:szCs w:val="24"/>
        </w:rPr>
        <w:t xml:space="preserve">. </w:t>
      </w:r>
      <w:r w:rsidR="00885E54">
        <w:rPr>
          <w:rFonts w:cs="Times New Roman"/>
          <w:szCs w:val="24"/>
        </w:rPr>
        <w:t xml:space="preserve">Second, he insists that to suppose God chooses the criteria for goodness </w:t>
      </w:r>
      <w:r w:rsidR="00815D2E">
        <w:rPr>
          <w:rFonts w:cs="Times New Roman"/>
          <w:szCs w:val="24"/>
        </w:rPr>
        <w:t xml:space="preserve">is to destroy God’s glory: </w:t>
      </w:r>
      <w:r w:rsidR="004B01A7">
        <w:rPr>
          <w:rFonts w:cs="Times New Roman"/>
          <w:szCs w:val="24"/>
        </w:rPr>
        <w:t>“</w:t>
      </w:r>
      <w:r w:rsidR="00815D2E" w:rsidRPr="00815D2E">
        <w:rPr>
          <w:rFonts w:cs="Times New Roman"/>
          <w:szCs w:val="24"/>
        </w:rPr>
        <w:t>For why praise him for what he has done if he would be equally praiseworthy in doing exactly the opposite?</w:t>
      </w:r>
      <w:r w:rsidR="004B01A7">
        <w:rPr>
          <w:rFonts w:cs="Times New Roman"/>
          <w:szCs w:val="24"/>
        </w:rPr>
        <w:t>”</w:t>
      </w:r>
      <w:r w:rsidR="00815D2E">
        <w:rPr>
          <w:rFonts w:cs="Times New Roman"/>
          <w:szCs w:val="24"/>
        </w:rPr>
        <w:t xml:space="preserve"> (A VI 4</w:t>
      </w:r>
      <w:r w:rsidR="000D2F60">
        <w:rPr>
          <w:rFonts w:cs="Times New Roman"/>
          <w:szCs w:val="24"/>
        </w:rPr>
        <w:t>:</w:t>
      </w:r>
      <w:r w:rsidR="00815D2E">
        <w:rPr>
          <w:rFonts w:cs="Times New Roman"/>
          <w:szCs w:val="24"/>
        </w:rPr>
        <w:t xml:space="preserve"> </w:t>
      </w:r>
      <w:r w:rsidR="004D77F2">
        <w:rPr>
          <w:rFonts w:cs="Times New Roman"/>
          <w:szCs w:val="24"/>
        </w:rPr>
        <w:t>1532-3</w:t>
      </w:r>
      <w:r w:rsidR="00815D2E">
        <w:rPr>
          <w:rFonts w:cs="Times New Roman"/>
          <w:szCs w:val="24"/>
        </w:rPr>
        <w:t>/PPL 304).</w:t>
      </w:r>
      <w:r w:rsidR="004D77F2">
        <w:rPr>
          <w:rStyle w:val="FootnoteReference"/>
          <w:rFonts w:cs="Times New Roman"/>
          <w:szCs w:val="24"/>
        </w:rPr>
        <w:footnoteReference w:id="18"/>
      </w:r>
    </w:p>
    <w:p w:rsidR="00425617" w:rsidRDefault="00B30431" w:rsidP="007327D2">
      <w:pPr>
        <w:spacing w:line="480" w:lineRule="auto"/>
        <w:rPr>
          <w:rFonts w:cs="Times New Roman"/>
          <w:szCs w:val="24"/>
        </w:rPr>
      </w:pPr>
      <w:r>
        <w:rPr>
          <w:rFonts w:cs="Times New Roman"/>
          <w:szCs w:val="24"/>
        </w:rPr>
        <w:tab/>
        <w:t>Having rejected Descartes’</w:t>
      </w:r>
      <w:r w:rsidR="00C162F5">
        <w:rPr>
          <w:rFonts w:cs="Times New Roman"/>
          <w:szCs w:val="24"/>
        </w:rPr>
        <w:t xml:space="preserve"> position, Leibniz moves on to consider that of </w:t>
      </w:r>
      <w:r w:rsidR="004B01A7">
        <w:rPr>
          <w:rFonts w:cs="Times New Roman"/>
          <w:szCs w:val="24"/>
        </w:rPr>
        <w:t>“</w:t>
      </w:r>
      <w:r w:rsidR="00C068D9">
        <w:rPr>
          <w:rFonts w:cs="Times New Roman"/>
          <w:szCs w:val="24"/>
        </w:rPr>
        <w:t>certain moderns</w:t>
      </w:r>
      <w:r w:rsidR="004B01A7">
        <w:rPr>
          <w:rFonts w:cs="Times New Roman"/>
          <w:szCs w:val="24"/>
        </w:rPr>
        <w:t>”</w:t>
      </w:r>
      <w:r w:rsidR="00C068D9">
        <w:rPr>
          <w:rFonts w:cs="Times New Roman"/>
          <w:szCs w:val="24"/>
        </w:rPr>
        <w:t xml:space="preserve"> </w:t>
      </w:r>
      <w:r w:rsidR="00C162F5">
        <w:rPr>
          <w:rFonts w:cs="Times New Roman"/>
          <w:szCs w:val="24"/>
        </w:rPr>
        <w:t>who had argued that</w:t>
      </w:r>
      <w:r w:rsidR="00483275">
        <w:rPr>
          <w:rFonts w:cs="Times New Roman"/>
          <w:szCs w:val="24"/>
        </w:rPr>
        <w:t>, in creating the world,</w:t>
      </w:r>
      <w:r w:rsidR="00C162F5">
        <w:rPr>
          <w:rFonts w:cs="Times New Roman"/>
          <w:szCs w:val="24"/>
        </w:rPr>
        <w:t xml:space="preserve"> God was able to </w:t>
      </w:r>
      <w:r w:rsidR="00483275">
        <w:rPr>
          <w:rFonts w:cs="Times New Roman"/>
          <w:szCs w:val="24"/>
        </w:rPr>
        <w:t>do</w:t>
      </w:r>
      <w:r w:rsidR="00C162F5">
        <w:rPr>
          <w:rFonts w:cs="Times New Roman"/>
          <w:szCs w:val="24"/>
        </w:rPr>
        <w:t xml:space="preserve"> better </w:t>
      </w:r>
      <w:r w:rsidR="00483275">
        <w:rPr>
          <w:rFonts w:cs="Times New Roman"/>
          <w:szCs w:val="24"/>
        </w:rPr>
        <w:t>than he in fact had</w:t>
      </w:r>
      <w:r w:rsidR="00C068D9">
        <w:rPr>
          <w:rFonts w:cs="Times New Roman"/>
          <w:szCs w:val="24"/>
        </w:rPr>
        <w:t xml:space="preserve">. Leibniz likely has in mind here Malebranche’s claim that </w:t>
      </w:r>
      <w:r w:rsidR="004B01A7">
        <w:rPr>
          <w:rFonts w:cs="Times New Roman"/>
          <w:szCs w:val="24"/>
        </w:rPr>
        <w:t>“</w:t>
      </w:r>
      <w:r w:rsidR="00C068D9" w:rsidRPr="00C068D9">
        <w:rPr>
          <w:rFonts w:cs="Times New Roman"/>
          <w:szCs w:val="24"/>
        </w:rPr>
        <w:t>God could, no doubt, make a world more perfect than the one in which we live</w:t>
      </w:r>
      <w:r w:rsidR="004B01A7">
        <w:rPr>
          <w:rFonts w:cs="Times New Roman"/>
          <w:szCs w:val="24"/>
        </w:rPr>
        <w:t>”</w:t>
      </w:r>
      <w:r w:rsidR="007C3FF9">
        <w:rPr>
          <w:rFonts w:cs="Times New Roman"/>
          <w:szCs w:val="24"/>
        </w:rPr>
        <w:t xml:space="preserve"> (Malebranche 1992: 116)</w:t>
      </w:r>
      <w:r w:rsidR="00C068D9">
        <w:rPr>
          <w:rFonts w:cs="Times New Roman"/>
          <w:szCs w:val="24"/>
        </w:rPr>
        <w:t xml:space="preserve">. </w:t>
      </w:r>
      <w:r w:rsidR="009F44C3">
        <w:rPr>
          <w:rFonts w:cs="Times New Roman"/>
          <w:szCs w:val="24"/>
        </w:rPr>
        <w:t xml:space="preserve">Against this, </w:t>
      </w:r>
      <w:r w:rsidR="00C068D9">
        <w:rPr>
          <w:rFonts w:cs="Times New Roman"/>
          <w:szCs w:val="24"/>
        </w:rPr>
        <w:t xml:space="preserve">Leibniz </w:t>
      </w:r>
      <w:r w:rsidR="009F44C3">
        <w:rPr>
          <w:rFonts w:cs="Times New Roman"/>
          <w:szCs w:val="24"/>
        </w:rPr>
        <w:t>points out that</w:t>
      </w:r>
      <w:r w:rsidR="00C068D9">
        <w:rPr>
          <w:rFonts w:cs="Times New Roman"/>
          <w:szCs w:val="24"/>
        </w:rPr>
        <w:t xml:space="preserve"> </w:t>
      </w:r>
      <w:r w:rsidR="004B01A7">
        <w:rPr>
          <w:rFonts w:cs="Times New Roman"/>
          <w:szCs w:val="24"/>
        </w:rPr>
        <w:t>“</w:t>
      </w:r>
      <w:r w:rsidR="00C068D9" w:rsidRPr="00C068D9">
        <w:rPr>
          <w:rFonts w:cs="Times New Roman"/>
          <w:szCs w:val="24"/>
        </w:rPr>
        <w:t>To act with less perfection than one is c</w:t>
      </w:r>
      <w:r w:rsidR="009F44C3">
        <w:rPr>
          <w:rFonts w:cs="Times New Roman"/>
          <w:szCs w:val="24"/>
        </w:rPr>
        <w:t>apable of is to act imperfectly</w:t>
      </w:r>
      <w:r w:rsidR="004B01A7">
        <w:rPr>
          <w:rFonts w:cs="Times New Roman"/>
          <w:szCs w:val="24"/>
        </w:rPr>
        <w:t>”</w:t>
      </w:r>
      <w:r w:rsidR="00C068D9">
        <w:rPr>
          <w:rFonts w:cs="Times New Roman"/>
          <w:szCs w:val="24"/>
        </w:rPr>
        <w:t xml:space="preserve"> (A VI 4</w:t>
      </w:r>
      <w:r w:rsidR="000D2F60">
        <w:rPr>
          <w:rFonts w:cs="Times New Roman"/>
          <w:szCs w:val="24"/>
        </w:rPr>
        <w:t>:</w:t>
      </w:r>
      <w:r w:rsidR="00C068D9">
        <w:rPr>
          <w:rFonts w:cs="Times New Roman"/>
          <w:szCs w:val="24"/>
        </w:rPr>
        <w:t xml:space="preserve"> 1533-4/PPL 304)</w:t>
      </w:r>
      <w:r w:rsidR="004B7515">
        <w:rPr>
          <w:rFonts w:cs="Times New Roman"/>
          <w:szCs w:val="24"/>
        </w:rPr>
        <w:t>, which</w:t>
      </w:r>
      <w:r w:rsidR="002B71D3">
        <w:rPr>
          <w:rFonts w:cs="Times New Roman"/>
          <w:szCs w:val="24"/>
        </w:rPr>
        <w:t>,</w:t>
      </w:r>
      <w:r w:rsidR="004B7515">
        <w:rPr>
          <w:rFonts w:cs="Times New Roman"/>
          <w:szCs w:val="24"/>
        </w:rPr>
        <w:t xml:space="preserve"> unlike Malebranche</w:t>
      </w:r>
      <w:r w:rsidR="002B71D3">
        <w:rPr>
          <w:rFonts w:cs="Times New Roman"/>
          <w:szCs w:val="24"/>
        </w:rPr>
        <w:t>,</w:t>
      </w:r>
      <w:r w:rsidR="004B7515">
        <w:rPr>
          <w:rFonts w:cs="Times New Roman"/>
          <w:szCs w:val="24"/>
        </w:rPr>
        <w:t xml:space="preserve"> he clearly thinks </w:t>
      </w:r>
      <w:r w:rsidR="002B71D3">
        <w:rPr>
          <w:rFonts w:cs="Times New Roman"/>
          <w:szCs w:val="24"/>
        </w:rPr>
        <w:t xml:space="preserve">is </w:t>
      </w:r>
      <w:r w:rsidR="004B7515">
        <w:rPr>
          <w:rFonts w:cs="Times New Roman"/>
          <w:szCs w:val="24"/>
        </w:rPr>
        <w:t xml:space="preserve">unworthy of God. Yet it is worth </w:t>
      </w:r>
      <w:r w:rsidR="002B71D3">
        <w:rPr>
          <w:rFonts w:cs="Times New Roman"/>
          <w:szCs w:val="24"/>
        </w:rPr>
        <w:t>considering what led Malebranche to suppose that God would make an inferior</w:t>
      </w:r>
      <w:r w:rsidR="003908BD">
        <w:rPr>
          <w:rFonts w:cs="Times New Roman"/>
          <w:szCs w:val="24"/>
        </w:rPr>
        <w:t xml:space="preserve"> world, as his thought on this influenced Leibniz’s thinking about the best world, which he goes on to outline in §§5-6.</w:t>
      </w:r>
    </w:p>
    <w:p w:rsidR="000D2F60" w:rsidRDefault="003908BD" w:rsidP="007327D2">
      <w:pPr>
        <w:autoSpaceDE w:val="0"/>
        <w:autoSpaceDN w:val="0"/>
        <w:adjustRightInd w:val="0"/>
        <w:spacing w:line="480" w:lineRule="auto"/>
        <w:rPr>
          <w:rFonts w:cs="Times New Roman"/>
          <w:szCs w:val="24"/>
        </w:rPr>
      </w:pPr>
      <w:r>
        <w:rPr>
          <w:rFonts w:cs="Times New Roman"/>
          <w:szCs w:val="24"/>
        </w:rPr>
        <w:tab/>
        <w:t xml:space="preserve">When discussing God’s choice of world in his </w:t>
      </w:r>
      <w:r w:rsidR="00EE5918">
        <w:rPr>
          <w:rFonts w:cs="Times New Roman"/>
          <w:i/>
          <w:szCs w:val="24"/>
        </w:rPr>
        <w:t>Conversations chrét</w:t>
      </w:r>
      <w:r w:rsidR="00EA1108">
        <w:rPr>
          <w:rFonts w:cs="Times New Roman"/>
          <w:i/>
          <w:szCs w:val="24"/>
        </w:rPr>
        <w:t xml:space="preserve">iennes </w:t>
      </w:r>
      <w:r w:rsidR="007129EB">
        <w:rPr>
          <w:rFonts w:cs="Times New Roman"/>
          <w:szCs w:val="24"/>
        </w:rPr>
        <w:t xml:space="preserve">[Christian Conversations] </w:t>
      </w:r>
      <w:r w:rsidR="00EA1108">
        <w:rPr>
          <w:rFonts w:cs="Times New Roman"/>
          <w:szCs w:val="24"/>
        </w:rPr>
        <w:t>(1677</w:t>
      </w:r>
      <w:r>
        <w:rPr>
          <w:rFonts w:cs="Times New Roman"/>
          <w:szCs w:val="24"/>
        </w:rPr>
        <w:t xml:space="preserve">), Malebranche </w:t>
      </w:r>
      <w:r w:rsidR="00003C65">
        <w:rPr>
          <w:rFonts w:cs="Times New Roman"/>
          <w:szCs w:val="24"/>
        </w:rPr>
        <w:t>had</w:t>
      </w:r>
      <w:r>
        <w:rPr>
          <w:rFonts w:cs="Times New Roman"/>
          <w:szCs w:val="24"/>
        </w:rPr>
        <w:t xml:space="preserve"> </w:t>
      </w:r>
      <w:r w:rsidR="007772FB">
        <w:rPr>
          <w:rFonts w:cs="Times New Roman"/>
          <w:szCs w:val="24"/>
        </w:rPr>
        <w:t>stressed</w:t>
      </w:r>
      <w:r w:rsidR="00D736E4">
        <w:rPr>
          <w:rFonts w:cs="Times New Roman"/>
          <w:szCs w:val="24"/>
        </w:rPr>
        <w:t xml:space="preserve"> that </w:t>
      </w:r>
      <w:r w:rsidR="004B01A7">
        <w:rPr>
          <w:rFonts w:cs="Times New Roman"/>
          <w:szCs w:val="24"/>
        </w:rPr>
        <w:t>“</w:t>
      </w:r>
      <w:r w:rsidR="00D736E4" w:rsidRPr="00D736E4">
        <w:rPr>
          <w:rFonts w:cs="Times New Roman"/>
          <w:szCs w:val="24"/>
        </w:rPr>
        <w:t xml:space="preserve">the mark of an excellent worker is to produce admirable effects by acting always in the same </w:t>
      </w:r>
      <w:r w:rsidR="00D736E4">
        <w:rPr>
          <w:rFonts w:cs="Times New Roman"/>
          <w:szCs w:val="24"/>
        </w:rPr>
        <w:t>manner and b</w:t>
      </w:r>
      <w:r w:rsidR="00B30431">
        <w:rPr>
          <w:rFonts w:cs="Times New Roman"/>
          <w:szCs w:val="24"/>
        </w:rPr>
        <w:t>y the simplest ways</w:t>
      </w:r>
      <w:r w:rsidR="004B01A7">
        <w:rPr>
          <w:rFonts w:cs="Times New Roman"/>
          <w:szCs w:val="24"/>
        </w:rPr>
        <w:t>”</w:t>
      </w:r>
      <w:r w:rsidR="00B30431">
        <w:rPr>
          <w:rFonts w:cs="Times New Roman"/>
          <w:szCs w:val="24"/>
        </w:rPr>
        <w:t xml:space="preserve"> (1677</w:t>
      </w:r>
      <w:r w:rsidR="000D2F60">
        <w:rPr>
          <w:rFonts w:cs="Times New Roman"/>
          <w:szCs w:val="24"/>
        </w:rPr>
        <w:t>:</w:t>
      </w:r>
      <w:r w:rsidR="00B30431">
        <w:rPr>
          <w:rFonts w:cs="Times New Roman"/>
          <w:szCs w:val="24"/>
        </w:rPr>
        <w:t xml:space="preserve"> 25-</w:t>
      </w:r>
      <w:r w:rsidR="00D736E4">
        <w:rPr>
          <w:rFonts w:cs="Times New Roman"/>
          <w:szCs w:val="24"/>
        </w:rPr>
        <w:t>6</w:t>
      </w:r>
      <w:r w:rsidR="002500CA">
        <w:rPr>
          <w:rFonts w:cs="Times New Roman"/>
          <w:szCs w:val="24"/>
        </w:rPr>
        <w:t>/1695</w:t>
      </w:r>
      <w:r w:rsidR="000D2F60">
        <w:rPr>
          <w:rFonts w:cs="Times New Roman"/>
          <w:szCs w:val="24"/>
        </w:rPr>
        <w:t>:</w:t>
      </w:r>
      <w:r w:rsidR="002500CA">
        <w:rPr>
          <w:rFonts w:cs="Times New Roman"/>
          <w:szCs w:val="24"/>
        </w:rPr>
        <w:t xml:space="preserve"> 13, translation modified</w:t>
      </w:r>
      <w:r w:rsidR="00D736E4">
        <w:rPr>
          <w:rFonts w:cs="Times New Roman"/>
          <w:szCs w:val="24"/>
        </w:rPr>
        <w:t xml:space="preserve">). This </w:t>
      </w:r>
      <w:r w:rsidR="00D736E4" w:rsidRPr="00D736E4">
        <w:rPr>
          <w:rFonts w:cs="Times New Roman"/>
          <w:szCs w:val="24"/>
        </w:rPr>
        <w:t xml:space="preserve">meant that </w:t>
      </w:r>
      <w:r w:rsidR="00D736E4">
        <w:rPr>
          <w:rFonts w:cs="Times New Roman"/>
          <w:szCs w:val="24"/>
        </w:rPr>
        <w:t xml:space="preserve">in creating a world </w:t>
      </w:r>
      <w:r w:rsidR="00D736E4" w:rsidRPr="00D736E4">
        <w:rPr>
          <w:rFonts w:cs="Times New Roman"/>
          <w:szCs w:val="24"/>
        </w:rPr>
        <w:t>God</w:t>
      </w:r>
      <w:r w:rsidR="00D736E4">
        <w:rPr>
          <w:rFonts w:cs="Times New Roman"/>
          <w:szCs w:val="24"/>
        </w:rPr>
        <w:t xml:space="preserve"> </w:t>
      </w:r>
      <w:r w:rsidR="00D736E4" w:rsidRPr="00D736E4">
        <w:rPr>
          <w:rFonts w:cs="Times New Roman"/>
          <w:szCs w:val="24"/>
        </w:rPr>
        <w:t xml:space="preserve">would employ only </w:t>
      </w:r>
      <w:r w:rsidR="004B01A7">
        <w:rPr>
          <w:rFonts w:cs="Times New Roman"/>
          <w:szCs w:val="24"/>
        </w:rPr>
        <w:t>“</w:t>
      </w:r>
      <w:r w:rsidR="00D736E4" w:rsidRPr="00D736E4">
        <w:rPr>
          <w:rFonts w:cs="Times New Roman"/>
          <w:szCs w:val="24"/>
        </w:rPr>
        <w:t>a very small number of natural laws to produce a very great number of admirable works</w:t>
      </w:r>
      <w:r w:rsidR="004B01A7">
        <w:rPr>
          <w:rFonts w:cs="Times New Roman"/>
          <w:szCs w:val="24"/>
        </w:rPr>
        <w:t>”</w:t>
      </w:r>
      <w:r w:rsidR="00D736E4" w:rsidRPr="00D736E4">
        <w:rPr>
          <w:rFonts w:cs="Times New Roman"/>
          <w:szCs w:val="24"/>
        </w:rPr>
        <w:t xml:space="preserve"> (</w:t>
      </w:r>
      <w:r w:rsidR="00D736E4">
        <w:rPr>
          <w:rFonts w:cs="Times New Roman"/>
          <w:szCs w:val="24"/>
        </w:rPr>
        <w:t>1677</w:t>
      </w:r>
      <w:r w:rsidR="000D2F60">
        <w:rPr>
          <w:rFonts w:cs="Times New Roman"/>
          <w:szCs w:val="24"/>
        </w:rPr>
        <w:t>:</w:t>
      </w:r>
      <w:r w:rsidR="00D736E4">
        <w:rPr>
          <w:rFonts w:cs="Times New Roman"/>
          <w:szCs w:val="24"/>
        </w:rPr>
        <w:t xml:space="preserve"> </w:t>
      </w:r>
      <w:r w:rsidR="00D736E4" w:rsidRPr="00D736E4">
        <w:rPr>
          <w:rFonts w:cs="Times New Roman"/>
          <w:szCs w:val="24"/>
        </w:rPr>
        <w:t>73-4</w:t>
      </w:r>
      <w:r w:rsidR="002500CA">
        <w:rPr>
          <w:rFonts w:cs="Times New Roman"/>
          <w:szCs w:val="24"/>
        </w:rPr>
        <w:t>/1695</w:t>
      </w:r>
      <w:r w:rsidR="000D2F60">
        <w:rPr>
          <w:rFonts w:cs="Times New Roman"/>
          <w:szCs w:val="24"/>
        </w:rPr>
        <w:t>:</w:t>
      </w:r>
      <w:r w:rsidR="002500CA">
        <w:rPr>
          <w:rFonts w:cs="Times New Roman"/>
          <w:szCs w:val="24"/>
        </w:rPr>
        <w:t xml:space="preserve"> 37</w:t>
      </w:r>
      <w:r w:rsidR="00D736E4" w:rsidRPr="00D736E4">
        <w:rPr>
          <w:rFonts w:cs="Times New Roman"/>
          <w:szCs w:val="24"/>
        </w:rPr>
        <w:t>)</w:t>
      </w:r>
      <w:r w:rsidR="007772FB">
        <w:rPr>
          <w:rFonts w:cs="Times New Roman"/>
          <w:szCs w:val="24"/>
        </w:rPr>
        <w:t>.</w:t>
      </w:r>
      <w:r w:rsidR="00535EBB">
        <w:rPr>
          <w:rFonts w:cs="Times New Roman"/>
          <w:szCs w:val="24"/>
        </w:rPr>
        <w:t xml:space="preserve"> </w:t>
      </w:r>
      <w:r w:rsidR="00003C65">
        <w:rPr>
          <w:rFonts w:cs="Times New Roman"/>
          <w:szCs w:val="24"/>
        </w:rPr>
        <w:t xml:space="preserve">For Malebranche, God’s decision to avail himself of the simplest ways, and hence </w:t>
      </w:r>
      <w:r w:rsidR="007772FB">
        <w:rPr>
          <w:rFonts w:cs="Times New Roman"/>
          <w:szCs w:val="24"/>
        </w:rPr>
        <w:t xml:space="preserve">of </w:t>
      </w:r>
      <w:r w:rsidR="00E24614">
        <w:rPr>
          <w:rFonts w:cs="Times New Roman"/>
          <w:szCs w:val="24"/>
        </w:rPr>
        <w:t>a small number of productive</w:t>
      </w:r>
      <w:r w:rsidR="00003C65">
        <w:rPr>
          <w:rFonts w:cs="Times New Roman"/>
          <w:szCs w:val="24"/>
        </w:rPr>
        <w:t xml:space="preserve"> </w:t>
      </w:r>
      <w:r w:rsidR="00535EBB">
        <w:rPr>
          <w:rFonts w:cs="Times New Roman"/>
          <w:szCs w:val="24"/>
        </w:rPr>
        <w:t xml:space="preserve">natural </w:t>
      </w:r>
      <w:r w:rsidR="00003C65">
        <w:rPr>
          <w:rFonts w:cs="Times New Roman"/>
          <w:szCs w:val="24"/>
        </w:rPr>
        <w:t xml:space="preserve">laws, </w:t>
      </w:r>
      <w:r w:rsidR="008E1CAD">
        <w:rPr>
          <w:rFonts w:cs="Times New Roman"/>
          <w:szCs w:val="24"/>
        </w:rPr>
        <w:t xml:space="preserve">meant </w:t>
      </w:r>
      <w:r w:rsidR="008E1CAD" w:rsidRPr="008E1CAD">
        <w:rPr>
          <w:rFonts w:cs="Times New Roman"/>
          <w:szCs w:val="24"/>
        </w:rPr>
        <w:t xml:space="preserve">that </w:t>
      </w:r>
      <w:r w:rsidR="00E24614">
        <w:rPr>
          <w:rFonts w:cs="Times New Roman"/>
          <w:szCs w:val="24"/>
        </w:rPr>
        <w:t>a</w:t>
      </w:r>
      <w:r w:rsidR="008E1CAD" w:rsidRPr="008E1CAD">
        <w:rPr>
          <w:rFonts w:cs="Times New Roman"/>
          <w:szCs w:val="24"/>
        </w:rPr>
        <w:t xml:space="preserve"> compromise </w:t>
      </w:r>
      <w:r w:rsidR="00E24614">
        <w:rPr>
          <w:rFonts w:cs="Times New Roman"/>
          <w:szCs w:val="24"/>
        </w:rPr>
        <w:t xml:space="preserve">had to be made </w:t>
      </w:r>
      <w:r w:rsidR="008E1CAD" w:rsidRPr="008E1CAD">
        <w:rPr>
          <w:rFonts w:cs="Times New Roman"/>
          <w:szCs w:val="24"/>
        </w:rPr>
        <w:t xml:space="preserve">on the perfection of the world in which these laws were manifested. </w:t>
      </w:r>
      <w:r w:rsidR="00E24614">
        <w:rPr>
          <w:rFonts w:cs="Times New Roman"/>
          <w:szCs w:val="24"/>
        </w:rPr>
        <w:t>He</w:t>
      </w:r>
      <w:r w:rsidR="00535EBB">
        <w:rPr>
          <w:rFonts w:cs="Times New Roman"/>
          <w:szCs w:val="24"/>
        </w:rPr>
        <w:t xml:space="preserve"> </w:t>
      </w:r>
      <w:r w:rsidR="00E24614">
        <w:rPr>
          <w:rFonts w:cs="Times New Roman"/>
          <w:szCs w:val="24"/>
        </w:rPr>
        <w:t>argued</w:t>
      </w:r>
      <w:r w:rsidR="00535EBB">
        <w:rPr>
          <w:rFonts w:cs="Times New Roman"/>
          <w:szCs w:val="24"/>
        </w:rPr>
        <w:t xml:space="preserve"> that to make a more perfect world, for example one without monstrous births (i.e. congenital deformities), it would be necessary for God to establish new laws of motion, but as this would mean abandoning the simplicity of his ways, God would not do it</w:t>
      </w:r>
      <w:r w:rsidR="00E24614">
        <w:rPr>
          <w:rFonts w:cs="Times New Roman"/>
          <w:szCs w:val="24"/>
        </w:rPr>
        <w:t xml:space="preserve">. Consequently, our world is less perfect than it </w:t>
      </w:r>
      <w:r w:rsidR="00C12C25">
        <w:rPr>
          <w:rFonts w:cs="Times New Roman"/>
          <w:szCs w:val="24"/>
        </w:rPr>
        <w:t>could</w:t>
      </w:r>
      <w:r w:rsidR="00E24614">
        <w:rPr>
          <w:rFonts w:cs="Times New Roman"/>
          <w:szCs w:val="24"/>
        </w:rPr>
        <w:t xml:space="preserve"> have been, though Malebranche insisted that </w:t>
      </w:r>
      <w:r w:rsidR="00535EBB">
        <w:rPr>
          <w:rFonts w:cs="Times New Roman"/>
          <w:szCs w:val="24"/>
        </w:rPr>
        <w:t xml:space="preserve">God would ensure </w:t>
      </w:r>
      <w:r w:rsidR="004B01A7">
        <w:rPr>
          <w:rFonts w:cs="Times New Roman"/>
          <w:szCs w:val="24"/>
        </w:rPr>
        <w:t>“</w:t>
      </w:r>
      <w:r w:rsidR="00535EBB" w:rsidRPr="00535EBB">
        <w:rPr>
          <w:rFonts w:cs="Times New Roman"/>
          <w:szCs w:val="24"/>
        </w:rPr>
        <w:t>his work is as perfect as it can be in relation to the ways he uses to produce it</w:t>
      </w:r>
      <w:r w:rsidR="004B01A7">
        <w:rPr>
          <w:rFonts w:cs="Times New Roman"/>
          <w:szCs w:val="24"/>
        </w:rPr>
        <w:t>”</w:t>
      </w:r>
      <w:r w:rsidR="00535EBB" w:rsidRPr="00535EBB">
        <w:rPr>
          <w:rFonts w:cs="Times New Roman"/>
          <w:szCs w:val="24"/>
        </w:rPr>
        <w:t xml:space="preserve"> (</w:t>
      </w:r>
      <w:r w:rsidR="00535EBB">
        <w:rPr>
          <w:rFonts w:cs="Times New Roman"/>
          <w:szCs w:val="24"/>
        </w:rPr>
        <w:t>1677</w:t>
      </w:r>
      <w:r w:rsidR="000D2F60">
        <w:rPr>
          <w:rFonts w:cs="Times New Roman"/>
          <w:szCs w:val="24"/>
        </w:rPr>
        <w:t>:</w:t>
      </w:r>
      <w:r w:rsidR="00535EBB">
        <w:rPr>
          <w:rFonts w:cs="Times New Roman"/>
          <w:szCs w:val="24"/>
        </w:rPr>
        <w:t xml:space="preserve"> </w:t>
      </w:r>
      <w:r w:rsidR="00535EBB" w:rsidRPr="00535EBB">
        <w:rPr>
          <w:rFonts w:cs="Times New Roman"/>
          <w:szCs w:val="24"/>
        </w:rPr>
        <w:t>74</w:t>
      </w:r>
      <w:r w:rsidR="002500CA">
        <w:rPr>
          <w:rFonts w:cs="Times New Roman"/>
          <w:szCs w:val="24"/>
        </w:rPr>
        <w:t>/1695</w:t>
      </w:r>
      <w:r w:rsidR="000D2F60">
        <w:rPr>
          <w:rFonts w:cs="Times New Roman"/>
          <w:szCs w:val="24"/>
        </w:rPr>
        <w:t>:</w:t>
      </w:r>
      <w:r w:rsidR="002500CA">
        <w:rPr>
          <w:rFonts w:cs="Times New Roman"/>
          <w:szCs w:val="24"/>
        </w:rPr>
        <w:t xml:space="preserve"> 38, translation modified</w:t>
      </w:r>
      <w:r w:rsidR="00535EBB" w:rsidRPr="00535EBB">
        <w:rPr>
          <w:rFonts w:cs="Times New Roman"/>
          <w:szCs w:val="24"/>
        </w:rPr>
        <w:t>)</w:t>
      </w:r>
      <w:r w:rsidR="00E24614">
        <w:rPr>
          <w:rFonts w:cs="Times New Roman"/>
          <w:szCs w:val="24"/>
        </w:rPr>
        <w:t>.</w:t>
      </w:r>
    </w:p>
    <w:p w:rsidR="002E58D9" w:rsidRDefault="00EA1108" w:rsidP="007327D2">
      <w:pPr>
        <w:autoSpaceDE w:val="0"/>
        <w:autoSpaceDN w:val="0"/>
        <w:adjustRightInd w:val="0"/>
        <w:spacing w:line="480" w:lineRule="auto"/>
        <w:rPr>
          <w:rFonts w:cs="Times New Roman"/>
          <w:szCs w:val="24"/>
        </w:rPr>
      </w:pPr>
      <w:r>
        <w:rPr>
          <w:rFonts w:cs="Times New Roman"/>
          <w:szCs w:val="24"/>
        </w:rPr>
        <w:tab/>
        <w:t xml:space="preserve">Leibniz read the </w:t>
      </w:r>
      <w:r w:rsidR="007129EB" w:rsidRPr="007129EB">
        <w:rPr>
          <w:rFonts w:cs="Times New Roman"/>
          <w:i/>
          <w:szCs w:val="24"/>
        </w:rPr>
        <w:t>Christian Conversations</w:t>
      </w:r>
      <w:r w:rsidR="007129EB">
        <w:rPr>
          <w:rFonts w:cs="Times New Roman"/>
          <w:szCs w:val="24"/>
        </w:rPr>
        <w:t xml:space="preserve"> </w:t>
      </w:r>
      <w:r>
        <w:rPr>
          <w:rFonts w:cs="Times New Roman"/>
          <w:szCs w:val="24"/>
        </w:rPr>
        <w:t>in 1678,</w:t>
      </w:r>
      <w:r>
        <w:rPr>
          <w:rStyle w:val="FootnoteReference"/>
          <w:rFonts w:cs="Times New Roman"/>
          <w:szCs w:val="24"/>
        </w:rPr>
        <w:footnoteReference w:id="19"/>
      </w:r>
      <w:r>
        <w:rPr>
          <w:rFonts w:cs="Times New Roman"/>
          <w:szCs w:val="24"/>
        </w:rPr>
        <w:t xml:space="preserve"> and was quickly swayed by its account of </w:t>
      </w:r>
      <w:r w:rsidR="004965EF">
        <w:rPr>
          <w:rFonts w:cs="Times New Roman"/>
          <w:szCs w:val="24"/>
        </w:rPr>
        <w:t xml:space="preserve">the simplicity of </w:t>
      </w:r>
      <w:r>
        <w:rPr>
          <w:rFonts w:cs="Times New Roman"/>
          <w:szCs w:val="24"/>
        </w:rPr>
        <w:t xml:space="preserve">God’s </w:t>
      </w:r>
      <w:r w:rsidR="004965EF">
        <w:rPr>
          <w:rFonts w:cs="Times New Roman"/>
          <w:szCs w:val="24"/>
        </w:rPr>
        <w:t>ways</w:t>
      </w:r>
      <w:r>
        <w:rPr>
          <w:rFonts w:cs="Times New Roman"/>
          <w:szCs w:val="24"/>
        </w:rPr>
        <w:t xml:space="preserve">. In </w:t>
      </w:r>
      <w:r w:rsidR="00287E50">
        <w:rPr>
          <w:rFonts w:cs="Times New Roman"/>
          <w:szCs w:val="24"/>
        </w:rPr>
        <w:t xml:space="preserve">a </w:t>
      </w:r>
      <w:r>
        <w:rPr>
          <w:rFonts w:cs="Times New Roman"/>
          <w:szCs w:val="24"/>
        </w:rPr>
        <w:t xml:space="preserve">1679 </w:t>
      </w:r>
      <w:r w:rsidR="00287E50">
        <w:rPr>
          <w:rFonts w:cs="Times New Roman"/>
          <w:szCs w:val="24"/>
        </w:rPr>
        <w:t>letter</w:t>
      </w:r>
      <w:r>
        <w:rPr>
          <w:rFonts w:cs="Times New Roman"/>
          <w:szCs w:val="24"/>
        </w:rPr>
        <w:t xml:space="preserve"> </w:t>
      </w:r>
      <w:r w:rsidR="00261EC4">
        <w:rPr>
          <w:rFonts w:cs="Times New Roman"/>
          <w:szCs w:val="24"/>
        </w:rPr>
        <w:t xml:space="preserve">to </w:t>
      </w:r>
      <w:r>
        <w:rPr>
          <w:rFonts w:cs="Times New Roman"/>
          <w:szCs w:val="24"/>
        </w:rPr>
        <w:t>Malebranche</w:t>
      </w:r>
      <w:r w:rsidR="00287E50">
        <w:rPr>
          <w:rFonts w:cs="Times New Roman"/>
          <w:szCs w:val="24"/>
        </w:rPr>
        <w:t>, Leibniz wrote:</w:t>
      </w:r>
      <w:r>
        <w:rPr>
          <w:rFonts w:cs="Times New Roman"/>
          <w:szCs w:val="24"/>
        </w:rPr>
        <w:t xml:space="preserve"> </w:t>
      </w:r>
      <w:r w:rsidR="004B01A7">
        <w:rPr>
          <w:rFonts w:cs="Times New Roman"/>
          <w:szCs w:val="24"/>
        </w:rPr>
        <w:t>“</w:t>
      </w:r>
      <w:r w:rsidR="00A0177C" w:rsidRPr="00A0177C">
        <w:rPr>
          <w:rFonts w:cs="Times New Roman"/>
          <w:szCs w:val="24"/>
        </w:rPr>
        <w:t>I find very true</w:t>
      </w:r>
      <w:r w:rsidR="000D2F60">
        <w:rPr>
          <w:rFonts w:cs="Times New Roman"/>
          <w:szCs w:val="24"/>
        </w:rPr>
        <w:t xml:space="preserve"> . . . </w:t>
      </w:r>
      <w:r w:rsidR="00A0177C" w:rsidRPr="00A0177C">
        <w:rPr>
          <w:rFonts w:cs="Times New Roman"/>
          <w:szCs w:val="24"/>
        </w:rPr>
        <w:t>w</w:t>
      </w:r>
      <w:r w:rsidR="00A0177C">
        <w:rPr>
          <w:rFonts w:cs="Times New Roman"/>
          <w:szCs w:val="24"/>
        </w:rPr>
        <w:t>h</w:t>
      </w:r>
      <w:r w:rsidR="00A0177C" w:rsidRPr="00A0177C">
        <w:rPr>
          <w:rFonts w:cs="Times New Roman"/>
          <w:szCs w:val="24"/>
        </w:rPr>
        <w:t>at you say about the simplicity of God</w:t>
      </w:r>
      <w:r w:rsidR="00A0177C">
        <w:rPr>
          <w:rFonts w:cs="Times New Roman"/>
          <w:szCs w:val="24"/>
        </w:rPr>
        <w:t>’</w:t>
      </w:r>
      <w:r w:rsidR="00A0177C" w:rsidRPr="00A0177C">
        <w:rPr>
          <w:rFonts w:cs="Times New Roman"/>
          <w:szCs w:val="24"/>
        </w:rPr>
        <w:t>s decrees being the cause of the existence of certain particular evils, since God would otherwise be obliged to change the laws of nature at each moment</w:t>
      </w:r>
      <w:r w:rsidR="004B01A7">
        <w:rPr>
          <w:rFonts w:cs="Times New Roman"/>
          <w:szCs w:val="24"/>
        </w:rPr>
        <w:t>”</w:t>
      </w:r>
      <w:r w:rsidR="00A0177C" w:rsidRPr="00A0177C">
        <w:rPr>
          <w:rFonts w:cs="Times New Roman"/>
          <w:szCs w:val="24"/>
        </w:rPr>
        <w:t xml:space="preserve"> (</w:t>
      </w:r>
      <w:r w:rsidR="00EE5918">
        <w:rPr>
          <w:rFonts w:cs="Times New Roman"/>
          <w:szCs w:val="24"/>
        </w:rPr>
        <w:t>A II 1</w:t>
      </w:r>
      <w:r w:rsidR="000D2F60">
        <w:rPr>
          <w:rFonts w:cs="Times New Roman"/>
          <w:szCs w:val="24"/>
        </w:rPr>
        <w:t>:</w:t>
      </w:r>
      <w:r w:rsidR="00EE5918">
        <w:rPr>
          <w:rFonts w:cs="Times New Roman"/>
          <w:szCs w:val="24"/>
        </w:rPr>
        <w:t xml:space="preserve"> 724/</w:t>
      </w:r>
      <w:r w:rsidR="00A0177C" w:rsidRPr="00A0177C">
        <w:rPr>
          <w:rFonts w:cs="Times New Roman"/>
          <w:szCs w:val="24"/>
        </w:rPr>
        <w:t>PPL 210-</w:t>
      </w:r>
      <w:r w:rsidR="005E6F06">
        <w:rPr>
          <w:rFonts w:cs="Times New Roman"/>
          <w:szCs w:val="24"/>
        </w:rPr>
        <w:t>2</w:t>
      </w:r>
      <w:r w:rsidR="00A0177C" w:rsidRPr="00A0177C">
        <w:rPr>
          <w:rFonts w:cs="Times New Roman"/>
          <w:szCs w:val="24"/>
        </w:rPr>
        <w:t>11)</w:t>
      </w:r>
      <w:r>
        <w:rPr>
          <w:rFonts w:cs="Times New Roman"/>
          <w:szCs w:val="24"/>
        </w:rPr>
        <w:t>.</w:t>
      </w:r>
      <w:r w:rsidR="002E58D9">
        <w:rPr>
          <w:rFonts w:cs="Times New Roman"/>
          <w:szCs w:val="24"/>
        </w:rPr>
        <w:t xml:space="preserve"> However, Leibniz did not accept Malebranche’s conclusion that God’s choice of laws would make the world less perfect. Instead, he told Malebranche that</w:t>
      </w:r>
    </w:p>
    <w:p w:rsidR="002E58D9" w:rsidRDefault="002E58D9" w:rsidP="007327D2">
      <w:pPr>
        <w:autoSpaceDE w:val="0"/>
        <w:autoSpaceDN w:val="0"/>
        <w:adjustRightInd w:val="0"/>
        <w:spacing w:line="480" w:lineRule="auto"/>
        <w:rPr>
          <w:rFonts w:cs="Times New Roman"/>
          <w:szCs w:val="24"/>
        </w:rPr>
      </w:pPr>
    </w:p>
    <w:p w:rsidR="00EA1108" w:rsidRPr="00EA1108" w:rsidRDefault="0094409C" w:rsidP="007327D2">
      <w:pPr>
        <w:autoSpaceDE w:val="0"/>
        <w:autoSpaceDN w:val="0"/>
        <w:adjustRightInd w:val="0"/>
        <w:spacing w:line="480" w:lineRule="auto"/>
        <w:ind w:left="720"/>
        <w:rPr>
          <w:rFonts w:cs="Times New Roman"/>
          <w:szCs w:val="24"/>
        </w:rPr>
      </w:pPr>
      <w:r>
        <w:rPr>
          <w:rFonts w:cs="Times New Roman"/>
          <w:szCs w:val="24"/>
        </w:rPr>
        <w:t>It should</w:t>
      </w:r>
      <w:r w:rsidR="00EE5918" w:rsidRPr="00EE5918">
        <w:rPr>
          <w:rFonts w:cs="Times New Roman"/>
          <w:szCs w:val="24"/>
        </w:rPr>
        <w:t xml:space="preserve"> also </w:t>
      </w:r>
      <w:r>
        <w:rPr>
          <w:rFonts w:cs="Times New Roman"/>
          <w:szCs w:val="24"/>
        </w:rPr>
        <w:t>be said</w:t>
      </w:r>
      <w:r w:rsidR="00EE5918" w:rsidRPr="00EE5918">
        <w:rPr>
          <w:rFonts w:cs="Times New Roman"/>
          <w:szCs w:val="24"/>
        </w:rPr>
        <w:t xml:space="preserve"> that God makes the most things he can, and what obliges him to seek simple laws is to find a place for as many things as are possible to put together; a</w:t>
      </w:r>
      <w:r w:rsidR="00577C5B">
        <w:rPr>
          <w:rFonts w:cs="Times New Roman"/>
          <w:szCs w:val="24"/>
        </w:rPr>
        <w:t>nd if he made use of other laws</w:t>
      </w:r>
      <w:r w:rsidR="00EE5918" w:rsidRPr="00EE5918">
        <w:rPr>
          <w:rFonts w:cs="Times New Roman"/>
          <w:szCs w:val="24"/>
        </w:rPr>
        <w:t xml:space="preserve"> it would be like </w:t>
      </w:r>
      <w:r w:rsidR="00CE0137">
        <w:rPr>
          <w:rFonts w:cs="Times New Roman"/>
          <w:szCs w:val="24"/>
        </w:rPr>
        <w:t>making a building with</w:t>
      </w:r>
      <w:r w:rsidR="00EE5918" w:rsidRPr="00EE5918">
        <w:rPr>
          <w:rFonts w:cs="Times New Roman"/>
          <w:szCs w:val="24"/>
        </w:rPr>
        <w:t xml:space="preserve"> round stones, which lose u</w:t>
      </w:r>
      <w:r>
        <w:rPr>
          <w:rFonts w:cs="Times New Roman"/>
          <w:szCs w:val="24"/>
        </w:rPr>
        <w:t>s more space than they occupy</w:t>
      </w:r>
      <w:r w:rsidR="00EE5918" w:rsidRPr="00EE5918">
        <w:rPr>
          <w:rFonts w:cs="Times New Roman"/>
          <w:szCs w:val="24"/>
        </w:rPr>
        <w:t xml:space="preserve"> </w:t>
      </w:r>
      <w:r w:rsidR="002E58D9" w:rsidRPr="002E58D9">
        <w:rPr>
          <w:rFonts w:cs="Times New Roman"/>
          <w:szCs w:val="24"/>
        </w:rPr>
        <w:t>(</w:t>
      </w:r>
      <w:r w:rsidR="00EE5918">
        <w:rPr>
          <w:rFonts w:cs="Times New Roman"/>
          <w:szCs w:val="24"/>
        </w:rPr>
        <w:t>A II 1</w:t>
      </w:r>
      <w:r w:rsidR="000D2F60">
        <w:rPr>
          <w:rFonts w:cs="Times New Roman"/>
          <w:szCs w:val="24"/>
        </w:rPr>
        <w:t>:</w:t>
      </w:r>
      <w:r w:rsidR="00EE5918">
        <w:rPr>
          <w:rFonts w:cs="Times New Roman"/>
          <w:szCs w:val="24"/>
        </w:rPr>
        <w:t xml:space="preserve"> 725/</w:t>
      </w:r>
      <w:r w:rsidR="002E58D9" w:rsidRPr="002E58D9">
        <w:rPr>
          <w:rFonts w:cs="Times New Roman"/>
          <w:szCs w:val="24"/>
        </w:rPr>
        <w:t>PPL 211</w:t>
      </w:r>
      <w:r w:rsidR="00EE5918">
        <w:rPr>
          <w:rFonts w:cs="Times New Roman"/>
          <w:szCs w:val="24"/>
        </w:rPr>
        <w:t>).</w:t>
      </w:r>
    </w:p>
    <w:p w:rsidR="003908BD" w:rsidRPr="008E1CAD" w:rsidRDefault="003908BD" w:rsidP="007327D2">
      <w:pPr>
        <w:spacing w:line="480" w:lineRule="auto"/>
        <w:rPr>
          <w:rFonts w:cs="Times New Roman"/>
          <w:szCs w:val="24"/>
        </w:rPr>
      </w:pPr>
    </w:p>
    <w:p w:rsidR="002B71D3" w:rsidRDefault="00D811E9" w:rsidP="007327D2">
      <w:pPr>
        <w:spacing w:line="480" w:lineRule="auto"/>
        <w:rPr>
          <w:rFonts w:cs="Times New Roman"/>
          <w:szCs w:val="24"/>
        </w:rPr>
      </w:pPr>
      <w:r>
        <w:rPr>
          <w:rFonts w:cs="Times New Roman"/>
          <w:szCs w:val="24"/>
        </w:rPr>
        <w:t xml:space="preserve">Later in 1679, Leibniz developed the thought in an unpublished text, </w:t>
      </w:r>
      <w:r w:rsidR="004B01A7">
        <w:rPr>
          <w:rFonts w:cs="Times New Roman"/>
          <w:szCs w:val="24"/>
        </w:rPr>
        <w:t>“</w:t>
      </w:r>
      <w:r>
        <w:rPr>
          <w:rFonts w:cs="Times New Roman"/>
          <w:szCs w:val="24"/>
        </w:rPr>
        <w:t>Dialogue between Theophile and Polidore</w:t>
      </w:r>
      <w:r w:rsidR="004B01A7">
        <w:rPr>
          <w:rFonts w:cs="Times New Roman"/>
          <w:szCs w:val="24"/>
        </w:rPr>
        <w:t>”</w:t>
      </w:r>
      <w:r>
        <w:rPr>
          <w:rFonts w:cs="Times New Roman"/>
          <w:szCs w:val="24"/>
        </w:rPr>
        <w:t xml:space="preserve">. </w:t>
      </w:r>
      <w:r w:rsidR="004168B8">
        <w:rPr>
          <w:rFonts w:cs="Times New Roman"/>
          <w:szCs w:val="24"/>
        </w:rPr>
        <w:t>There he states that</w:t>
      </w:r>
    </w:p>
    <w:p w:rsidR="004168B8" w:rsidRDefault="004168B8" w:rsidP="007327D2">
      <w:pPr>
        <w:spacing w:line="480" w:lineRule="auto"/>
        <w:rPr>
          <w:rFonts w:cs="Times New Roman"/>
          <w:szCs w:val="24"/>
        </w:rPr>
      </w:pPr>
    </w:p>
    <w:p w:rsidR="004168B8" w:rsidRDefault="004168B8" w:rsidP="007327D2">
      <w:pPr>
        <w:spacing w:line="480" w:lineRule="auto"/>
        <w:ind w:left="720"/>
        <w:rPr>
          <w:rFonts w:cs="Times New Roman"/>
          <w:szCs w:val="24"/>
        </w:rPr>
      </w:pPr>
      <w:r w:rsidRPr="00E84FC5">
        <w:rPr>
          <w:rFonts w:eastAsia="MinionPro-Regular" w:cs="Times New Roman"/>
          <w:szCs w:val="24"/>
        </w:rPr>
        <w:t xml:space="preserve">of all the possible ways to make the world, one has to be preferred to all the others – one which causes most things to succeed, and which, so to speak, contains a lot of essence or variety in a small volume; and which, in a word, </w:t>
      </w:r>
      <w:r>
        <w:rPr>
          <w:rFonts w:eastAsia="MinionPro-Regular" w:cs="Times New Roman"/>
          <w:szCs w:val="24"/>
        </w:rPr>
        <w:t>is the simplest and the richest (</w:t>
      </w:r>
      <w:r w:rsidR="000D2F60">
        <w:rPr>
          <w:rFonts w:eastAsia="MinionPro-Regular" w:cs="Times New Roman"/>
          <w:szCs w:val="24"/>
        </w:rPr>
        <w:t xml:space="preserve">A VI 4: </w:t>
      </w:r>
      <w:r w:rsidR="00F05B1B">
        <w:rPr>
          <w:rFonts w:eastAsia="MinionPro-Regular" w:cs="Times New Roman"/>
          <w:szCs w:val="24"/>
        </w:rPr>
        <w:t>2231/</w:t>
      </w:r>
      <w:r>
        <w:rPr>
          <w:rFonts w:eastAsia="MinionPro-Regular" w:cs="Times New Roman"/>
          <w:szCs w:val="24"/>
        </w:rPr>
        <w:t>LGR 130).</w:t>
      </w:r>
    </w:p>
    <w:p w:rsidR="004168B8" w:rsidRDefault="004168B8" w:rsidP="007327D2">
      <w:pPr>
        <w:spacing w:line="480" w:lineRule="auto"/>
        <w:rPr>
          <w:rFonts w:cs="Times New Roman"/>
          <w:szCs w:val="24"/>
        </w:rPr>
      </w:pPr>
    </w:p>
    <w:p w:rsidR="004253FC" w:rsidRDefault="004168B8" w:rsidP="007327D2">
      <w:pPr>
        <w:spacing w:line="480" w:lineRule="auto"/>
        <w:rPr>
          <w:rFonts w:cs="Times New Roman"/>
          <w:szCs w:val="24"/>
        </w:rPr>
      </w:pPr>
      <w:r w:rsidRPr="004168B8">
        <w:rPr>
          <w:rFonts w:cs="Times New Roman"/>
          <w:szCs w:val="24"/>
        </w:rPr>
        <w:t>Accordingly,</w:t>
      </w:r>
      <w:r w:rsidR="004253FC">
        <w:rPr>
          <w:rFonts w:cs="Times New Roman"/>
          <w:szCs w:val="24"/>
        </w:rPr>
        <w:t xml:space="preserve"> </w:t>
      </w:r>
      <w:r w:rsidR="004B01A7">
        <w:rPr>
          <w:rFonts w:cs="Times New Roman"/>
          <w:szCs w:val="24"/>
        </w:rPr>
        <w:t>“</w:t>
      </w:r>
      <w:r w:rsidR="004253FC" w:rsidRPr="004168B8">
        <w:rPr>
          <w:rFonts w:cs="Times New Roman"/>
          <w:szCs w:val="24"/>
        </w:rPr>
        <w:t xml:space="preserve">the </w:t>
      </w:r>
      <w:r w:rsidR="004253FC" w:rsidRPr="004168B8">
        <w:rPr>
          <w:rFonts w:eastAsia="MinionPro-Regular" w:cs="Times New Roman"/>
          <w:szCs w:val="24"/>
        </w:rPr>
        <w:t>simplest or most beautiful way to make the universe</w:t>
      </w:r>
      <w:r w:rsidR="00EE1C83">
        <w:rPr>
          <w:rFonts w:eastAsia="MinionPro-Regular" w:cs="Times New Roman"/>
          <w:szCs w:val="24"/>
        </w:rPr>
        <w:t>”</w:t>
      </w:r>
      <w:r w:rsidR="004253FC" w:rsidRPr="004168B8">
        <w:rPr>
          <w:rFonts w:eastAsia="MinionPro-Regular" w:cs="Times New Roman"/>
          <w:szCs w:val="24"/>
        </w:rPr>
        <w:t xml:space="preserve"> is the one</w:t>
      </w:r>
      <w:r w:rsidR="00261EC4">
        <w:rPr>
          <w:rFonts w:eastAsia="MinionPro-Regular" w:cs="Times New Roman"/>
          <w:szCs w:val="24"/>
        </w:rPr>
        <w:t xml:space="preserve"> </w:t>
      </w:r>
      <w:r w:rsidR="00EE1C83">
        <w:rPr>
          <w:rFonts w:eastAsia="MinionPro-Regular" w:cs="Times New Roman"/>
          <w:szCs w:val="24"/>
        </w:rPr>
        <w:t>“</w:t>
      </w:r>
      <w:r w:rsidRPr="004168B8">
        <w:rPr>
          <w:rFonts w:eastAsia="MinionPro-Regular" w:cs="Times New Roman"/>
          <w:szCs w:val="24"/>
        </w:rPr>
        <w:t>through which more things or more perfect things succeed</w:t>
      </w:r>
      <w:r w:rsidR="000D2F60">
        <w:rPr>
          <w:rFonts w:eastAsia="MinionPro-Regular" w:cs="Times New Roman"/>
          <w:szCs w:val="24"/>
        </w:rPr>
        <w:t xml:space="preserve"> . . . </w:t>
      </w:r>
      <w:r w:rsidRPr="004168B8">
        <w:rPr>
          <w:rFonts w:eastAsia="MinionPro-Regular" w:cs="Times New Roman"/>
          <w:szCs w:val="24"/>
        </w:rPr>
        <w:t xml:space="preserve">For the most beautiful and the simplest is that which yields the </w:t>
      </w:r>
      <w:r w:rsidR="00261EC4">
        <w:rPr>
          <w:rFonts w:eastAsia="MinionPro-Regular" w:cs="Times New Roman"/>
          <w:szCs w:val="24"/>
        </w:rPr>
        <w:t>most with the least difficulty</w:t>
      </w:r>
      <w:r w:rsidR="004B01A7">
        <w:rPr>
          <w:rFonts w:eastAsia="MinionPro-Regular" w:cs="Times New Roman"/>
          <w:szCs w:val="24"/>
        </w:rPr>
        <w:t>”</w:t>
      </w:r>
      <w:r w:rsidR="00261EC4">
        <w:rPr>
          <w:rFonts w:eastAsia="MinionPro-Regular" w:cs="Times New Roman"/>
          <w:szCs w:val="24"/>
        </w:rPr>
        <w:t xml:space="preserve"> </w:t>
      </w:r>
      <w:r w:rsidRPr="004168B8">
        <w:rPr>
          <w:rFonts w:eastAsia="MinionPro-Regular" w:cs="Times New Roman"/>
          <w:szCs w:val="24"/>
        </w:rPr>
        <w:t>(</w:t>
      </w:r>
      <w:r w:rsidR="00F05B1B">
        <w:rPr>
          <w:rFonts w:eastAsia="MinionPro-Regular" w:cs="Times New Roman"/>
          <w:szCs w:val="24"/>
        </w:rPr>
        <w:t>A VI 4</w:t>
      </w:r>
      <w:r w:rsidR="000D2F60">
        <w:rPr>
          <w:rFonts w:eastAsia="MinionPro-Regular" w:cs="Times New Roman"/>
          <w:szCs w:val="24"/>
        </w:rPr>
        <w:t>:</w:t>
      </w:r>
      <w:r w:rsidR="00F05B1B">
        <w:rPr>
          <w:rFonts w:eastAsia="MinionPro-Regular" w:cs="Times New Roman"/>
          <w:szCs w:val="24"/>
        </w:rPr>
        <w:t xml:space="preserve"> 2231/</w:t>
      </w:r>
      <w:r w:rsidRPr="004168B8">
        <w:rPr>
          <w:rFonts w:eastAsia="MinionPro-Regular" w:cs="Times New Roman"/>
          <w:szCs w:val="24"/>
        </w:rPr>
        <w:t>LGR 131</w:t>
      </w:r>
      <w:r w:rsidR="000D2F60">
        <w:rPr>
          <w:rFonts w:eastAsia="MinionPro-Regular" w:cs="Times New Roman"/>
          <w:szCs w:val="24"/>
        </w:rPr>
        <w:t>; also</w:t>
      </w:r>
      <w:r w:rsidR="008F51E9">
        <w:rPr>
          <w:rFonts w:eastAsia="MinionPro-Regular" w:cs="Times New Roman"/>
          <w:szCs w:val="24"/>
        </w:rPr>
        <w:t xml:space="preserve"> </w:t>
      </w:r>
      <w:r w:rsidR="000D2F60">
        <w:rPr>
          <w:rFonts w:eastAsia="MinionPro-Regular" w:cs="Times New Roman"/>
          <w:szCs w:val="24"/>
        </w:rPr>
        <w:t>see A VI 4:</w:t>
      </w:r>
      <w:r w:rsidR="008F51E9">
        <w:rPr>
          <w:rFonts w:eastAsia="MinionPro-Regular" w:cs="Times New Roman"/>
          <w:szCs w:val="24"/>
        </w:rPr>
        <w:t xml:space="preserve"> 1395/LC 239</w:t>
      </w:r>
      <w:r w:rsidRPr="004168B8">
        <w:rPr>
          <w:rFonts w:eastAsia="MinionPro-Regular" w:cs="Times New Roman"/>
          <w:szCs w:val="24"/>
        </w:rPr>
        <w:t>).</w:t>
      </w:r>
      <w:r w:rsidR="00261EC4">
        <w:rPr>
          <w:rFonts w:eastAsia="MinionPro-Regular" w:cs="Times New Roman"/>
          <w:szCs w:val="24"/>
        </w:rPr>
        <w:t xml:space="preserve"> </w:t>
      </w:r>
      <w:r w:rsidR="004253FC">
        <w:rPr>
          <w:rFonts w:cs="Times New Roman"/>
          <w:szCs w:val="24"/>
        </w:rPr>
        <w:t xml:space="preserve">Leibniz here assumes </w:t>
      </w:r>
      <w:r w:rsidR="004253FC" w:rsidRPr="005057A8">
        <w:rPr>
          <w:rFonts w:cs="Times New Roman"/>
          <w:szCs w:val="24"/>
        </w:rPr>
        <w:t xml:space="preserve">the </w:t>
      </w:r>
      <w:r w:rsidR="004B01A7">
        <w:rPr>
          <w:rFonts w:cs="Times New Roman"/>
          <w:szCs w:val="24"/>
        </w:rPr>
        <w:t>Neo</w:t>
      </w:r>
      <w:r w:rsidR="004253FC">
        <w:rPr>
          <w:rFonts w:cs="Times New Roman"/>
          <w:szCs w:val="24"/>
        </w:rPr>
        <w:t xml:space="preserve">Platonic </w:t>
      </w:r>
      <w:r w:rsidR="004253FC" w:rsidRPr="005057A8">
        <w:rPr>
          <w:rFonts w:cs="Times New Roman"/>
          <w:szCs w:val="24"/>
        </w:rPr>
        <w:t xml:space="preserve">idea that </w:t>
      </w:r>
      <w:r w:rsidR="004253FC">
        <w:rPr>
          <w:rFonts w:cs="Times New Roman"/>
          <w:szCs w:val="24"/>
        </w:rPr>
        <w:t xml:space="preserve">as </w:t>
      </w:r>
      <w:r w:rsidR="004253FC" w:rsidRPr="005057A8">
        <w:rPr>
          <w:rFonts w:cs="Times New Roman"/>
          <w:szCs w:val="24"/>
        </w:rPr>
        <w:t>created things contain a degree of God’s essence</w:t>
      </w:r>
      <w:r w:rsidR="004253FC">
        <w:rPr>
          <w:rFonts w:cs="Times New Roman"/>
          <w:szCs w:val="24"/>
        </w:rPr>
        <w:t xml:space="preserve"> or perfection</w:t>
      </w:r>
      <w:r w:rsidR="004253FC" w:rsidRPr="005057A8">
        <w:rPr>
          <w:rFonts w:cs="Times New Roman"/>
          <w:szCs w:val="24"/>
        </w:rPr>
        <w:t xml:space="preserve">, the </w:t>
      </w:r>
      <w:r w:rsidR="00261EC4">
        <w:rPr>
          <w:rFonts w:cs="Times New Roman"/>
          <w:szCs w:val="24"/>
        </w:rPr>
        <w:t xml:space="preserve">more </w:t>
      </w:r>
      <w:r w:rsidR="004253FC" w:rsidRPr="005057A8">
        <w:rPr>
          <w:rFonts w:cs="Times New Roman"/>
          <w:szCs w:val="24"/>
        </w:rPr>
        <w:t xml:space="preserve">created things in existence the better, as this effectively </w:t>
      </w:r>
      <w:r w:rsidR="004253FC" w:rsidRPr="003A4802">
        <w:rPr>
          <w:rFonts w:cs="Times New Roman"/>
          <w:szCs w:val="24"/>
        </w:rPr>
        <w:t>multipl</w:t>
      </w:r>
      <w:r w:rsidR="00261EC4">
        <w:rPr>
          <w:rFonts w:cs="Times New Roman"/>
          <w:szCs w:val="24"/>
        </w:rPr>
        <w:t>ies</w:t>
      </w:r>
      <w:r w:rsidR="004253FC" w:rsidRPr="003A4802">
        <w:rPr>
          <w:rFonts w:cs="Times New Roman"/>
          <w:szCs w:val="24"/>
        </w:rPr>
        <w:t xml:space="preserve"> God’s own perfections in the world</w:t>
      </w:r>
      <w:r w:rsidR="004253FC">
        <w:rPr>
          <w:rFonts w:cs="Times New Roman"/>
          <w:szCs w:val="24"/>
        </w:rPr>
        <w:t>. Leibniz also assume</w:t>
      </w:r>
      <w:r w:rsidR="00261EC4">
        <w:rPr>
          <w:rFonts w:cs="Times New Roman"/>
          <w:szCs w:val="24"/>
        </w:rPr>
        <w:t>s</w:t>
      </w:r>
      <w:r w:rsidR="004253FC">
        <w:rPr>
          <w:rFonts w:cs="Times New Roman"/>
          <w:szCs w:val="24"/>
        </w:rPr>
        <w:t xml:space="preserve"> that it is by favouring simplicity that God </w:t>
      </w:r>
      <w:r w:rsidR="001D2134">
        <w:rPr>
          <w:rFonts w:cs="Times New Roman"/>
          <w:szCs w:val="24"/>
        </w:rPr>
        <w:t>is able to bring</w:t>
      </w:r>
      <w:r w:rsidR="004253FC">
        <w:rPr>
          <w:rFonts w:cs="Times New Roman"/>
          <w:szCs w:val="24"/>
        </w:rPr>
        <w:t xml:space="preserve"> about the richest set of things.</w:t>
      </w:r>
    </w:p>
    <w:p w:rsidR="00E84FC5" w:rsidRDefault="004253FC" w:rsidP="007327D2">
      <w:pPr>
        <w:spacing w:line="480" w:lineRule="auto"/>
        <w:rPr>
          <w:rFonts w:cs="Times New Roman"/>
          <w:szCs w:val="24"/>
        </w:rPr>
      </w:pPr>
      <w:r>
        <w:rPr>
          <w:rFonts w:cs="Times New Roman"/>
          <w:szCs w:val="24"/>
        </w:rPr>
        <w:tab/>
      </w:r>
      <w:r w:rsidR="00C0044A">
        <w:rPr>
          <w:rFonts w:cs="Times New Roman"/>
          <w:szCs w:val="24"/>
        </w:rPr>
        <w:t>Many of t</w:t>
      </w:r>
      <w:r>
        <w:rPr>
          <w:rFonts w:cs="Times New Roman"/>
          <w:szCs w:val="24"/>
        </w:rPr>
        <w:t xml:space="preserve">hese ideas </w:t>
      </w:r>
      <w:r w:rsidR="00261EC4">
        <w:rPr>
          <w:rFonts w:cs="Times New Roman"/>
          <w:szCs w:val="24"/>
        </w:rPr>
        <w:t>reappear</w:t>
      </w:r>
      <w:r w:rsidR="00C0044A">
        <w:rPr>
          <w:rFonts w:cs="Times New Roman"/>
          <w:szCs w:val="24"/>
        </w:rPr>
        <w:t xml:space="preserve"> in </w:t>
      </w:r>
      <w:r w:rsidR="007D24D3">
        <w:rPr>
          <w:rFonts w:cs="Times New Roman"/>
          <w:szCs w:val="24"/>
        </w:rPr>
        <w:t>§§5-6</w:t>
      </w:r>
      <w:r w:rsidR="00C0044A">
        <w:rPr>
          <w:rFonts w:cs="Times New Roman"/>
          <w:szCs w:val="24"/>
        </w:rPr>
        <w:t xml:space="preserve"> of the </w:t>
      </w:r>
      <w:r w:rsidR="007C3FF9">
        <w:rPr>
          <w:rFonts w:cs="Times New Roman"/>
          <w:szCs w:val="24"/>
        </w:rPr>
        <w:t>“</w:t>
      </w:r>
      <w:r w:rsidR="00C0044A" w:rsidRPr="007C3FF9">
        <w:rPr>
          <w:rFonts w:cs="Times New Roman"/>
          <w:szCs w:val="24"/>
        </w:rPr>
        <w:t>Discourse</w:t>
      </w:r>
      <w:r w:rsidR="007C3FF9">
        <w:rPr>
          <w:rFonts w:cs="Times New Roman"/>
          <w:szCs w:val="24"/>
        </w:rPr>
        <w:t>”</w:t>
      </w:r>
      <w:r w:rsidR="00C0044A">
        <w:rPr>
          <w:rFonts w:cs="Times New Roman"/>
          <w:szCs w:val="24"/>
        </w:rPr>
        <w:t xml:space="preserve"> when Leibniz considers in what the excellence of God’s work consists. </w:t>
      </w:r>
      <w:r w:rsidR="00781F4A">
        <w:rPr>
          <w:rFonts w:cs="Times New Roman"/>
          <w:szCs w:val="24"/>
        </w:rPr>
        <w:t xml:space="preserve">While he construes it in terms of the simplicity of God’s ways and the richness of the effects, </w:t>
      </w:r>
      <w:r w:rsidR="001D2134">
        <w:rPr>
          <w:rFonts w:cs="Times New Roman"/>
          <w:szCs w:val="24"/>
        </w:rPr>
        <w:t>the way he explains</w:t>
      </w:r>
      <w:r w:rsidR="00781F4A">
        <w:rPr>
          <w:rFonts w:cs="Times New Roman"/>
          <w:szCs w:val="24"/>
        </w:rPr>
        <w:t xml:space="preserve"> the relationship between these two criteria </w:t>
      </w:r>
      <w:r w:rsidR="001D2134">
        <w:rPr>
          <w:rFonts w:cs="Times New Roman"/>
          <w:szCs w:val="24"/>
        </w:rPr>
        <w:t>is not the same as</w:t>
      </w:r>
      <w:r w:rsidR="00781F4A">
        <w:rPr>
          <w:rFonts w:cs="Times New Roman"/>
          <w:szCs w:val="24"/>
        </w:rPr>
        <w:t xml:space="preserve"> it was in 1679. </w:t>
      </w:r>
      <w:r w:rsidR="007D24D3">
        <w:rPr>
          <w:rFonts w:cs="Times New Roman"/>
          <w:szCs w:val="24"/>
        </w:rPr>
        <w:t>In the heading for §5</w:t>
      </w:r>
      <w:r w:rsidR="001D2134">
        <w:rPr>
          <w:rFonts w:cs="Times New Roman"/>
          <w:szCs w:val="24"/>
        </w:rPr>
        <w:t>,</w:t>
      </w:r>
      <w:r w:rsidR="007D24D3">
        <w:rPr>
          <w:rFonts w:cs="Times New Roman"/>
          <w:szCs w:val="24"/>
        </w:rPr>
        <w:t xml:space="preserve"> </w:t>
      </w:r>
      <w:r w:rsidR="00781F4A">
        <w:rPr>
          <w:rFonts w:cs="Times New Roman"/>
          <w:szCs w:val="24"/>
        </w:rPr>
        <w:t>Leibniz states</w:t>
      </w:r>
      <w:r w:rsidR="007D24D3">
        <w:rPr>
          <w:rFonts w:cs="Times New Roman"/>
          <w:szCs w:val="24"/>
        </w:rPr>
        <w:t xml:space="preserve"> that </w:t>
      </w:r>
      <w:r w:rsidR="004B01A7">
        <w:rPr>
          <w:rFonts w:cs="Times New Roman"/>
          <w:szCs w:val="24"/>
        </w:rPr>
        <w:t>“</w:t>
      </w:r>
      <w:r w:rsidR="00E84FC5" w:rsidRPr="00E84FC5">
        <w:rPr>
          <w:rFonts w:cs="Times New Roman"/>
          <w:szCs w:val="24"/>
        </w:rPr>
        <w:t>the simplicity of</w:t>
      </w:r>
      <w:r w:rsidR="007D24D3">
        <w:rPr>
          <w:rFonts w:cs="Times New Roman"/>
          <w:szCs w:val="24"/>
        </w:rPr>
        <w:t xml:space="preserve"> </w:t>
      </w:r>
      <w:r w:rsidR="00E84FC5" w:rsidRPr="00E84FC5">
        <w:rPr>
          <w:rFonts w:cs="Times New Roman"/>
          <w:szCs w:val="24"/>
        </w:rPr>
        <w:t>ways is in balance with the richness of effects</w:t>
      </w:r>
      <w:r w:rsidR="004B01A7">
        <w:rPr>
          <w:rFonts w:cs="Times New Roman"/>
          <w:szCs w:val="24"/>
        </w:rPr>
        <w:t>”</w:t>
      </w:r>
      <w:r w:rsidR="00E84FC5" w:rsidRPr="00E84FC5">
        <w:rPr>
          <w:rFonts w:cs="Times New Roman"/>
          <w:szCs w:val="24"/>
        </w:rPr>
        <w:t xml:space="preserve"> (A VI </w:t>
      </w:r>
      <w:r w:rsidR="009A0521">
        <w:rPr>
          <w:rFonts w:cs="Times New Roman"/>
          <w:szCs w:val="24"/>
        </w:rPr>
        <w:t>4</w:t>
      </w:r>
      <w:r w:rsidR="000D2F60">
        <w:rPr>
          <w:rFonts w:cs="Times New Roman"/>
          <w:szCs w:val="24"/>
        </w:rPr>
        <w:t>:</w:t>
      </w:r>
      <w:r w:rsidR="00E84FC5" w:rsidRPr="00E84FC5">
        <w:rPr>
          <w:rFonts w:cs="Times New Roman"/>
          <w:szCs w:val="24"/>
        </w:rPr>
        <w:t xml:space="preserve"> 1536/</w:t>
      </w:r>
      <w:r w:rsidR="009A0521">
        <w:rPr>
          <w:rFonts w:cs="Times New Roman"/>
          <w:szCs w:val="24"/>
        </w:rPr>
        <w:t>PPL 305</w:t>
      </w:r>
      <w:r w:rsidR="00781F4A">
        <w:rPr>
          <w:rFonts w:cs="Times New Roman"/>
          <w:szCs w:val="24"/>
        </w:rPr>
        <w:t xml:space="preserve">), a remark that some scholars have construed to mean that Leibniz took simplicity and richness to be in tension or conflict, </w:t>
      </w:r>
      <w:r w:rsidR="00781F4A">
        <w:t>such that</w:t>
      </w:r>
      <w:r w:rsidR="00781F4A" w:rsidRPr="00CA5C04">
        <w:t xml:space="preserve"> </w:t>
      </w:r>
      <w:r w:rsidR="00781F4A">
        <w:t xml:space="preserve">to create the best world </w:t>
      </w:r>
      <w:r w:rsidR="00781F4A" w:rsidRPr="00CA5C04">
        <w:t>God must seek the optimal trade-off of the two</w:t>
      </w:r>
      <w:r w:rsidR="00781F4A">
        <w:t>.</w:t>
      </w:r>
      <w:r w:rsidR="00781F4A">
        <w:rPr>
          <w:rStyle w:val="FootnoteReference"/>
        </w:rPr>
        <w:footnoteReference w:id="20"/>
      </w:r>
      <w:r w:rsidR="00781F4A">
        <w:t xml:space="preserve"> </w:t>
      </w:r>
      <w:r w:rsidR="009A0521">
        <w:t xml:space="preserve">However, in </w:t>
      </w:r>
      <w:r w:rsidR="009A0521">
        <w:rPr>
          <w:rFonts w:cs="Times New Roman"/>
        </w:rPr>
        <w:t>§</w:t>
      </w:r>
      <w:r w:rsidR="009A0521">
        <w:t xml:space="preserve">6 Leibniz </w:t>
      </w:r>
      <w:r w:rsidR="00E84FC5" w:rsidRPr="00E84FC5">
        <w:rPr>
          <w:rFonts w:cs="Times New Roman"/>
          <w:szCs w:val="24"/>
        </w:rPr>
        <w:t xml:space="preserve">goes on to explain </w:t>
      </w:r>
      <w:r w:rsidR="00B0326C">
        <w:rPr>
          <w:rFonts w:cs="Times New Roman"/>
          <w:szCs w:val="24"/>
        </w:rPr>
        <w:t>w</w:t>
      </w:r>
      <w:r w:rsidR="00E84FC5" w:rsidRPr="00E84FC5">
        <w:rPr>
          <w:rFonts w:cs="Times New Roman"/>
          <w:szCs w:val="24"/>
        </w:rPr>
        <w:t>hat he means by</w:t>
      </w:r>
      <w:r w:rsidR="009A0521">
        <w:rPr>
          <w:rFonts w:cs="Times New Roman"/>
          <w:szCs w:val="24"/>
        </w:rPr>
        <w:t xml:space="preserve"> these two factors being </w:t>
      </w:r>
      <w:r w:rsidR="004B01A7">
        <w:rPr>
          <w:rFonts w:cs="Times New Roman"/>
          <w:szCs w:val="24"/>
        </w:rPr>
        <w:t>“</w:t>
      </w:r>
      <w:r w:rsidR="00E84FC5" w:rsidRPr="00E84FC5">
        <w:rPr>
          <w:rFonts w:cs="Times New Roman"/>
          <w:szCs w:val="24"/>
        </w:rPr>
        <w:t>in balance</w:t>
      </w:r>
      <w:r w:rsidR="004B01A7">
        <w:rPr>
          <w:rFonts w:cs="Times New Roman"/>
          <w:szCs w:val="24"/>
        </w:rPr>
        <w:t>”</w:t>
      </w:r>
      <w:r w:rsidR="00E84FC5" w:rsidRPr="00E84FC5">
        <w:rPr>
          <w:rFonts w:cs="Times New Roman"/>
          <w:szCs w:val="24"/>
        </w:rPr>
        <w:t xml:space="preserve">, </w:t>
      </w:r>
      <w:r w:rsidR="009A0521">
        <w:rPr>
          <w:rFonts w:cs="Times New Roman"/>
          <w:szCs w:val="24"/>
        </w:rPr>
        <w:t>namely</w:t>
      </w:r>
      <w:r w:rsidR="00E84FC5" w:rsidRPr="00E84FC5">
        <w:rPr>
          <w:rFonts w:cs="Times New Roman"/>
          <w:szCs w:val="24"/>
        </w:rPr>
        <w:t xml:space="preserve"> that they are simultaneously</w:t>
      </w:r>
      <w:r w:rsidR="009A0521">
        <w:rPr>
          <w:rFonts w:cs="Times New Roman"/>
          <w:szCs w:val="24"/>
        </w:rPr>
        <w:t xml:space="preserve"> maximized: </w:t>
      </w:r>
      <w:r w:rsidR="004B01A7">
        <w:rPr>
          <w:rFonts w:cs="Times New Roman"/>
          <w:szCs w:val="24"/>
        </w:rPr>
        <w:t>“</w:t>
      </w:r>
      <w:r w:rsidR="007D24D3" w:rsidRPr="007D24D3">
        <w:rPr>
          <w:rFonts w:cs="Times New Roman"/>
          <w:szCs w:val="24"/>
        </w:rPr>
        <w:t>But God has chosen that world which is the most perfect, that is to say, which is at the same time the simplest in its hypotheses and the richest in phenomena</w:t>
      </w:r>
      <w:r w:rsidR="004B01A7">
        <w:rPr>
          <w:rFonts w:cs="Times New Roman"/>
          <w:szCs w:val="24"/>
        </w:rPr>
        <w:t>”</w:t>
      </w:r>
      <w:r w:rsidR="007D24D3">
        <w:rPr>
          <w:rFonts w:cs="Times New Roman"/>
          <w:szCs w:val="24"/>
        </w:rPr>
        <w:t xml:space="preserve"> (A VI </w:t>
      </w:r>
      <w:r w:rsidR="009A0521">
        <w:rPr>
          <w:rFonts w:cs="Times New Roman"/>
          <w:szCs w:val="24"/>
        </w:rPr>
        <w:t>4</w:t>
      </w:r>
      <w:r w:rsidR="000D2F60">
        <w:rPr>
          <w:rFonts w:cs="Times New Roman"/>
          <w:szCs w:val="24"/>
        </w:rPr>
        <w:t>:</w:t>
      </w:r>
      <w:r w:rsidR="007D24D3">
        <w:rPr>
          <w:rFonts w:cs="Times New Roman"/>
          <w:szCs w:val="24"/>
        </w:rPr>
        <w:t xml:space="preserve"> 1538/PPL 306)</w:t>
      </w:r>
      <w:r w:rsidR="00C0044A">
        <w:rPr>
          <w:rFonts w:cs="Times New Roman"/>
          <w:szCs w:val="24"/>
        </w:rPr>
        <w:t>.</w:t>
      </w:r>
      <w:r w:rsidR="00B0326C">
        <w:rPr>
          <w:rFonts w:cs="Times New Roman"/>
          <w:szCs w:val="24"/>
        </w:rPr>
        <w:t xml:space="preserve"> Here there is no suggestion, as there was in 1679, that simplicity is the </w:t>
      </w:r>
      <w:r w:rsidR="00B0326C" w:rsidRPr="00FA2762">
        <w:rPr>
          <w:rFonts w:cs="Times New Roman"/>
          <w:i/>
          <w:szCs w:val="24"/>
        </w:rPr>
        <w:t>means</w:t>
      </w:r>
      <w:r w:rsidR="00B0326C">
        <w:rPr>
          <w:rFonts w:cs="Times New Roman"/>
          <w:szCs w:val="24"/>
        </w:rPr>
        <w:t xml:space="preserve"> to </w:t>
      </w:r>
      <w:r w:rsidR="00A36718">
        <w:rPr>
          <w:rFonts w:cs="Times New Roman"/>
          <w:szCs w:val="24"/>
        </w:rPr>
        <w:t xml:space="preserve">obtaining </w:t>
      </w:r>
      <w:r w:rsidR="00B0326C">
        <w:rPr>
          <w:rFonts w:cs="Times New Roman"/>
          <w:szCs w:val="24"/>
        </w:rPr>
        <w:t>richness</w:t>
      </w:r>
      <w:r w:rsidR="00A36718">
        <w:rPr>
          <w:rFonts w:cs="Times New Roman"/>
          <w:szCs w:val="24"/>
        </w:rPr>
        <w:t xml:space="preserve">, though the thought </w:t>
      </w:r>
      <w:r w:rsidR="00B30A40">
        <w:rPr>
          <w:rFonts w:cs="Times New Roman"/>
          <w:szCs w:val="24"/>
        </w:rPr>
        <w:t xml:space="preserve">does occur in later writings so in all likelihood Leibniz had not abandoned it at the time of writing the </w:t>
      </w:r>
      <w:r w:rsidR="007C3FF9">
        <w:rPr>
          <w:rFonts w:cs="Times New Roman"/>
          <w:szCs w:val="24"/>
        </w:rPr>
        <w:t>“</w:t>
      </w:r>
      <w:r w:rsidR="00B30A40" w:rsidRPr="007C3FF9">
        <w:rPr>
          <w:rFonts w:cs="Times New Roman"/>
          <w:szCs w:val="24"/>
        </w:rPr>
        <w:t>Discourse</w:t>
      </w:r>
      <w:r w:rsidR="007C3FF9">
        <w:rPr>
          <w:rFonts w:cs="Times New Roman"/>
          <w:szCs w:val="24"/>
        </w:rPr>
        <w:t>”</w:t>
      </w:r>
      <w:r w:rsidR="008F51E9">
        <w:rPr>
          <w:rFonts w:cs="Times New Roman"/>
          <w:szCs w:val="24"/>
        </w:rPr>
        <w:t xml:space="preserve"> even if it is not explicitly </w:t>
      </w:r>
      <w:r w:rsidR="00FA2762">
        <w:rPr>
          <w:rFonts w:cs="Times New Roman"/>
          <w:szCs w:val="24"/>
        </w:rPr>
        <w:t>express</w:t>
      </w:r>
      <w:r w:rsidR="008F51E9">
        <w:rPr>
          <w:rFonts w:cs="Times New Roman"/>
          <w:szCs w:val="24"/>
        </w:rPr>
        <w:t>ed</w:t>
      </w:r>
      <w:r w:rsidR="00C12C25">
        <w:rPr>
          <w:rFonts w:cs="Times New Roman"/>
          <w:szCs w:val="24"/>
        </w:rPr>
        <w:t xml:space="preserve"> there</w:t>
      </w:r>
      <w:r w:rsidR="00B30A40">
        <w:rPr>
          <w:rFonts w:cs="Times New Roman"/>
          <w:szCs w:val="24"/>
        </w:rPr>
        <w:t>.</w:t>
      </w:r>
      <w:r w:rsidR="000D2F60">
        <w:rPr>
          <w:rStyle w:val="FootnoteReference"/>
          <w:rFonts w:cs="Times New Roman"/>
          <w:szCs w:val="24"/>
        </w:rPr>
        <w:footnoteReference w:id="21"/>
      </w:r>
    </w:p>
    <w:p w:rsidR="005C1D74" w:rsidRDefault="005C1D74" w:rsidP="007327D2">
      <w:pPr>
        <w:spacing w:line="480" w:lineRule="auto"/>
        <w:rPr>
          <w:rFonts w:cs="Times New Roman"/>
          <w:szCs w:val="24"/>
        </w:rPr>
      </w:pPr>
      <w:r>
        <w:rPr>
          <w:rFonts w:cs="Times New Roman"/>
          <w:szCs w:val="24"/>
        </w:rPr>
        <w:tab/>
      </w:r>
      <w:r w:rsidR="00DB73A9">
        <w:rPr>
          <w:rFonts w:cs="Times New Roman"/>
          <w:szCs w:val="24"/>
        </w:rPr>
        <w:t>In this context, a</w:t>
      </w:r>
      <w:r w:rsidR="008F51E9">
        <w:rPr>
          <w:rFonts w:cs="Times New Roman"/>
          <w:szCs w:val="24"/>
        </w:rPr>
        <w:t xml:space="preserve">nother </w:t>
      </w:r>
      <w:r w:rsidR="00DB73A9">
        <w:rPr>
          <w:rFonts w:cs="Times New Roman"/>
          <w:szCs w:val="24"/>
        </w:rPr>
        <w:t xml:space="preserve">notable </w:t>
      </w:r>
      <w:r w:rsidR="008F51E9">
        <w:rPr>
          <w:rFonts w:cs="Times New Roman"/>
          <w:szCs w:val="24"/>
        </w:rPr>
        <w:t xml:space="preserve">omission in the </w:t>
      </w:r>
      <w:r w:rsidR="007C3FF9">
        <w:rPr>
          <w:rFonts w:cs="Times New Roman"/>
          <w:szCs w:val="24"/>
        </w:rPr>
        <w:t>“</w:t>
      </w:r>
      <w:r w:rsidR="008F51E9" w:rsidRPr="007C3FF9">
        <w:rPr>
          <w:rFonts w:cs="Times New Roman"/>
          <w:szCs w:val="24"/>
        </w:rPr>
        <w:t>Discourse</w:t>
      </w:r>
      <w:r w:rsidR="007C3FF9">
        <w:rPr>
          <w:rFonts w:cs="Times New Roman"/>
          <w:szCs w:val="24"/>
        </w:rPr>
        <w:t>”</w:t>
      </w:r>
      <w:r w:rsidR="008F51E9">
        <w:rPr>
          <w:rFonts w:cs="Times New Roman"/>
          <w:szCs w:val="24"/>
        </w:rPr>
        <w:t xml:space="preserve"> is </w:t>
      </w:r>
      <w:r>
        <w:rPr>
          <w:rFonts w:cs="Times New Roman"/>
          <w:szCs w:val="24"/>
        </w:rPr>
        <w:t xml:space="preserve">Leibniz’s </w:t>
      </w:r>
      <w:r w:rsidR="008F51E9">
        <w:rPr>
          <w:rFonts w:cs="Times New Roman"/>
          <w:szCs w:val="24"/>
        </w:rPr>
        <w:t xml:space="preserve">doctrine of incompossibility, which is the idea that not all possible things are compossible, that is, mutually compatible. Its omission is surprising inasmuch as the reader </w:t>
      </w:r>
      <w:r w:rsidR="00DB73A9">
        <w:rPr>
          <w:rFonts w:cs="Times New Roman"/>
          <w:szCs w:val="24"/>
        </w:rPr>
        <w:t xml:space="preserve">of the </w:t>
      </w:r>
      <w:r w:rsidR="007C3FF9">
        <w:rPr>
          <w:rFonts w:cs="Times New Roman"/>
          <w:szCs w:val="24"/>
        </w:rPr>
        <w:t>“</w:t>
      </w:r>
      <w:r w:rsidR="00DB73A9" w:rsidRPr="007C3FF9">
        <w:rPr>
          <w:rFonts w:cs="Times New Roman"/>
          <w:szCs w:val="24"/>
        </w:rPr>
        <w:t>Discourse</w:t>
      </w:r>
      <w:r w:rsidR="007C3FF9">
        <w:rPr>
          <w:rFonts w:cs="Times New Roman"/>
          <w:szCs w:val="24"/>
        </w:rPr>
        <w:t>”</w:t>
      </w:r>
      <w:r w:rsidR="00DB73A9">
        <w:rPr>
          <w:rFonts w:cs="Times New Roman"/>
          <w:szCs w:val="24"/>
        </w:rPr>
        <w:t xml:space="preserve"> </w:t>
      </w:r>
      <w:r w:rsidR="008F51E9">
        <w:rPr>
          <w:rFonts w:cs="Times New Roman"/>
          <w:szCs w:val="24"/>
        </w:rPr>
        <w:t xml:space="preserve">may otherwise get the impression that God’s decision to </w:t>
      </w:r>
      <w:r>
        <w:rPr>
          <w:rFonts w:cs="Times New Roman"/>
          <w:szCs w:val="24"/>
        </w:rPr>
        <w:t>produce the richest set of things mean</w:t>
      </w:r>
      <w:r w:rsidR="008F51E9">
        <w:rPr>
          <w:rFonts w:cs="Times New Roman"/>
          <w:szCs w:val="24"/>
        </w:rPr>
        <w:t>s</w:t>
      </w:r>
      <w:r>
        <w:rPr>
          <w:rFonts w:cs="Times New Roman"/>
          <w:szCs w:val="24"/>
        </w:rPr>
        <w:t xml:space="preserve"> that </w:t>
      </w:r>
      <w:r w:rsidR="008F51E9">
        <w:rPr>
          <w:rFonts w:cs="Times New Roman"/>
          <w:szCs w:val="24"/>
        </w:rPr>
        <w:t xml:space="preserve">he will create </w:t>
      </w:r>
      <w:r w:rsidR="00992850">
        <w:rPr>
          <w:rFonts w:cs="Times New Roman"/>
          <w:szCs w:val="24"/>
        </w:rPr>
        <w:t xml:space="preserve">all possible things, which </w:t>
      </w:r>
      <w:r w:rsidR="00261EC4">
        <w:rPr>
          <w:rFonts w:cs="Times New Roman"/>
          <w:szCs w:val="24"/>
        </w:rPr>
        <w:t>is not</w:t>
      </w:r>
      <w:r w:rsidR="00992850">
        <w:rPr>
          <w:rFonts w:cs="Times New Roman"/>
          <w:szCs w:val="24"/>
        </w:rPr>
        <w:t xml:space="preserve"> a view </w:t>
      </w:r>
      <w:r w:rsidR="00261EC4">
        <w:rPr>
          <w:rFonts w:cs="Times New Roman"/>
          <w:szCs w:val="24"/>
        </w:rPr>
        <w:t>Leibniz</w:t>
      </w:r>
      <w:r w:rsidR="00992850">
        <w:rPr>
          <w:rFonts w:cs="Times New Roman"/>
          <w:szCs w:val="24"/>
        </w:rPr>
        <w:t xml:space="preserve"> ever held. </w:t>
      </w:r>
      <w:r w:rsidR="00A9032B">
        <w:rPr>
          <w:rFonts w:cs="Times New Roman"/>
          <w:szCs w:val="24"/>
        </w:rPr>
        <w:t xml:space="preserve">The </w:t>
      </w:r>
      <w:r w:rsidR="007C3FF9">
        <w:rPr>
          <w:rFonts w:cs="Times New Roman"/>
          <w:szCs w:val="24"/>
        </w:rPr>
        <w:t>“</w:t>
      </w:r>
      <w:r w:rsidR="00A9032B" w:rsidRPr="007C3FF9">
        <w:rPr>
          <w:rFonts w:cs="Times New Roman"/>
          <w:szCs w:val="24"/>
        </w:rPr>
        <w:t>Discourse</w:t>
      </w:r>
      <w:r w:rsidR="007C3FF9">
        <w:rPr>
          <w:rFonts w:cs="Times New Roman"/>
          <w:szCs w:val="24"/>
        </w:rPr>
        <w:t>”</w:t>
      </w:r>
      <w:r w:rsidR="00A9032B" w:rsidRPr="007C3FF9">
        <w:rPr>
          <w:rFonts w:cs="Times New Roman"/>
          <w:szCs w:val="24"/>
        </w:rPr>
        <w:t xml:space="preserve"> </w:t>
      </w:r>
      <w:r w:rsidR="00A9032B">
        <w:rPr>
          <w:rFonts w:cs="Times New Roman"/>
          <w:szCs w:val="24"/>
        </w:rPr>
        <w:t>does at least contain some hints that this is not his view; for example, i</w:t>
      </w:r>
      <w:r w:rsidR="00992850">
        <w:rPr>
          <w:rFonts w:cs="Times New Roman"/>
          <w:szCs w:val="24"/>
        </w:rPr>
        <w:t>n §5 Leibniz state</w:t>
      </w:r>
      <w:r w:rsidR="00A9032B">
        <w:rPr>
          <w:rFonts w:cs="Times New Roman"/>
          <w:szCs w:val="24"/>
        </w:rPr>
        <w:t>s</w:t>
      </w:r>
      <w:r w:rsidR="00992850">
        <w:rPr>
          <w:rFonts w:cs="Times New Roman"/>
          <w:szCs w:val="24"/>
        </w:rPr>
        <w:t xml:space="preserve"> that God is</w:t>
      </w:r>
    </w:p>
    <w:p w:rsidR="00992850" w:rsidRPr="00E84FC5" w:rsidRDefault="00992850" w:rsidP="007327D2">
      <w:pPr>
        <w:autoSpaceDE w:val="0"/>
        <w:autoSpaceDN w:val="0"/>
        <w:adjustRightInd w:val="0"/>
        <w:spacing w:line="480" w:lineRule="auto"/>
        <w:rPr>
          <w:rFonts w:cs="Times New Roman"/>
          <w:szCs w:val="24"/>
        </w:rPr>
      </w:pPr>
    </w:p>
    <w:p w:rsidR="00992850" w:rsidRDefault="00992850" w:rsidP="007327D2">
      <w:pPr>
        <w:autoSpaceDE w:val="0"/>
        <w:autoSpaceDN w:val="0"/>
        <w:adjustRightInd w:val="0"/>
        <w:spacing w:line="480" w:lineRule="auto"/>
        <w:ind w:left="720"/>
        <w:rPr>
          <w:rFonts w:eastAsia="MinionPro-Regular" w:cs="Times New Roman"/>
          <w:szCs w:val="24"/>
        </w:rPr>
      </w:pPr>
      <w:r w:rsidRPr="00C0044A">
        <w:rPr>
          <w:rFonts w:eastAsia="MinionPro-Regular" w:cs="Times New Roman"/>
          <w:szCs w:val="24"/>
        </w:rPr>
        <w:t>like a good architect who manages the space and capital intended for a building in the most advantageous way... and a learned author who includes the greatest number of deeds in the smallest possible volume (</w:t>
      </w:r>
      <w:r>
        <w:rPr>
          <w:rFonts w:eastAsia="MinionPro-Regular" w:cs="Times New Roman"/>
          <w:szCs w:val="24"/>
        </w:rPr>
        <w:t>A VI 4</w:t>
      </w:r>
      <w:r w:rsidR="000D2F60">
        <w:rPr>
          <w:rFonts w:eastAsia="MinionPro-Regular" w:cs="Times New Roman"/>
          <w:szCs w:val="24"/>
        </w:rPr>
        <w:t>:</w:t>
      </w:r>
      <w:r>
        <w:rPr>
          <w:rFonts w:eastAsia="MinionPro-Regular" w:cs="Times New Roman"/>
          <w:szCs w:val="24"/>
        </w:rPr>
        <w:t xml:space="preserve"> 1536/</w:t>
      </w:r>
      <w:r w:rsidRPr="00C0044A">
        <w:rPr>
          <w:rFonts w:eastAsia="MinionPro-Regular" w:cs="Times New Roman"/>
          <w:szCs w:val="24"/>
        </w:rPr>
        <w:t>PPL 305-6)</w:t>
      </w:r>
      <w:r>
        <w:rPr>
          <w:rFonts w:eastAsia="MinionPro-Regular" w:cs="Times New Roman"/>
          <w:szCs w:val="24"/>
        </w:rPr>
        <w:t>.</w:t>
      </w:r>
    </w:p>
    <w:p w:rsidR="00992850" w:rsidRDefault="00992850" w:rsidP="007327D2">
      <w:pPr>
        <w:autoSpaceDE w:val="0"/>
        <w:autoSpaceDN w:val="0"/>
        <w:adjustRightInd w:val="0"/>
        <w:spacing w:line="480" w:lineRule="auto"/>
        <w:rPr>
          <w:rFonts w:eastAsia="MinionPro-Regular" w:cs="Times New Roman"/>
          <w:szCs w:val="24"/>
        </w:rPr>
      </w:pPr>
    </w:p>
    <w:p w:rsidR="00992850" w:rsidRDefault="00D93E1B" w:rsidP="007327D2">
      <w:pPr>
        <w:spacing w:line="480" w:lineRule="auto"/>
        <w:rPr>
          <w:rFonts w:cs="Times New Roman"/>
          <w:szCs w:val="24"/>
        </w:rPr>
      </w:pPr>
      <w:r>
        <w:rPr>
          <w:rFonts w:cs="Times New Roman"/>
          <w:szCs w:val="24"/>
        </w:rPr>
        <w:t>The analogies are clearly intended to make the general point that God does the most with the least, but if taken strictly would suggest that he</w:t>
      </w:r>
      <w:r w:rsidR="000D2F60" w:rsidRPr="00C10554">
        <w:rPr>
          <w:u w:color="000000"/>
        </w:rPr>
        <w:t>—</w:t>
      </w:r>
      <w:r>
        <w:rPr>
          <w:rFonts w:cs="Times New Roman"/>
          <w:szCs w:val="24"/>
        </w:rPr>
        <w:t>like the architect and author</w:t>
      </w:r>
      <w:r w:rsidR="000D2F60" w:rsidRPr="00C10554">
        <w:rPr>
          <w:u w:color="000000"/>
        </w:rPr>
        <w:t>—</w:t>
      </w:r>
      <w:r>
        <w:rPr>
          <w:rFonts w:cs="Times New Roman"/>
          <w:szCs w:val="24"/>
        </w:rPr>
        <w:t xml:space="preserve">is subject to restrictions on what he can include in his creation and </w:t>
      </w:r>
      <w:r w:rsidR="00261EC4">
        <w:rPr>
          <w:rFonts w:cs="Times New Roman"/>
          <w:szCs w:val="24"/>
        </w:rPr>
        <w:t>as such</w:t>
      </w:r>
      <w:r>
        <w:rPr>
          <w:rFonts w:cs="Times New Roman"/>
          <w:szCs w:val="24"/>
        </w:rPr>
        <w:t xml:space="preserve"> cannot simply create everything. But one must look to other writings for a more explicit formulation of this thought and the importance Leibniz accords to it in demonstrating that, in creating this world, God must have exercised </w:t>
      </w:r>
      <w:r w:rsidRPr="00A9032B">
        <w:rPr>
          <w:rFonts w:cs="Times New Roman"/>
          <w:szCs w:val="24"/>
        </w:rPr>
        <w:t>choice</w:t>
      </w:r>
      <w:r w:rsidR="00A9032B">
        <w:rPr>
          <w:rFonts w:cs="Times New Roman"/>
          <w:szCs w:val="24"/>
        </w:rPr>
        <w:t xml:space="preserve"> between </w:t>
      </w:r>
      <w:r w:rsidR="0067380F">
        <w:rPr>
          <w:rFonts w:cs="Times New Roman"/>
          <w:szCs w:val="24"/>
        </w:rPr>
        <w:t>mutually incompatible</w:t>
      </w:r>
      <w:r w:rsidR="00A9032B">
        <w:rPr>
          <w:rFonts w:cs="Times New Roman"/>
          <w:szCs w:val="24"/>
        </w:rPr>
        <w:t xml:space="preserve"> alternatives</w:t>
      </w:r>
      <w:r>
        <w:rPr>
          <w:rFonts w:cs="Times New Roman"/>
          <w:szCs w:val="24"/>
        </w:rPr>
        <w:t>.</w:t>
      </w:r>
      <w:r>
        <w:rPr>
          <w:rStyle w:val="FootnoteReference"/>
          <w:rFonts w:cs="Times New Roman"/>
          <w:szCs w:val="24"/>
        </w:rPr>
        <w:footnoteReference w:id="22"/>
      </w:r>
    </w:p>
    <w:p w:rsidR="000C349C" w:rsidRDefault="000C349C" w:rsidP="007327D2">
      <w:pPr>
        <w:spacing w:line="480" w:lineRule="auto"/>
        <w:rPr>
          <w:rFonts w:cs="Times New Roman"/>
          <w:szCs w:val="24"/>
        </w:rPr>
      </w:pPr>
      <w:r>
        <w:rPr>
          <w:rFonts w:cs="Times New Roman"/>
          <w:szCs w:val="24"/>
        </w:rPr>
        <w:tab/>
      </w:r>
      <w:r w:rsidR="00CC0E9A">
        <w:rPr>
          <w:rFonts w:cs="Times New Roman"/>
          <w:szCs w:val="24"/>
        </w:rPr>
        <w:t>In outlining Leibniz’s understanding of the best world we must not forget his claim that God acts in the most perfect way both metaphysically and morally. We now know what is meant by saying that God acts in the most perfect way metaphysical</w:t>
      </w:r>
      <w:r w:rsidR="00047121">
        <w:rPr>
          <w:rFonts w:cs="Times New Roman"/>
          <w:szCs w:val="24"/>
        </w:rPr>
        <w:t>ly</w:t>
      </w:r>
      <w:r w:rsidR="00CC0E9A">
        <w:rPr>
          <w:rFonts w:cs="Times New Roman"/>
          <w:szCs w:val="24"/>
        </w:rPr>
        <w:t xml:space="preserve">, but what about morally? Leibniz addresses this in §4 of the </w:t>
      </w:r>
      <w:r w:rsidR="007C3FF9">
        <w:rPr>
          <w:rFonts w:cs="Times New Roman"/>
          <w:szCs w:val="24"/>
        </w:rPr>
        <w:t>“</w:t>
      </w:r>
      <w:r w:rsidR="00CC0E9A" w:rsidRPr="007C3FF9">
        <w:rPr>
          <w:rFonts w:cs="Times New Roman"/>
          <w:szCs w:val="24"/>
        </w:rPr>
        <w:t>Discourse</w:t>
      </w:r>
      <w:r w:rsidR="007C3FF9">
        <w:rPr>
          <w:rFonts w:cs="Times New Roman"/>
          <w:szCs w:val="24"/>
        </w:rPr>
        <w:t>”</w:t>
      </w:r>
      <w:r w:rsidR="00CC0E9A">
        <w:rPr>
          <w:rFonts w:cs="Times New Roman"/>
          <w:szCs w:val="24"/>
        </w:rPr>
        <w:t xml:space="preserve">, in which he states that God </w:t>
      </w:r>
      <w:r w:rsidR="004B01A7">
        <w:rPr>
          <w:rFonts w:cs="Times New Roman"/>
          <w:szCs w:val="24"/>
        </w:rPr>
        <w:t>“</w:t>
      </w:r>
      <w:r w:rsidR="00CC0E9A" w:rsidRPr="00CC0E9A">
        <w:rPr>
          <w:rFonts w:cs="Times New Roman"/>
          <w:szCs w:val="24"/>
        </w:rPr>
        <w:t>always acts in the most perfect and the most desirable way possible</w:t>
      </w:r>
      <w:r w:rsidR="004B01A7">
        <w:rPr>
          <w:rFonts w:cs="Times New Roman"/>
          <w:szCs w:val="24"/>
        </w:rPr>
        <w:t>”</w:t>
      </w:r>
      <w:r w:rsidR="00CC0E9A">
        <w:rPr>
          <w:rFonts w:cs="Times New Roman"/>
          <w:szCs w:val="24"/>
        </w:rPr>
        <w:t xml:space="preserve"> (A VI 4</w:t>
      </w:r>
      <w:r w:rsidR="008845CF">
        <w:rPr>
          <w:rFonts w:cs="Times New Roman"/>
          <w:szCs w:val="24"/>
        </w:rPr>
        <w:t>:</w:t>
      </w:r>
      <w:r w:rsidR="00CC0E9A">
        <w:rPr>
          <w:rFonts w:cs="Times New Roman"/>
          <w:szCs w:val="24"/>
        </w:rPr>
        <w:t xml:space="preserve"> 1535/PPL 305). By </w:t>
      </w:r>
      <w:r w:rsidR="004B01A7">
        <w:rPr>
          <w:rFonts w:cs="Times New Roman"/>
          <w:szCs w:val="24"/>
        </w:rPr>
        <w:t>“most desirable”</w:t>
      </w:r>
      <w:r w:rsidR="00CC0E9A">
        <w:rPr>
          <w:rFonts w:cs="Times New Roman"/>
          <w:szCs w:val="24"/>
        </w:rPr>
        <w:t xml:space="preserve"> Leibniz does not mean that God acts so as to keep creatures in a perpetual state of comfort, but rather so that a wise person able to grasp all the detail of God’s plan could find no fault with it.</w:t>
      </w:r>
      <w:r w:rsidR="00411A5A">
        <w:rPr>
          <w:rFonts w:cs="Times New Roman"/>
          <w:szCs w:val="24"/>
        </w:rPr>
        <w:t xml:space="preserve"> Although we cannot grasp the detail, Leibniz thinks </w:t>
      </w:r>
      <w:r w:rsidR="002B4425">
        <w:rPr>
          <w:rFonts w:cs="Times New Roman"/>
          <w:szCs w:val="24"/>
        </w:rPr>
        <w:t xml:space="preserve">that to love God </w:t>
      </w:r>
      <w:r w:rsidR="00411A5A">
        <w:rPr>
          <w:rFonts w:cs="Times New Roman"/>
          <w:szCs w:val="24"/>
        </w:rPr>
        <w:t xml:space="preserve">it </w:t>
      </w:r>
      <w:r w:rsidR="002B4425">
        <w:rPr>
          <w:rFonts w:cs="Times New Roman"/>
          <w:szCs w:val="24"/>
        </w:rPr>
        <w:t xml:space="preserve">is </w:t>
      </w:r>
      <w:r w:rsidR="00411A5A">
        <w:rPr>
          <w:rFonts w:cs="Times New Roman"/>
          <w:szCs w:val="24"/>
        </w:rPr>
        <w:t xml:space="preserve">sufficient for us to </w:t>
      </w:r>
      <w:r w:rsidR="002B4425">
        <w:rPr>
          <w:rFonts w:cs="Times New Roman"/>
          <w:szCs w:val="24"/>
        </w:rPr>
        <w:t>accept</w:t>
      </w:r>
      <w:r w:rsidR="00411A5A">
        <w:rPr>
          <w:rFonts w:cs="Times New Roman"/>
          <w:szCs w:val="24"/>
        </w:rPr>
        <w:t xml:space="preserve"> the general point that God </w:t>
      </w:r>
      <w:r w:rsidR="002B4425">
        <w:rPr>
          <w:rFonts w:cs="Times New Roman"/>
          <w:szCs w:val="24"/>
        </w:rPr>
        <w:t xml:space="preserve">always </w:t>
      </w:r>
      <w:r w:rsidR="00411A5A">
        <w:rPr>
          <w:rFonts w:cs="Times New Roman"/>
          <w:szCs w:val="24"/>
        </w:rPr>
        <w:t>acts in the most perfect way</w:t>
      </w:r>
      <w:r w:rsidR="002B4425">
        <w:rPr>
          <w:rFonts w:cs="Times New Roman"/>
          <w:szCs w:val="24"/>
        </w:rPr>
        <w:t xml:space="preserve">, which in effect is to align our will with his. Recalling claims made in </w:t>
      </w:r>
      <w:r w:rsidR="007C3FF9">
        <w:rPr>
          <w:rFonts w:cs="Times New Roman"/>
          <w:szCs w:val="24"/>
        </w:rPr>
        <w:t>“</w:t>
      </w:r>
      <w:r w:rsidR="002B4425" w:rsidRPr="006C09CF">
        <w:rPr>
          <w:rFonts w:cs="Times New Roman"/>
          <w:szCs w:val="24"/>
        </w:rPr>
        <w:t>Confessio philosophi</w:t>
      </w:r>
      <w:r w:rsidR="007C3FF9">
        <w:rPr>
          <w:rFonts w:cs="Times New Roman"/>
          <w:szCs w:val="24"/>
        </w:rPr>
        <w:t>”</w:t>
      </w:r>
      <w:r w:rsidR="002B4425">
        <w:rPr>
          <w:rFonts w:cs="Times New Roman"/>
          <w:szCs w:val="24"/>
        </w:rPr>
        <w:t xml:space="preserve"> of 1672-3</w:t>
      </w:r>
      <w:r w:rsidR="00433306">
        <w:rPr>
          <w:rFonts w:cs="Times New Roman"/>
          <w:szCs w:val="24"/>
        </w:rPr>
        <w:t xml:space="preserve"> (see </w:t>
      </w:r>
      <w:r w:rsidR="00433306" w:rsidRPr="00433306">
        <w:rPr>
          <w:rFonts w:cs="Times New Roman"/>
          <w:szCs w:val="24"/>
        </w:rPr>
        <w:t>A VI 3</w:t>
      </w:r>
      <w:r w:rsidR="008845CF">
        <w:rPr>
          <w:rFonts w:cs="Times New Roman"/>
          <w:szCs w:val="24"/>
        </w:rPr>
        <w:t>:</w:t>
      </w:r>
      <w:r w:rsidR="00433306" w:rsidRPr="00433306">
        <w:rPr>
          <w:rFonts w:cs="Times New Roman"/>
          <w:szCs w:val="24"/>
        </w:rPr>
        <w:t xml:space="preserve"> 131/CP 63</w:t>
      </w:r>
      <w:r w:rsidR="00433306">
        <w:rPr>
          <w:rFonts w:cs="Times New Roman"/>
          <w:szCs w:val="24"/>
        </w:rPr>
        <w:t>)</w:t>
      </w:r>
      <w:r w:rsidR="002B4425">
        <w:rPr>
          <w:rFonts w:cs="Times New Roman"/>
          <w:szCs w:val="24"/>
        </w:rPr>
        <w:t xml:space="preserve">, Leibniz asserts that </w:t>
      </w:r>
      <w:r w:rsidR="00596769">
        <w:rPr>
          <w:rFonts w:cs="Times New Roman"/>
          <w:szCs w:val="24"/>
        </w:rPr>
        <w:t xml:space="preserve">those who do not do this, and are in any way dissatisfied with what God does, are effectively </w:t>
      </w:r>
      <w:r w:rsidR="004B01A7">
        <w:rPr>
          <w:rFonts w:cs="Times New Roman"/>
          <w:szCs w:val="24"/>
        </w:rPr>
        <w:t>“rebels”</w:t>
      </w:r>
      <w:r w:rsidR="008845CF">
        <w:rPr>
          <w:rFonts w:cs="Times New Roman"/>
          <w:szCs w:val="24"/>
        </w:rPr>
        <w:t xml:space="preserve"> (A VI 4: </w:t>
      </w:r>
      <w:r w:rsidR="00596769">
        <w:rPr>
          <w:rFonts w:cs="Times New Roman"/>
          <w:szCs w:val="24"/>
        </w:rPr>
        <w:t>1535/PPL 305).</w:t>
      </w:r>
      <w:r w:rsidR="007C3FF9">
        <w:rPr>
          <w:rStyle w:val="FootnoteReference"/>
          <w:rFonts w:cs="Times New Roman"/>
          <w:szCs w:val="24"/>
        </w:rPr>
        <w:footnoteReference w:id="23"/>
      </w:r>
    </w:p>
    <w:p w:rsidR="00210F4F" w:rsidRDefault="00210F4F" w:rsidP="007327D2">
      <w:pPr>
        <w:spacing w:line="480" w:lineRule="auto"/>
        <w:ind w:firstLine="720"/>
        <w:rPr>
          <w:rFonts w:cs="Times New Roman"/>
          <w:szCs w:val="24"/>
        </w:rPr>
      </w:pPr>
      <w:r>
        <w:rPr>
          <w:rFonts w:cs="Times New Roman"/>
          <w:szCs w:val="24"/>
        </w:rPr>
        <w:t xml:space="preserve">He is also at pains to insist that being satisfied with what God does doesn’t require us to adopt a </w:t>
      </w:r>
      <w:r w:rsidR="00EE1C83">
        <w:rPr>
          <w:rFonts w:cs="Times New Roman"/>
          <w:szCs w:val="24"/>
        </w:rPr>
        <w:t>“forced patience”</w:t>
      </w:r>
      <w:r>
        <w:rPr>
          <w:rFonts w:cs="Times New Roman"/>
          <w:szCs w:val="24"/>
        </w:rPr>
        <w:t xml:space="preserve"> where we simply wait to see how things unfold, a view he associates both with the ancient Stoics and with Descartes, who had advocated a similar position in the moral code outlined in his </w:t>
      </w:r>
      <w:r>
        <w:rPr>
          <w:rFonts w:cs="Times New Roman"/>
          <w:i/>
          <w:szCs w:val="24"/>
        </w:rPr>
        <w:t>Discourse on the Method</w:t>
      </w:r>
      <w:r>
        <w:rPr>
          <w:rFonts w:cs="Times New Roman"/>
          <w:szCs w:val="24"/>
        </w:rPr>
        <w:t xml:space="preserve"> (1637):</w:t>
      </w:r>
    </w:p>
    <w:p w:rsidR="00210F4F" w:rsidRDefault="00210F4F" w:rsidP="007327D2">
      <w:pPr>
        <w:spacing w:line="480" w:lineRule="auto"/>
        <w:rPr>
          <w:rFonts w:cs="Times New Roman"/>
          <w:szCs w:val="24"/>
        </w:rPr>
      </w:pPr>
    </w:p>
    <w:p w:rsidR="00210F4F" w:rsidRDefault="00210F4F" w:rsidP="007327D2">
      <w:pPr>
        <w:spacing w:line="480" w:lineRule="auto"/>
        <w:ind w:left="720"/>
        <w:rPr>
          <w:rFonts w:cs="Times New Roman"/>
          <w:szCs w:val="24"/>
        </w:rPr>
      </w:pPr>
      <w:r w:rsidRPr="00F05C30">
        <w:rPr>
          <w:rFonts w:cs="Times New Roman"/>
          <w:szCs w:val="24"/>
        </w:rPr>
        <w:t>My third maxim was to try always to master myself rather than fortune, and change my desires rather than the order of the world. In general I would become accustomed to believing that nothing lies entirely within our power except our thoughts, so that after doing our best in dealing with matters external to us, whatever we fail to achieve is absolutely impossible so far as we are concerned</w:t>
      </w:r>
      <w:r>
        <w:rPr>
          <w:rFonts w:cs="Times New Roman"/>
          <w:szCs w:val="24"/>
        </w:rPr>
        <w:t xml:space="preserve"> (</w:t>
      </w:r>
      <w:r w:rsidR="003F1D11" w:rsidRPr="003F1D11">
        <w:rPr>
          <w:rFonts w:cs="Times New Roman"/>
          <w:szCs w:val="24"/>
        </w:rPr>
        <w:t>AT VI 25</w:t>
      </w:r>
      <w:r w:rsidR="003F1D11">
        <w:rPr>
          <w:rFonts w:cs="Times New Roman"/>
          <w:szCs w:val="24"/>
        </w:rPr>
        <w:t>/</w:t>
      </w:r>
      <w:r w:rsidR="008A4D33">
        <w:rPr>
          <w:rFonts w:cs="Times New Roman"/>
          <w:szCs w:val="24"/>
        </w:rPr>
        <w:t>CSM</w:t>
      </w:r>
      <w:r w:rsidR="00557EB9">
        <w:rPr>
          <w:rFonts w:cs="Times New Roman"/>
          <w:szCs w:val="24"/>
        </w:rPr>
        <w:t xml:space="preserve"> I</w:t>
      </w:r>
      <w:r>
        <w:rPr>
          <w:rFonts w:cs="Times New Roman"/>
          <w:szCs w:val="24"/>
        </w:rPr>
        <w:t xml:space="preserve"> 123)</w:t>
      </w:r>
      <w:r w:rsidRPr="00F05C30">
        <w:rPr>
          <w:rFonts w:cs="Times New Roman"/>
          <w:szCs w:val="24"/>
        </w:rPr>
        <w:t>.</w:t>
      </w:r>
    </w:p>
    <w:p w:rsidR="00210F4F" w:rsidRDefault="00210F4F" w:rsidP="007327D2">
      <w:pPr>
        <w:spacing w:line="480" w:lineRule="auto"/>
        <w:rPr>
          <w:rFonts w:cs="Times New Roman"/>
          <w:szCs w:val="24"/>
        </w:rPr>
      </w:pPr>
    </w:p>
    <w:p w:rsidR="00210F4F" w:rsidRDefault="00210F4F" w:rsidP="007327D2">
      <w:pPr>
        <w:spacing w:line="480" w:lineRule="auto"/>
        <w:rPr>
          <w:rFonts w:cs="Times New Roman"/>
          <w:szCs w:val="24"/>
        </w:rPr>
      </w:pPr>
      <w:r>
        <w:rPr>
          <w:rFonts w:cs="Times New Roman"/>
          <w:szCs w:val="24"/>
        </w:rPr>
        <w:t xml:space="preserve">In 1679 Leibniz summarized Descartes’ position as an endorsement of </w:t>
      </w:r>
      <w:r w:rsidR="004B01A7">
        <w:rPr>
          <w:rFonts w:cs="Times New Roman"/>
          <w:szCs w:val="24"/>
        </w:rPr>
        <w:t>“</w:t>
      </w:r>
      <w:r>
        <w:rPr>
          <w:rFonts w:cs="Times New Roman"/>
          <w:szCs w:val="24"/>
        </w:rPr>
        <w:t>patience without hope</w:t>
      </w:r>
      <w:r w:rsidR="004B01A7">
        <w:rPr>
          <w:rFonts w:cs="Times New Roman"/>
          <w:szCs w:val="24"/>
        </w:rPr>
        <w:t>”</w:t>
      </w:r>
      <w:r>
        <w:rPr>
          <w:rFonts w:cs="Times New Roman"/>
          <w:szCs w:val="24"/>
        </w:rPr>
        <w:t xml:space="preserve"> (A II 1</w:t>
      </w:r>
      <w:r w:rsidR="008845CF">
        <w:rPr>
          <w:rFonts w:cs="Times New Roman"/>
          <w:szCs w:val="24"/>
        </w:rPr>
        <w:t>:</w:t>
      </w:r>
      <w:r>
        <w:rPr>
          <w:rFonts w:cs="Times New Roman"/>
          <w:szCs w:val="24"/>
        </w:rPr>
        <w:t xml:space="preserve"> 779/</w:t>
      </w:r>
      <w:r w:rsidR="003750EB">
        <w:rPr>
          <w:rFonts w:cs="Times New Roman"/>
          <w:szCs w:val="24"/>
        </w:rPr>
        <w:t>PE</w:t>
      </w:r>
      <w:r>
        <w:rPr>
          <w:rFonts w:cs="Times New Roman"/>
          <w:szCs w:val="24"/>
        </w:rPr>
        <w:t xml:space="preserve"> 242) and was scathing about such a view, berating Descartes for it in a </w:t>
      </w:r>
      <w:r w:rsidR="00577C5B">
        <w:rPr>
          <w:rFonts w:cs="Times New Roman"/>
          <w:szCs w:val="24"/>
        </w:rPr>
        <w:t>number</w:t>
      </w:r>
      <w:r>
        <w:rPr>
          <w:rFonts w:cs="Times New Roman"/>
          <w:szCs w:val="24"/>
        </w:rPr>
        <w:t xml:space="preserve"> of </w:t>
      </w:r>
      <w:r w:rsidR="00577C5B">
        <w:rPr>
          <w:rFonts w:cs="Times New Roman"/>
          <w:szCs w:val="24"/>
        </w:rPr>
        <w:t xml:space="preserve">anti-Cartesian </w:t>
      </w:r>
      <w:r>
        <w:rPr>
          <w:rFonts w:cs="Times New Roman"/>
          <w:szCs w:val="24"/>
        </w:rPr>
        <w:t>texts</w:t>
      </w:r>
      <w:r w:rsidR="008845CF">
        <w:rPr>
          <w:rFonts w:cs="Times New Roman"/>
          <w:szCs w:val="24"/>
        </w:rPr>
        <w:t>.</w:t>
      </w:r>
      <w:r w:rsidR="008845CF">
        <w:rPr>
          <w:rStyle w:val="FootnoteReference"/>
          <w:rFonts w:cs="Times New Roman"/>
          <w:szCs w:val="24"/>
        </w:rPr>
        <w:footnoteReference w:id="24"/>
      </w:r>
      <w:r>
        <w:rPr>
          <w:rFonts w:cs="Times New Roman"/>
          <w:szCs w:val="24"/>
        </w:rPr>
        <w:t xml:space="preserve"> In contrast, Leibniz urged a </w:t>
      </w:r>
      <w:r>
        <w:rPr>
          <w:rFonts w:eastAsia="MinionPro-Regular" w:cs="Times New Roman"/>
          <w:szCs w:val="24"/>
        </w:rPr>
        <w:t xml:space="preserve">Christianized version of Stoicism that combines patience with hope, which requires us to take a different attitude towards the past and future. We should be satisfied with what has already happened, it being clear from the fact that it happened that God willed it that way. But </w:t>
      </w:r>
      <w:r>
        <w:t>with regard to the future, we should always strive to satisfy what we believe to be God’s presumptive will, i.e. we should act in a way we think God would want us to act</w:t>
      </w:r>
      <w:r w:rsidR="00577C5B">
        <w:t xml:space="preserve">, by </w:t>
      </w:r>
      <w:r w:rsidR="004B01A7">
        <w:t>“</w:t>
      </w:r>
      <w:r w:rsidR="00577C5B">
        <w:t>trying with all our might to contribute to the general good</w:t>
      </w:r>
      <w:r w:rsidR="004B01A7">
        <w:t>”</w:t>
      </w:r>
      <w:r w:rsidR="00577C5B">
        <w:t xml:space="preserve"> (A VI 4</w:t>
      </w:r>
      <w:r w:rsidR="008845CF">
        <w:t>:</w:t>
      </w:r>
      <w:r w:rsidR="00577C5B">
        <w:t xml:space="preserve"> 1536/PPL 305)</w:t>
      </w:r>
      <w:r>
        <w:t xml:space="preserve">. </w:t>
      </w:r>
      <w:r w:rsidR="00577C5B">
        <w:t xml:space="preserve">If our attempts do not meet with success </w:t>
      </w:r>
      <w:r w:rsidR="00DF42DD">
        <w:t xml:space="preserve">we should not suppose </w:t>
      </w:r>
      <w:r w:rsidR="00577C5B">
        <w:t>that God was working against us</w:t>
      </w:r>
      <w:r w:rsidR="00DF42DD">
        <w:t>, only</w:t>
      </w:r>
      <w:r w:rsidR="00577C5B">
        <w:t xml:space="preserve"> that </w:t>
      </w:r>
      <w:r w:rsidR="00DF42DD">
        <w:t>on account of other considerations (known to him but not us) he did not will their success at that time.</w:t>
      </w:r>
    </w:p>
    <w:p w:rsidR="00210F4F" w:rsidRDefault="000C349C" w:rsidP="007327D2">
      <w:pPr>
        <w:spacing w:line="480" w:lineRule="auto"/>
        <w:rPr>
          <w:rFonts w:cs="Times New Roman"/>
          <w:szCs w:val="24"/>
        </w:rPr>
      </w:pPr>
      <w:r>
        <w:rPr>
          <w:rFonts w:cs="Times New Roman"/>
          <w:szCs w:val="24"/>
        </w:rPr>
        <w:tab/>
      </w:r>
      <w:r w:rsidR="005041F7">
        <w:rPr>
          <w:rFonts w:cs="Times New Roman"/>
          <w:szCs w:val="24"/>
        </w:rPr>
        <w:t xml:space="preserve">As part of Leibniz’s efforts to establish the perfect way in which God acts, in §§6-7 </w:t>
      </w:r>
      <w:r w:rsidR="002B03D1">
        <w:rPr>
          <w:rFonts w:cs="Times New Roman"/>
          <w:szCs w:val="24"/>
        </w:rPr>
        <w:t>he</w:t>
      </w:r>
      <w:r w:rsidR="005041F7">
        <w:rPr>
          <w:rFonts w:cs="Times New Roman"/>
          <w:szCs w:val="24"/>
        </w:rPr>
        <w:t xml:space="preserve"> considers </w:t>
      </w:r>
      <w:r w:rsidR="00774552">
        <w:rPr>
          <w:rFonts w:cs="Times New Roman"/>
          <w:szCs w:val="24"/>
        </w:rPr>
        <w:t xml:space="preserve">and stresses </w:t>
      </w:r>
      <w:r w:rsidR="005041F7">
        <w:rPr>
          <w:rFonts w:cs="Times New Roman"/>
          <w:szCs w:val="24"/>
        </w:rPr>
        <w:t xml:space="preserve">the orderliness </w:t>
      </w:r>
      <w:r>
        <w:rPr>
          <w:rFonts w:cs="Times New Roman"/>
          <w:szCs w:val="24"/>
        </w:rPr>
        <w:t>of God’s actions</w:t>
      </w:r>
      <w:r w:rsidR="00774552">
        <w:rPr>
          <w:rFonts w:cs="Times New Roman"/>
          <w:szCs w:val="24"/>
        </w:rPr>
        <w:t xml:space="preserve">. </w:t>
      </w:r>
      <w:r w:rsidR="006D0933">
        <w:rPr>
          <w:rFonts w:cs="Times New Roman"/>
          <w:szCs w:val="24"/>
        </w:rPr>
        <w:t xml:space="preserve">Important here is his distinction between the </w:t>
      </w:r>
      <w:r w:rsidR="004B01A7">
        <w:rPr>
          <w:rFonts w:cs="Times New Roman"/>
          <w:szCs w:val="24"/>
        </w:rPr>
        <w:t>“general order”</w:t>
      </w:r>
      <w:r w:rsidR="006D0933">
        <w:rPr>
          <w:rFonts w:cs="Times New Roman"/>
          <w:szCs w:val="24"/>
        </w:rPr>
        <w:t xml:space="preserve">, which are the general laws of the universe known to God but not us, and what Leibniz calls its </w:t>
      </w:r>
      <w:r w:rsidR="004B01A7">
        <w:rPr>
          <w:rFonts w:cs="Times New Roman"/>
          <w:szCs w:val="24"/>
        </w:rPr>
        <w:t>“subordinate maxims”</w:t>
      </w:r>
      <w:r w:rsidR="006D0933">
        <w:rPr>
          <w:rFonts w:cs="Times New Roman"/>
          <w:szCs w:val="24"/>
        </w:rPr>
        <w:t>, i.e. the natural laws as described by physics (A VI 4</w:t>
      </w:r>
      <w:r w:rsidR="008845CF">
        <w:rPr>
          <w:rFonts w:cs="Times New Roman"/>
          <w:szCs w:val="24"/>
        </w:rPr>
        <w:t>:</w:t>
      </w:r>
      <w:r w:rsidR="006D0933">
        <w:rPr>
          <w:rFonts w:cs="Times New Roman"/>
          <w:szCs w:val="24"/>
        </w:rPr>
        <w:t xml:space="preserve"> 1538/PPL 306-7). </w:t>
      </w:r>
      <w:r w:rsidR="000C2E51">
        <w:rPr>
          <w:rFonts w:cs="Times New Roman"/>
          <w:szCs w:val="24"/>
        </w:rPr>
        <w:t>Leibniz informs us that</w:t>
      </w:r>
      <w:r w:rsidR="006D0933">
        <w:rPr>
          <w:rFonts w:cs="Times New Roman"/>
          <w:szCs w:val="24"/>
        </w:rPr>
        <w:t xml:space="preserve"> </w:t>
      </w:r>
      <w:r w:rsidR="004B01A7">
        <w:rPr>
          <w:rFonts w:cs="Times New Roman"/>
          <w:szCs w:val="24"/>
        </w:rPr>
        <w:t>“</w:t>
      </w:r>
      <w:r w:rsidR="0072210B">
        <w:rPr>
          <w:rFonts w:cs="Times New Roman"/>
          <w:szCs w:val="24"/>
        </w:rPr>
        <w:t>God does nothing withou</w:t>
      </w:r>
      <w:r w:rsidR="000C2E51">
        <w:rPr>
          <w:rFonts w:cs="Times New Roman"/>
          <w:szCs w:val="24"/>
        </w:rPr>
        <w:t>t order</w:t>
      </w:r>
      <w:r w:rsidR="004B01A7">
        <w:rPr>
          <w:rFonts w:cs="Times New Roman"/>
          <w:szCs w:val="24"/>
        </w:rPr>
        <w:t>”</w:t>
      </w:r>
      <w:r w:rsidR="000C2E51">
        <w:rPr>
          <w:rFonts w:cs="Times New Roman"/>
          <w:szCs w:val="24"/>
        </w:rPr>
        <w:t xml:space="preserve"> (A VI 4</w:t>
      </w:r>
      <w:r w:rsidR="008845CF">
        <w:rPr>
          <w:rFonts w:cs="Times New Roman"/>
          <w:szCs w:val="24"/>
        </w:rPr>
        <w:t>:</w:t>
      </w:r>
      <w:r w:rsidR="000C2E51">
        <w:rPr>
          <w:rFonts w:cs="Times New Roman"/>
          <w:szCs w:val="24"/>
        </w:rPr>
        <w:t xml:space="preserve"> 1537/PPL 306), which means that everything that happens</w:t>
      </w:r>
      <w:r w:rsidR="00E55B01">
        <w:rPr>
          <w:rFonts w:cs="Times New Roman"/>
          <w:szCs w:val="24"/>
        </w:rPr>
        <w:t xml:space="preserve"> </w:t>
      </w:r>
      <w:r w:rsidR="000C2E51">
        <w:rPr>
          <w:rFonts w:cs="Times New Roman"/>
          <w:szCs w:val="24"/>
        </w:rPr>
        <w:t>does so</w:t>
      </w:r>
      <w:r w:rsidR="00E55B01">
        <w:rPr>
          <w:rFonts w:cs="Times New Roman"/>
          <w:szCs w:val="24"/>
        </w:rPr>
        <w:t xml:space="preserve"> in accordance with </w:t>
      </w:r>
      <w:r w:rsidR="00D66352">
        <w:rPr>
          <w:rFonts w:cs="Times New Roman"/>
          <w:szCs w:val="24"/>
        </w:rPr>
        <w:t xml:space="preserve">the </w:t>
      </w:r>
      <w:r w:rsidR="00E55B01">
        <w:rPr>
          <w:rFonts w:cs="Times New Roman"/>
          <w:szCs w:val="24"/>
        </w:rPr>
        <w:t>general laws</w:t>
      </w:r>
      <w:r w:rsidR="00D66352">
        <w:rPr>
          <w:rFonts w:cs="Times New Roman"/>
          <w:szCs w:val="24"/>
        </w:rPr>
        <w:t xml:space="preserve"> of the universe</w:t>
      </w:r>
      <w:r w:rsidR="0072210B">
        <w:rPr>
          <w:rFonts w:cs="Times New Roman"/>
          <w:szCs w:val="24"/>
        </w:rPr>
        <w:t xml:space="preserve">, </w:t>
      </w:r>
      <w:r w:rsidR="006D0933">
        <w:rPr>
          <w:rFonts w:cs="Times New Roman"/>
          <w:szCs w:val="24"/>
        </w:rPr>
        <w:t xml:space="preserve">which God follows without exception (or as he puts it in a contemporaneous text, </w:t>
      </w:r>
      <w:r w:rsidR="004B01A7">
        <w:rPr>
          <w:rFonts w:cs="Times New Roman"/>
          <w:szCs w:val="24"/>
        </w:rPr>
        <w:t>“</w:t>
      </w:r>
      <w:r w:rsidR="006D0933">
        <w:t>all things are done by God according to certain general laws</w:t>
      </w:r>
      <w:r w:rsidR="004B01A7">
        <w:t>”</w:t>
      </w:r>
      <w:r w:rsidR="006D0933">
        <w:t xml:space="preserve"> </w:t>
      </w:r>
      <w:r w:rsidR="008845CF">
        <w:t>(</w:t>
      </w:r>
      <w:r w:rsidR="006D0933">
        <w:rPr>
          <w:rFonts w:cs="Times New Roman"/>
          <w:szCs w:val="24"/>
        </w:rPr>
        <w:t>A VI 4</w:t>
      </w:r>
      <w:r w:rsidR="008845CF">
        <w:rPr>
          <w:rFonts w:cs="Times New Roman"/>
          <w:szCs w:val="24"/>
        </w:rPr>
        <w:t>:</w:t>
      </w:r>
      <w:r w:rsidR="006D0933">
        <w:rPr>
          <w:rFonts w:cs="Times New Roman"/>
          <w:szCs w:val="24"/>
        </w:rPr>
        <w:t xml:space="preserve"> 1589).</w:t>
      </w:r>
      <w:r w:rsidR="007129EB">
        <w:rPr>
          <w:rStyle w:val="FootnoteReference"/>
          <w:rFonts w:cs="Times New Roman"/>
          <w:szCs w:val="24"/>
        </w:rPr>
        <w:footnoteReference w:id="25"/>
      </w:r>
      <w:r w:rsidR="006D0933">
        <w:rPr>
          <w:rFonts w:cs="Times New Roman"/>
          <w:szCs w:val="24"/>
        </w:rPr>
        <w:t xml:space="preserve"> What we think of </w:t>
      </w:r>
      <w:r w:rsidR="000C2E51">
        <w:rPr>
          <w:rFonts w:cs="Times New Roman"/>
          <w:szCs w:val="24"/>
        </w:rPr>
        <w:t xml:space="preserve">as </w:t>
      </w:r>
      <w:r w:rsidR="006D0933">
        <w:rPr>
          <w:rFonts w:cs="Times New Roman"/>
          <w:szCs w:val="24"/>
        </w:rPr>
        <w:t xml:space="preserve">miracles are </w:t>
      </w:r>
      <w:r w:rsidR="00CF54C4">
        <w:rPr>
          <w:rFonts w:cs="Times New Roman"/>
          <w:szCs w:val="24"/>
        </w:rPr>
        <w:t xml:space="preserve">merely </w:t>
      </w:r>
      <w:r w:rsidR="006D0933">
        <w:rPr>
          <w:rFonts w:cs="Times New Roman"/>
          <w:szCs w:val="24"/>
        </w:rPr>
        <w:t xml:space="preserve">violations of one of the </w:t>
      </w:r>
      <w:r w:rsidR="004B01A7">
        <w:rPr>
          <w:rFonts w:cs="Times New Roman"/>
          <w:szCs w:val="24"/>
        </w:rPr>
        <w:t>“subordinate maxims”</w:t>
      </w:r>
      <w:r w:rsidR="006D0933">
        <w:rPr>
          <w:rFonts w:cs="Times New Roman"/>
          <w:szCs w:val="24"/>
        </w:rPr>
        <w:t xml:space="preserve"> to the general order, but not </w:t>
      </w:r>
      <w:r w:rsidR="00047121">
        <w:rPr>
          <w:rFonts w:cs="Times New Roman"/>
          <w:szCs w:val="24"/>
        </w:rPr>
        <w:t xml:space="preserve">of </w:t>
      </w:r>
      <w:r w:rsidR="006D0933">
        <w:rPr>
          <w:rFonts w:cs="Times New Roman"/>
          <w:szCs w:val="24"/>
        </w:rPr>
        <w:t>the general order itself, from which God will never depart.</w:t>
      </w:r>
    </w:p>
    <w:p w:rsidR="006D0933" w:rsidRDefault="006D0933" w:rsidP="007327D2">
      <w:pPr>
        <w:spacing w:line="480" w:lineRule="auto"/>
        <w:rPr>
          <w:rFonts w:cs="Times New Roman"/>
          <w:szCs w:val="24"/>
        </w:rPr>
      </w:pPr>
    </w:p>
    <w:p w:rsidR="00CE22D0" w:rsidRPr="00CE22D0" w:rsidRDefault="00AB0504" w:rsidP="007327D2">
      <w:pPr>
        <w:autoSpaceDE w:val="0"/>
        <w:autoSpaceDN w:val="0"/>
        <w:adjustRightInd w:val="0"/>
        <w:spacing w:line="480" w:lineRule="auto"/>
        <w:rPr>
          <w:rFonts w:eastAsia="MinionPro-Regular" w:cs="Times New Roman"/>
          <w:b/>
          <w:szCs w:val="24"/>
        </w:rPr>
      </w:pPr>
      <w:r>
        <w:rPr>
          <w:rFonts w:eastAsia="MinionPro-Regular" w:cs="Times New Roman"/>
          <w:b/>
          <w:szCs w:val="24"/>
        </w:rPr>
        <w:t xml:space="preserve">2. </w:t>
      </w:r>
      <w:r w:rsidR="00CE22D0" w:rsidRPr="00CE22D0">
        <w:rPr>
          <w:rFonts w:eastAsia="MinionPro-Regular" w:cs="Times New Roman"/>
          <w:b/>
          <w:szCs w:val="24"/>
        </w:rPr>
        <w:t>Substance (§§</w:t>
      </w:r>
      <w:r w:rsidR="00F55229">
        <w:rPr>
          <w:rFonts w:eastAsia="MinionPro-Regular" w:cs="Times New Roman"/>
          <w:b/>
          <w:szCs w:val="24"/>
        </w:rPr>
        <w:t>8</w:t>
      </w:r>
      <w:r w:rsidR="00CE22D0" w:rsidRPr="00CE22D0">
        <w:rPr>
          <w:rFonts w:eastAsia="MinionPro-Regular" w:cs="Times New Roman"/>
          <w:b/>
          <w:szCs w:val="24"/>
        </w:rPr>
        <w:t>-16)</w:t>
      </w:r>
    </w:p>
    <w:p w:rsidR="00613D6D" w:rsidRPr="000B7122" w:rsidRDefault="00AC7FD6" w:rsidP="007327D2">
      <w:pPr>
        <w:autoSpaceDE w:val="0"/>
        <w:autoSpaceDN w:val="0"/>
        <w:adjustRightInd w:val="0"/>
        <w:spacing w:line="480" w:lineRule="auto"/>
        <w:rPr>
          <w:szCs w:val="24"/>
        </w:rPr>
      </w:pPr>
      <w:r>
        <w:rPr>
          <w:rFonts w:eastAsia="MinionPro-Regular" w:cs="Times New Roman"/>
          <w:szCs w:val="24"/>
        </w:rPr>
        <w:t>Descartes and Malebranche are Leibniz’s target</w:t>
      </w:r>
      <w:r w:rsidR="00047121">
        <w:rPr>
          <w:rFonts w:eastAsia="MinionPro-Regular" w:cs="Times New Roman"/>
          <w:szCs w:val="24"/>
        </w:rPr>
        <w:t>s</w:t>
      </w:r>
      <w:r>
        <w:rPr>
          <w:rFonts w:eastAsia="MinionPro-Regular" w:cs="Times New Roman"/>
          <w:szCs w:val="24"/>
        </w:rPr>
        <w:t xml:space="preserve"> again when he turns to the issue of substance</w:t>
      </w:r>
      <w:r w:rsidR="00485E23">
        <w:rPr>
          <w:rFonts w:eastAsia="MinionPro-Regular" w:cs="Times New Roman"/>
          <w:szCs w:val="24"/>
        </w:rPr>
        <w:t xml:space="preserve">, </w:t>
      </w:r>
      <w:r w:rsidR="00613D6D">
        <w:rPr>
          <w:rFonts w:eastAsia="MinionPro-Regular" w:cs="Times New Roman"/>
          <w:szCs w:val="24"/>
        </w:rPr>
        <w:t xml:space="preserve">that is, the fundamental </w:t>
      </w:r>
      <w:r w:rsidR="00613D6D" w:rsidRPr="00613D6D">
        <w:rPr>
          <w:rFonts w:eastAsia="MinionPro-Regular" w:cs="Times New Roman"/>
          <w:szCs w:val="24"/>
        </w:rPr>
        <w:t xml:space="preserve">constituent(s) of reality. </w:t>
      </w:r>
      <w:r w:rsidR="00F55229">
        <w:rPr>
          <w:rFonts w:eastAsia="MinionPro-Regular" w:cs="Times New Roman"/>
          <w:szCs w:val="24"/>
        </w:rPr>
        <w:t>Arguably the most dominant theory</w:t>
      </w:r>
      <w:r w:rsidR="00613D6D" w:rsidRPr="00613D6D">
        <w:rPr>
          <w:rFonts w:eastAsia="MinionPro-Regular" w:cs="Times New Roman"/>
          <w:szCs w:val="24"/>
        </w:rPr>
        <w:t xml:space="preserve"> of substance at the time was that advanced by Descartes, who had defined </w:t>
      </w:r>
      <w:r w:rsidR="006A3ED3">
        <w:rPr>
          <w:rFonts w:eastAsia="MinionPro-Regular" w:cs="Times New Roman"/>
          <w:szCs w:val="24"/>
        </w:rPr>
        <w:t>it</w:t>
      </w:r>
      <w:r w:rsidR="00613D6D" w:rsidRPr="00613D6D">
        <w:rPr>
          <w:rFonts w:eastAsia="MinionPro-Regular" w:cs="Times New Roman"/>
          <w:szCs w:val="24"/>
        </w:rPr>
        <w:t xml:space="preserve"> in terms of independence: </w:t>
      </w:r>
      <w:r w:rsidR="004B01A7">
        <w:rPr>
          <w:rFonts w:eastAsia="MinionPro-Regular" w:cs="Times New Roman"/>
          <w:szCs w:val="24"/>
        </w:rPr>
        <w:t>“</w:t>
      </w:r>
      <w:r w:rsidR="00613D6D" w:rsidRPr="00613D6D">
        <w:rPr>
          <w:szCs w:val="24"/>
        </w:rPr>
        <w:t xml:space="preserve">By </w:t>
      </w:r>
      <w:r w:rsidR="00613D6D" w:rsidRPr="00613D6D">
        <w:rPr>
          <w:i/>
          <w:szCs w:val="24"/>
        </w:rPr>
        <w:t>substance</w:t>
      </w:r>
      <w:r w:rsidR="00613D6D" w:rsidRPr="00613D6D">
        <w:rPr>
          <w:szCs w:val="24"/>
        </w:rPr>
        <w:t xml:space="preserve"> we can understand nothing other than a thing which exists in such a way as to depend on no other thing for its existence</w:t>
      </w:r>
      <w:r w:rsidR="004B01A7">
        <w:rPr>
          <w:szCs w:val="24"/>
        </w:rPr>
        <w:t>”</w:t>
      </w:r>
      <w:r w:rsidR="00613D6D" w:rsidRPr="00613D6D">
        <w:rPr>
          <w:szCs w:val="24"/>
        </w:rPr>
        <w:t xml:space="preserve"> (</w:t>
      </w:r>
      <w:r w:rsidR="008845CF">
        <w:rPr>
          <w:szCs w:val="24"/>
        </w:rPr>
        <w:t>AT VIIIA 25/</w:t>
      </w:r>
      <w:r w:rsidR="008A4D33">
        <w:rPr>
          <w:szCs w:val="24"/>
        </w:rPr>
        <w:t>CSM</w:t>
      </w:r>
      <w:r w:rsidR="00613D6D" w:rsidRPr="00613D6D">
        <w:rPr>
          <w:szCs w:val="24"/>
        </w:rPr>
        <w:t xml:space="preserve"> I 210).</w:t>
      </w:r>
      <w:r w:rsidR="00B439DB">
        <w:rPr>
          <w:rStyle w:val="FootnoteReference"/>
          <w:szCs w:val="24"/>
        </w:rPr>
        <w:footnoteReference w:id="26"/>
      </w:r>
      <w:r w:rsidR="00613D6D">
        <w:rPr>
          <w:szCs w:val="24"/>
        </w:rPr>
        <w:t xml:space="preserve"> According to Descartes, only God answers such a description, as God depends upon nothing else for his existence, but </w:t>
      </w:r>
      <w:r w:rsidR="00F55229">
        <w:rPr>
          <w:szCs w:val="24"/>
        </w:rPr>
        <w:t>Descartes</w:t>
      </w:r>
      <w:r w:rsidR="00613D6D">
        <w:rPr>
          <w:szCs w:val="24"/>
        </w:rPr>
        <w:t xml:space="preserve"> also recognized a second category, created substance, </w:t>
      </w:r>
      <w:r w:rsidR="00F55229">
        <w:rPr>
          <w:szCs w:val="24"/>
        </w:rPr>
        <w:t xml:space="preserve">into </w:t>
      </w:r>
      <w:r w:rsidR="00613D6D">
        <w:rPr>
          <w:szCs w:val="24"/>
        </w:rPr>
        <w:t xml:space="preserve">which </w:t>
      </w:r>
      <w:r w:rsidR="00F55229">
        <w:rPr>
          <w:szCs w:val="24"/>
        </w:rPr>
        <w:t>fall</w:t>
      </w:r>
      <w:r w:rsidR="00613D6D">
        <w:rPr>
          <w:szCs w:val="24"/>
        </w:rPr>
        <w:t xml:space="preserve"> those things that depend only upon God in order to exist. Descartes identified two kinds of created substance: mind (or soul) and body, claiming that the essence of mind was thought and that of body extension, that is, being three-dimensional</w:t>
      </w:r>
      <w:r w:rsidR="00B75E22">
        <w:rPr>
          <w:szCs w:val="24"/>
        </w:rPr>
        <w:t xml:space="preserve"> (having length, breadth, and width) </w:t>
      </w:r>
      <w:r w:rsidR="00B439DB">
        <w:rPr>
          <w:szCs w:val="24"/>
        </w:rPr>
        <w:t>(</w:t>
      </w:r>
      <w:r w:rsidR="008845CF">
        <w:rPr>
          <w:szCs w:val="24"/>
        </w:rPr>
        <w:t>AT VIIA 25/</w:t>
      </w:r>
      <w:r w:rsidR="008A4D33">
        <w:rPr>
          <w:szCs w:val="24"/>
        </w:rPr>
        <w:t>CSM</w:t>
      </w:r>
      <w:r w:rsidR="00B439DB">
        <w:rPr>
          <w:szCs w:val="24"/>
        </w:rPr>
        <w:t xml:space="preserve"> I 210-11)</w:t>
      </w:r>
      <w:r w:rsidR="00B75E22">
        <w:rPr>
          <w:szCs w:val="24"/>
        </w:rPr>
        <w:t xml:space="preserve">. On this account, human beings were composites of mind and body, </w:t>
      </w:r>
      <w:r w:rsidR="00B75E22">
        <w:t>a</w:t>
      </w:r>
      <w:r w:rsidR="00B75E22" w:rsidRPr="008B270F">
        <w:t xml:space="preserve"> privilege </w:t>
      </w:r>
      <w:r w:rsidR="00B75E22">
        <w:t>Descartes did not exten</w:t>
      </w:r>
      <w:r w:rsidR="002B03D1">
        <w:t>d</w:t>
      </w:r>
      <w:r w:rsidR="00B75E22">
        <w:t xml:space="preserve"> </w:t>
      </w:r>
      <w:r w:rsidR="00B75E22" w:rsidRPr="008B270F">
        <w:t xml:space="preserve">to animals on the grounds that their actions could be adequately explained on the supposition that they followed naturally from the arrangements of animals’ bodily organs in the same way that a watch’s actions followed naturally from the configuration of its component parts. In other words, </w:t>
      </w:r>
      <w:r w:rsidR="005523F0">
        <w:t xml:space="preserve">for Descartes, </w:t>
      </w:r>
      <w:r w:rsidR="00B75E22" w:rsidRPr="008B270F">
        <w:t>animals were pure machines, without a spiritual, incorporeal soul.</w:t>
      </w:r>
      <w:r w:rsidR="008A4D33">
        <w:rPr>
          <w:rStyle w:val="FootnoteReference"/>
        </w:rPr>
        <w:footnoteReference w:id="27"/>
      </w:r>
      <w:r w:rsidR="000B7122">
        <w:t xml:space="preserve"> </w:t>
      </w:r>
      <w:r w:rsidR="005523F0">
        <w:t>It is t</w:t>
      </w:r>
      <w:r w:rsidR="000B7122">
        <w:t>his account of substance, which was also accepted by Malebranche and other Cartesians,</w:t>
      </w:r>
      <w:r w:rsidR="00540825">
        <w:t xml:space="preserve"> </w:t>
      </w:r>
      <w:r w:rsidR="00F55229">
        <w:t>t</w:t>
      </w:r>
      <w:r w:rsidR="000B7122">
        <w:t xml:space="preserve">hat Leibniz seeks to overturn, or at least </w:t>
      </w:r>
      <w:r w:rsidR="00F55229">
        <w:t xml:space="preserve">heavily </w:t>
      </w:r>
      <w:r w:rsidR="000B7122">
        <w:t xml:space="preserve">revise, in the </w:t>
      </w:r>
      <w:r w:rsidR="000B7122">
        <w:rPr>
          <w:i/>
        </w:rPr>
        <w:t>Discourse</w:t>
      </w:r>
      <w:r w:rsidR="000B7122">
        <w:t>.</w:t>
      </w:r>
    </w:p>
    <w:p w:rsidR="00801582" w:rsidRDefault="000B7122" w:rsidP="007327D2">
      <w:pPr>
        <w:autoSpaceDE w:val="0"/>
        <w:autoSpaceDN w:val="0"/>
        <w:adjustRightInd w:val="0"/>
        <w:spacing w:line="480" w:lineRule="auto"/>
        <w:rPr>
          <w:rFonts w:eastAsia="MinionPro-Regular" w:cs="Times New Roman"/>
          <w:szCs w:val="24"/>
        </w:rPr>
      </w:pPr>
      <w:r>
        <w:rPr>
          <w:rFonts w:eastAsia="MinionPro-Regular" w:cs="Times New Roman"/>
          <w:szCs w:val="24"/>
        </w:rPr>
        <w:tab/>
      </w:r>
      <w:r w:rsidR="00F55229">
        <w:rPr>
          <w:rFonts w:eastAsia="MinionPro-Regular" w:cs="Times New Roman"/>
          <w:szCs w:val="24"/>
        </w:rPr>
        <w:t xml:space="preserve">In §8, </w:t>
      </w:r>
      <w:r>
        <w:rPr>
          <w:rFonts w:eastAsia="MinionPro-Regular" w:cs="Times New Roman"/>
          <w:szCs w:val="24"/>
        </w:rPr>
        <w:t xml:space="preserve">Leibniz </w:t>
      </w:r>
      <w:r w:rsidR="00AC7FD6" w:rsidRPr="00AC7FD6">
        <w:rPr>
          <w:rFonts w:eastAsia="MinionPro-Regular" w:cs="Times New Roman"/>
          <w:szCs w:val="24"/>
        </w:rPr>
        <w:t xml:space="preserve">raises </w:t>
      </w:r>
      <w:r w:rsidR="00AC7FD6">
        <w:rPr>
          <w:rFonts w:eastAsia="MinionPro-Regular" w:cs="Times New Roman"/>
          <w:szCs w:val="24"/>
        </w:rPr>
        <w:t>the issue</w:t>
      </w:r>
      <w:r w:rsidR="00AC7FD6" w:rsidRPr="00AC7FD6">
        <w:rPr>
          <w:rFonts w:eastAsia="MinionPro-Regular" w:cs="Times New Roman"/>
          <w:szCs w:val="24"/>
        </w:rPr>
        <w:t xml:space="preserve"> </w:t>
      </w:r>
      <w:r w:rsidR="005523F0">
        <w:rPr>
          <w:rFonts w:eastAsia="MinionPro-Regular" w:cs="Times New Roman"/>
          <w:szCs w:val="24"/>
        </w:rPr>
        <w:t xml:space="preserve">of substance in a somewhat oblique way, </w:t>
      </w:r>
      <w:r w:rsidR="0023452D">
        <w:rPr>
          <w:rFonts w:eastAsia="MinionPro-Regular" w:cs="Times New Roman"/>
          <w:szCs w:val="24"/>
        </w:rPr>
        <w:t xml:space="preserve">by considering the question of how causation is divided or shared between God and creatures. </w:t>
      </w:r>
      <w:r w:rsidR="00F55229">
        <w:rPr>
          <w:rFonts w:eastAsia="MinionPro-Regular" w:cs="Times New Roman"/>
          <w:szCs w:val="24"/>
        </w:rPr>
        <w:t>He</w:t>
      </w:r>
      <w:r w:rsidR="0023452D">
        <w:rPr>
          <w:rFonts w:eastAsia="MinionPro-Regular" w:cs="Times New Roman"/>
          <w:szCs w:val="24"/>
        </w:rPr>
        <w:t xml:space="preserve"> claims</w:t>
      </w:r>
      <w:r w:rsidR="005523F0">
        <w:rPr>
          <w:rFonts w:eastAsia="MinionPro-Regular" w:cs="Times New Roman"/>
          <w:szCs w:val="24"/>
        </w:rPr>
        <w:t xml:space="preserve"> it is </w:t>
      </w:r>
      <w:r w:rsidR="00AC7FD6" w:rsidRPr="00AC7FD6">
        <w:rPr>
          <w:rFonts w:eastAsia="MinionPro-Regular" w:cs="Times New Roman"/>
          <w:szCs w:val="24"/>
        </w:rPr>
        <w:t>d</w:t>
      </w:r>
      <w:r w:rsidR="00AC7FD6">
        <w:rPr>
          <w:rFonts w:eastAsia="MinionPro-Regular" w:cs="Times New Roman"/>
          <w:szCs w:val="24"/>
        </w:rPr>
        <w:t>i</w:t>
      </w:r>
      <w:r w:rsidR="005523F0">
        <w:rPr>
          <w:rFonts w:eastAsia="MinionPro-Regular" w:cs="Times New Roman"/>
          <w:szCs w:val="24"/>
        </w:rPr>
        <w:t>fficult</w:t>
      </w:r>
      <w:r w:rsidR="00AC7FD6">
        <w:rPr>
          <w:rFonts w:eastAsia="MinionPro-Regular" w:cs="Times New Roman"/>
          <w:szCs w:val="24"/>
        </w:rPr>
        <w:t xml:space="preserve"> </w:t>
      </w:r>
      <w:r w:rsidR="005523F0">
        <w:rPr>
          <w:rFonts w:eastAsia="MinionPro-Regular" w:cs="Times New Roman"/>
          <w:szCs w:val="24"/>
        </w:rPr>
        <w:t>to distinguish</w:t>
      </w:r>
      <w:r w:rsidR="00AC7FD6">
        <w:rPr>
          <w:rFonts w:eastAsia="MinionPro-Regular" w:cs="Times New Roman"/>
          <w:szCs w:val="24"/>
        </w:rPr>
        <w:t xml:space="preserve"> God’</w:t>
      </w:r>
      <w:r w:rsidR="00AC7FD6" w:rsidRPr="00AC7FD6">
        <w:rPr>
          <w:rFonts w:eastAsia="MinionPro-Regular" w:cs="Times New Roman"/>
          <w:szCs w:val="24"/>
        </w:rPr>
        <w:t xml:space="preserve">s actions from those of creatures, and this because </w:t>
      </w:r>
      <w:r w:rsidR="004B01A7">
        <w:rPr>
          <w:rFonts w:eastAsia="MinionPro-Regular" w:cs="Times New Roman"/>
          <w:szCs w:val="24"/>
        </w:rPr>
        <w:t>“</w:t>
      </w:r>
      <w:r w:rsidR="00AC7FD6" w:rsidRPr="00AC7FD6">
        <w:rPr>
          <w:rFonts w:eastAsia="MinionPro-Regular" w:cs="Times New Roman"/>
          <w:szCs w:val="24"/>
        </w:rPr>
        <w:t>there are those who believe that God does everything, while others imagine that he does nothing but conserve the force which he has given to c</w:t>
      </w:r>
      <w:r w:rsidR="00AC7FD6">
        <w:rPr>
          <w:rFonts w:eastAsia="MinionPro-Regular" w:cs="Times New Roman"/>
          <w:szCs w:val="24"/>
        </w:rPr>
        <w:t>reatures</w:t>
      </w:r>
      <w:r w:rsidR="004B01A7">
        <w:rPr>
          <w:rFonts w:eastAsia="MinionPro-Regular" w:cs="Times New Roman"/>
          <w:szCs w:val="24"/>
        </w:rPr>
        <w:t>”</w:t>
      </w:r>
      <w:r w:rsidR="00AC7FD6">
        <w:rPr>
          <w:rFonts w:eastAsia="MinionPro-Regular" w:cs="Times New Roman"/>
          <w:szCs w:val="24"/>
        </w:rPr>
        <w:t xml:space="preserve"> (</w:t>
      </w:r>
      <w:r w:rsidR="005523F0">
        <w:rPr>
          <w:rFonts w:eastAsia="MinionPro-Regular" w:cs="Times New Roman"/>
          <w:szCs w:val="24"/>
        </w:rPr>
        <w:t>A VI 4</w:t>
      </w:r>
      <w:r w:rsidR="008A4D33">
        <w:rPr>
          <w:rFonts w:eastAsia="MinionPro-Regular" w:cs="Times New Roman"/>
          <w:szCs w:val="24"/>
        </w:rPr>
        <w:t>:</w:t>
      </w:r>
      <w:r w:rsidR="005523F0">
        <w:rPr>
          <w:rFonts w:eastAsia="MinionPro-Regular" w:cs="Times New Roman"/>
          <w:szCs w:val="24"/>
        </w:rPr>
        <w:t xml:space="preserve"> 1539-40/</w:t>
      </w:r>
      <w:r w:rsidR="00AC7FD6">
        <w:rPr>
          <w:rFonts w:eastAsia="MinionPro-Regular" w:cs="Times New Roman"/>
          <w:szCs w:val="24"/>
        </w:rPr>
        <w:t xml:space="preserve">PPL 307). By </w:t>
      </w:r>
      <w:r w:rsidR="004B01A7">
        <w:rPr>
          <w:rFonts w:eastAsia="MinionPro-Regular" w:cs="Times New Roman"/>
          <w:szCs w:val="24"/>
        </w:rPr>
        <w:t>“</w:t>
      </w:r>
      <w:r w:rsidR="00AC7FD6">
        <w:rPr>
          <w:rFonts w:eastAsia="MinionPro-Regular" w:cs="Times New Roman"/>
          <w:szCs w:val="24"/>
        </w:rPr>
        <w:t>those who believe that God does everything</w:t>
      </w:r>
      <w:r w:rsidR="004B01A7">
        <w:rPr>
          <w:rFonts w:eastAsia="MinionPro-Regular" w:cs="Times New Roman"/>
          <w:szCs w:val="24"/>
        </w:rPr>
        <w:t>”</w:t>
      </w:r>
      <w:r w:rsidR="00AC7FD6">
        <w:rPr>
          <w:rFonts w:eastAsia="MinionPro-Regular" w:cs="Times New Roman"/>
          <w:szCs w:val="24"/>
        </w:rPr>
        <w:t xml:space="preserve"> Leibniz is thinking of Malebranche and </w:t>
      </w:r>
      <w:r w:rsidR="005523F0">
        <w:rPr>
          <w:rFonts w:eastAsia="MinionPro-Regular" w:cs="Times New Roman"/>
          <w:szCs w:val="24"/>
        </w:rPr>
        <w:t>his doctrine of occasionalism</w:t>
      </w:r>
      <w:r w:rsidR="00AC7FD6">
        <w:rPr>
          <w:rFonts w:eastAsia="MinionPro-Regular" w:cs="Times New Roman"/>
          <w:szCs w:val="24"/>
        </w:rPr>
        <w:t xml:space="preserve">, </w:t>
      </w:r>
      <w:r w:rsidR="005523F0">
        <w:rPr>
          <w:rFonts w:eastAsia="MinionPro-Regular" w:cs="Times New Roman"/>
          <w:szCs w:val="24"/>
        </w:rPr>
        <w:t>which holds</w:t>
      </w:r>
      <w:r w:rsidR="00AC7FD6">
        <w:rPr>
          <w:rFonts w:eastAsia="MinionPro-Regular" w:cs="Times New Roman"/>
          <w:szCs w:val="24"/>
        </w:rPr>
        <w:t xml:space="preserve"> that God is the only true caus</w:t>
      </w:r>
      <w:r w:rsidR="004676AE">
        <w:rPr>
          <w:rFonts w:eastAsia="MinionPro-Regular" w:cs="Times New Roman"/>
          <w:szCs w:val="24"/>
        </w:rPr>
        <w:t xml:space="preserve">al agent and that what we </w:t>
      </w:r>
      <w:r w:rsidR="004C7A70">
        <w:rPr>
          <w:rFonts w:eastAsia="MinionPro-Regular" w:cs="Times New Roman"/>
          <w:szCs w:val="24"/>
        </w:rPr>
        <w:t xml:space="preserve">take to be everyday cases of causation, such as one object rebounding off another or a soul’s desire being followed by an action, </w:t>
      </w:r>
      <w:r w:rsidR="004676AE">
        <w:rPr>
          <w:rFonts w:eastAsia="MinionPro-Regular" w:cs="Times New Roman"/>
          <w:szCs w:val="24"/>
        </w:rPr>
        <w:t>are simply the occasions on which God acts</w:t>
      </w:r>
      <w:r w:rsidR="004C7A70">
        <w:rPr>
          <w:rFonts w:eastAsia="MinionPro-Regular" w:cs="Times New Roman"/>
          <w:szCs w:val="24"/>
        </w:rPr>
        <w:t>, albeit in accordance with natural laws rather than as ad-hoc interventions</w:t>
      </w:r>
      <w:r w:rsidR="004676AE">
        <w:rPr>
          <w:rFonts w:eastAsia="MinionPro-Regular" w:cs="Times New Roman"/>
          <w:szCs w:val="24"/>
        </w:rPr>
        <w:t>.</w:t>
      </w:r>
      <w:r w:rsidR="008A4D33">
        <w:rPr>
          <w:rStyle w:val="FootnoteReference"/>
          <w:rFonts w:eastAsia="MinionPro-Regular" w:cs="Times New Roman"/>
          <w:szCs w:val="24"/>
        </w:rPr>
        <w:footnoteReference w:id="28"/>
      </w:r>
      <w:r w:rsidR="00DB0355">
        <w:rPr>
          <w:rFonts w:eastAsia="MinionPro-Regular" w:cs="Times New Roman"/>
          <w:szCs w:val="24"/>
        </w:rPr>
        <w:t xml:space="preserve"> And by those who imagine that God </w:t>
      </w:r>
      <w:r w:rsidR="004B01A7">
        <w:rPr>
          <w:rFonts w:eastAsia="MinionPro-Regular" w:cs="Times New Roman"/>
          <w:szCs w:val="24"/>
        </w:rPr>
        <w:t>“</w:t>
      </w:r>
      <w:r w:rsidR="00DB0355" w:rsidRPr="00AC7FD6">
        <w:rPr>
          <w:rFonts w:eastAsia="MinionPro-Regular" w:cs="Times New Roman"/>
          <w:szCs w:val="24"/>
        </w:rPr>
        <w:t>does nothing but conserve the force which he has given to c</w:t>
      </w:r>
      <w:r w:rsidR="00DB0355">
        <w:rPr>
          <w:rFonts w:eastAsia="MinionPro-Regular" w:cs="Times New Roman"/>
          <w:szCs w:val="24"/>
        </w:rPr>
        <w:t>reatures</w:t>
      </w:r>
      <w:r w:rsidR="004B01A7">
        <w:rPr>
          <w:rFonts w:eastAsia="MinionPro-Regular" w:cs="Times New Roman"/>
          <w:szCs w:val="24"/>
        </w:rPr>
        <w:t>”</w:t>
      </w:r>
      <w:r w:rsidR="00DB0355">
        <w:rPr>
          <w:rFonts w:eastAsia="MinionPro-Regular" w:cs="Times New Roman"/>
          <w:szCs w:val="24"/>
        </w:rPr>
        <w:t xml:space="preserve">, Leibniz is </w:t>
      </w:r>
      <w:r w:rsidR="009332F5">
        <w:rPr>
          <w:rFonts w:eastAsia="MinionPro-Regular" w:cs="Times New Roman"/>
          <w:szCs w:val="24"/>
        </w:rPr>
        <w:t xml:space="preserve">most likely thinking of authors such as </w:t>
      </w:r>
      <w:r w:rsidR="009332F5" w:rsidRPr="009332F5">
        <w:rPr>
          <w:rFonts w:eastAsia="MinionPro-Regular" w:cs="Times New Roman"/>
          <w:szCs w:val="24"/>
        </w:rPr>
        <w:t>Ludovico a Dola</w:t>
      </w:r>
      <w:r w:rsidR="009332F5">
        <w:rPr>
          <w:rFonts w:eastAsia="MinionPro-Regular" w:cs="Times New Roman"/>
          <w:szCs w:val="24"/>
        </w:rPr>
        <w:t xml:space="preserve"> (1637) and </w:t>
      </w:r>
      <w:r w:rsidR="009332F5" w:rsidRPr="009332F5">
        <w:rPr>
          <w:rFonts w:eastAsia="MinionPro-Regular" w:cs="Times New Roman"/>
          <w:szCs w:val="24"/>
        </w:rPr>
        <w:t>François Bernier (1685)</w:t>
      </w:r>
      <w:r w:rsidR="009332F5">
        <w:rPr>
          <w:rFonts w:eastAsia="MinionPro-Regular" w:cs="Times New Roman"/>
          <w:szCs w:val="24"/>
        </w:rPr>
        <w:t>, who had upheld this view, and perhaps also</w:t>
      </w:r>
      <w:r w:rsidR="00DB0355">
        <w:rPr>
          <w:rFonts w:eastAsia="MinionPro-Regular" w:cs="Times New Roman"/>
          <w:szCs w:val="24"/>
        </w:rPr>
        <w:t xml:space="preserve"> Descartes, who had argued that God </w:t>
      </w:r>
      <w:r w:rsidR="004844BE">
        <w:rPr>
          <w:rFonts w:eastAsia="MinionPro-Regular" w:cs="Times New Roman"/>
          <w:szCs w:val="24"/>
        </w:rPr>
        <w:t xml:space="preserve">merely </w:t>
      </w:r>
      <w:r w:rsidR="00DB0355">
        <w:rPr>
          <w:rFonts w:eastAsia="MinionPro-Regular" w:cs="Times New Roman"/>
          <w:szCs w:val="24"/>
        </w:rPr>
        <w:t>conserves the total quantity of motion in the universe</w:t>
      </w:r>
      <w:r w:rsidR="00A93826">
        <w:rPr>
          <w:rFonts w:eastAsia="MinionPro-Regular" w:cs="Times New Roman"/>
          <w:szCs w:val="24"/>
        </w:rPr>
        <w:t>.</w:t>
      </w:r>
      <w:r w:rsidR="00A93826">
        <w:rPr>
          <w:rStyle w:val="FootnoteReference"/>
          <w:rFonts w:eastAsia="MinionPro-Regular" w:cs="Times New Roman"/>
          <w:szCs w:val="24"/>
        </w:rPr>
        <w:footnoteReference w:id="29"/>
      </w:r>
      <w:r w:rsidR="001811DD">
        <w:rPr>
          <w:rFonts w:eastAsia="MinionPro-Regular" w:cs="Times New Roman"/>
          <w:szCs w:val="24"/>
        </w:rPr>
        <w:t xml:space="preserve"> </w:t>
      </w:r>
      <w:r w:rsidR="004844BE">
        <w:rPr>
          <w:rFonts w:eastAsia="MinionPro-Regular" w:cs="Times New Roman"/>
          <w:szCs w:val="24"/>
        </w:rPr>
        <w:t xml:space="preserve">Rather than examine these suggestions in detail, Leibniz </w:t>
      </w:r>
      <w:r w:rsidR="005F0A5E">
        <w:rPr>
          <w:rFonts w:eastAsia="MinionPro-Regular" w:cs="Times New Roman"/>
          <w:szCs w:val="24"/>
        </w:rPr>
        <w:t xml:space="preserve">instead asserts that </w:t>
      </w:r>
      <w:r w:rsidR="004B01A7">
        <w:rPr>
          <w:rFonts w:eastAsia="MinionPro-Regular" w:cs="Times New Roman"/>
          <w:szCs w:val="24"/>
        </w:rPr>
        <w:t>“</w:t>
      </w:r>
      <w:r w:rsidR="005F0A5E" w:rsidRPr="005F0A5E">
        <w:rPr>
          <w:rFonts w:eastAsia="MinionPro-Regular" w:cs="Times New Roman"/>
          <w:szCs w:val="24"/>
        </w:rPr>
        <w:t xml:space="preserve">since actions and passions properly belong to individual substances </w:t>
      </w:r>
      <w:r w:rsidR="00A93826">
        <w:rPr>
          <w:rFonts w:eastAsia="MinionPro-Regular" w:cs="Times New Roman"/>
          <w:szCs w:val="24"/>
        </w:rPr>
        <w:t>[</w:t>
      </w:r>
      <w:r w:rsidR="005F0A5E" w:rsidRPr="005F0A5E">
        <w:rPr>
          <w:rFonts w:eastAsia="MinionPro-Regular" w:cs="Times New Roman"/>
          <w:i/>
          <w:szCs w:val="24"/>
        </w:rPr>
        <w:t>actiones sunt suppositorum</w:t>
      </w:r>
      <w:r w:rsidR="00A93826">
        <w:rPr>
          <w:rFonts w:eastAsia="MinionPro-Regular" w:cs="Times New Roman"/>
          <w:szCs w:val="24"/>
        </w:rPr>
        <w:t>]</w:t>
      </w:r>
      <w:r w:rsidR="005F0A5E" w:rsidRPr="005F0A5E">
        <w:rPr>
          <w:rFonts w:eastAsia="MinionPro-Regular" w:cs="Times New Roman"/>
          <w:szCs w:val="24"/>
        </w:rPr>
        <w:t xml:space="preserve"> it will be necessary to e</w:t>
      </w:r>
      <w:r w:rsidR="005F0A5E">
        <w:rPr>
          <w:rFonts w:eastAsia="MinionPro-Regular" w:cs="Times New Roman"/>
          <w:szCs w:val="24"/>
        </w:rPr>
        <w:t>xplain what such a substance is</w:t>
      </w:r>
      <w:r w:rsidR="004B01A7">
        <w:rPr>
          <w:rFonts w:eastAsia="MinionPro-Regular" w:cs="Times New Roman"/>
          <w:szCs w:val="24"/>
        </w:rPr>
        <w:t>”</w:t>
      </w:r>
      <w:r w:rsidR="005F0A5E">
        <w:rPr>
          <w:rFonts w:eastAsia="MinionPro-Regular" w:cs="Times New Roman"/>
          <w:szCs w:val="24"/>
        </w:rPr>
        <w:t xml:space="preserve"> (A VI 4</w:t>
      </w:r>
      <w:r w:rsidR="00A93826">
        <w:rPr>
          <w:rFonts w:eastAsia="MinionPro-Regular" w:cs="Times New Roman"/>
          <w:szCs w:val="24"/>
        </w:rPr>
        <w:t>:</w:t>
      </w:r>
      <w:r w:rsidR="005F0A5E">
        <w:rPr>
          <w:rFonts w:eastAsia="MinionPro-Regular" w:cs="Times New Roman"/>
          <w:szCs w:val="24"/>
        </w:rPr>
        <w:t xml:space="preserve"> 1540/PPL 307). </w:t>
      </w:r>
      <w:r w:rsidR="00F55229">
        <w:rPr>
          <w:rFonts w:eastAsia="MinionPro-Regular" w:cs="Times New Roman"/>
          <w:szCs w:val="24"/>
        </w:rPr>
        <w:t>Any educated 17</w:t>
      </w:r>
      <w:r w:rsidR="00F55229" w:rsidRPr="00F55229">
        <w:rPr>
          <w:rFonts w:eastAsia="MinionPro-Regular" w:cs="Times New Roman"/>
          <w:szCs w:val="24"/>
          <w:vertAlign w:val="superscript"/>
        </w:rPr>
        <w:t>th</w:t>
      </w:r>
      <w:r w:rsidR="00F55229">
        <w:rPr>
          <w:rFonts w:eastAsia="MinionPro-Regular" w:cs="Times New Roman"/>
          <w:szCs w:val="24"/>
        </w:rPr>
        <w:t xml:space="preserve"> century reader would likely have known that t</w:t>
      </w:r>
      <w:r w:rsidR="00801582">
        <w:rPr>
          <w:rFonts w:eastAsia="MinionPro-Regular" w:cs="Times New Roman"/>
          <w:szCs w:val="24"/>
        </w:rPr>
        <w:t xml:space="preserve">he </w:t>
      </w:r>
      <w:r w:rsidR="005F0A5E">
        <w:rPr>
          <w:rFonts w:eastAsia="MinionPro-Regular" w:cs="Times New Roman"/>
          <w:szCs w:val="24"/>
        </w:rPr>
        <w:t>phrase</w:t>
      </w:r>
      <w:r w:rsidR="00801582">
        <w:rPr>
          <w:rFonts w:eastAsia="MinionPro-Regular" w:cs="Times New Roman"/>
          <w:szCs w:val="24"/>
        </w:rPr>
        <w:t xml:space="preserve"> </w:t>
      </w:r>
      <w:r w:rsidR="004B01A7">
        <w:rPr>
          <w:rFonts w:eastAsia="MinionPro-Regular" w:cs="Times New Roman"/>
          <w:szCs w:val="24"/>
        </w:rPr>
        <w:t>“</w:t>
      </w:r>
      <w:r w:rsidR="00801582" w:rsidRPr="00540825">
        <w:rPr>
          <w:rFonts w:eastAsia="MinionPro-Regular" w:cs="Times New Roman"/>
          <w:i/>
          <w:szCs w:val="24"/>
        </w:rPr>
        <w:t>actiones sunt suppositorum</w:t>
      </w:r>
      <w:r w:rsidR="004B01A7">
        <w:rPr>
          <w:rFonts w:eastAsia="MinionPro-Regular" w:cs="Times New Roman"/>
          <w:szCs w:val="24"/>
        </w:rPr>
        <w:t>”</w:t>
      </w:r>
      <w:r w:rsidR="00801582">
        <w:rPr>
          <w:rFonts w:eastAsia="MinionPro-Regular" w:cs="Times New Roman"/>
          <w:szCs w:val="24"/>
        </w:rPr>
        <w:t xml:space="preserve"> is </w:t>
      </w:r>
      <w:r w:rsidR="000B1170">
        <w:rPr>
          <w:rFonts w:eastAsia="MinionPro-Regular" w:cs="Times New Roman"/>
          <w:szCs w:val="24"/>
        </w:rPr>
        <w:t>borrowed from Aquinas (ST 1</w:t>
      </w:r>
      <w:r w:rsidR="00A93826">
        <w:rPr>
          <w:rFonts w:eastAsia="MinionPro-Regular" w:cs="Times New Roman"/>
          <w:szCs w:val="24"/>
        </w:rPr>
        <w:t>:</w:t>
      </w:r>
      <w:r w:rsidR="000B1170">
        <w:rPr>
          <w:rFonts w:eastAsia="MinionPro-Regular" w:cs="Times New Roman"/>
          <w:szCs w:val="24"/>
        </w:rPr>
        <w:t xml:space="preserve"> Q</w:t>
      </w:r>
      <w:r w:rsidR="000B1170" w:rsidRPr="000B1170">
        <w:rPr>
          <w:rFonts w:eastAsia="MinionPro-Regular" w:cs="Times New Roman"/>
          <w:szCs w:val="24"/>
        </w:rPr>
        <w:t>39 A5 ad1</w:t>
      </w:r>
      <w:r w:rsidR="002B03D1">
        <w:rPr>
          <w:rFonts w:eastAsia="MinionPro-Regular" w:cs="Times New Roman"/>
          <w:szCs w:val="24"/>
        </w:rPr>
        <w:t>; ST 1</w:t>
      </w:r>
      <w:r w:rsidR="00A93826">
        <w:rPr>
          <w:rFonts w:eastAsia="MinionPro-Regular" w:cs="Times New Roman"/>
          <w:szCs w:val="24"/>
        </w:rPr>
        <w:t>:</w:t>
      </w:r>
      <w:r w:rsidR="000B1170">
        <w:rPr>
          <w:rFonts w:eastAsia="MinionPro-Regular" w:cs="Times New Roman"/>
          <w:szCs w:val="24"/>
        </w:rPr>
        <w:t xml:space="preserve"> Q</w:t>
      </w:r>
      <w:r w:rsidR="000B1170" w:rsidRPr="000B1170">
        <w:rPr>
          <w:rFonts w:eastAsia="MinionPro-Regular" w:cs="Times New Roman"/>
          <w:szCs w:val="24"/>
        </w:rPr>
        <w:t>40 A1 ad3</w:t>
      </w:r>
      <w:r w:rsidR="000B1170">
        <w:rPr>
          <w:rFonts w:eastAsia="MinionPro-Regular" w:cs="Times New Roman"/>
          <w:szCs w:val="24"/>
        </w:rPr>
        <w:t>)</w:t>
      </w:r>
      <w:r w:rsidR="005F0A5E">
        <w:rPr>
          <w:rFonts w:eastAsia="MinionPro-Regular" w:cs="Times New Roman"/>
          <w:szCs w:val="24"/>
        </w:rPr>
        <w:t>, who in turn derived it from</w:t>
      </w:r>
      <w:r w:rsidR="00801582">
        <w:rPr>
          <w:rFonts w:eastAsia="MinionPro-Regular" w:cs="Times New Roman"/>
          <w:szCs w:val="24"/>
        </w:rPr>
        <w:t xml:space="preserve"> Aristotle’s (1984</w:t>
      </w:r>
      <w:r w:rsidR="00A93826">
        <w:rPr>
          <w:rFonts w:eastAsia="MinionPro-Regular" w:cs="Times New Roman"/>
          <w:szCs w:val="24"/>
        </w:rPr>
        <w:t>:</w:t>
      </w:r>
      <w:r w:rsidR="00801582">
        <w:rPr>
          <w:rFonts w:eastAsia="MinionPro-Regular" w:cs="Times New Roman"/>
          <w:szCs w:val="24"/>
        </w:rPr>
        <w:t xml:space="preserve"> II 1552) assertion that </w:t>
      </w:r>
      <w:r w:rsidR="004B01A7">
        <w:rPr>
          <w:rFonts w:eastAsia="MinionPro-Regular" w:cs="Times New Roman"/>
          <w:szCs w:val="24"/>
        </w:rPr>
        <w:t>“</w:t>
      </w:r>
      <w:r w:rsidR="00801582" w:rsidRPr="00801582">
        <w:rPr>
          <w:rFonts w:eastAsia="MinionPro-Regular" w:cs="Times New Roman"/>
          <w:szCs w:val="24"/>
        </w:rPr>
        <w:t>actions and productions are all concerned with the individual</w:t>
      </w:r>
      <w:r w:rsidR="004B01A7">
        <w:rPr>
          <w:rFonts w:eastAsia="MinionPro-Regular" w:cs="Times New Roman"/>
          <w:szCs w:val="24"/>
        </w:rPr>
        <w:t>”</w:t>
      </w:r>
      <w:r w:rsidR="00801582">
        <w:rPr>
          <w:rFonts w:eastAsia="MinionPro-Regular" w:cs="Times New Roman"/>
          <w:szCs w:val="24"/>
        </w:rPr>
        <w:t>.</w:t>
      </w:r>
      <w:r w:rsidR="006670D9">
        <w:rPr>
          <w:rStyle w:val="FootnoteReference"/>
          <w:rFonts w:eastAsia="MinionPro-Regular" w:cs="Times New Roman"/>
          <w:szCs w:val="24"/>
        </w:rPr>
        <w:footnoteReference w:id="30"/>
      </w:r>
      <w:r w:rsidR="005F0A5E">
        <w:rPr>
          <w:rFonts w:eastAsia="MinionPro-Regular" w:cs="Times New Roman"/>
          <w:szCs w:val="24"/>
        </w:rPr>
        <w:t xml:space="preserve"> Leibniz’s decision to employ the phrase, and to treat it as axiomatic, thus alerts the reader that the account he will go on to give of substance is indebted to the Aristotelian and Thomistic traditions.</w:t>
      </w:r>
    </w:p>
    <w:p w:rsidR="00FD330A" w:rsidRDefault="004E033C" w:rsidP="007327D2">
      <w:pPr>
        <w:autoSpaceDE w:val="0"/>
        <w:autoSpaceDN w:val="0"/>
        <w:adjustRightInd w:val="0"/>
        <w:spacing w:line="480" w:lineRule="auto"/>
        <w:rPr>
          <w:rFonts w:eastAsia="MinionPro-Regular" w:cs="Times New Roman"/>
          <w:szCs w:val="24"/>
        </w:rPr>
      </w:pPr>
      <w:r>
        <w:rPr>
          <w:rFonts w:eastAsia="MinionPro-Regular" w:cs="Times New Roman"/>
          <w:szCs w:val="24"/>
        </w:rPr>
        <w:tab/>
        <w:t xml:space="preserve">In his </w:t>
      </w:r>
      <w:r>
        <w:rPr>
          <w:rFonts w:eastAsia="MinionPro-Regular" w:cs="Times New Roman"/>
          <w:i/>
          <w:szCs w:val="24"/>
        </w:rPr>
        <w:t>Metaphysics</w:t>
      </w:r>
      <w:r>
        <w:rPr>
          <w:rFonts w:eastAsia="MinionPro-Regular" w:cs="Times New Roman"/>
          <w:szCs w:val="24"/>
        </w:rPr>
        <w:t>, Aristotle (1984</w:t>
      </w:r>
      <w:r w:rsidR="00A93826">
        <w:rPr>
          <w:rFonts w:eastAsia="MinionPro-Regular" w:cs="Times New Roman"/>
          <w:szCs w:val="24"/>
        </w:rPr>
        <w:t>:</w:t>
      </w:r>
      <w:r>
        <w:rPr>
          <w:rFonts w:eastAsia="MinionPro-Regular" w:cs="Times New Roman"/>
          <w:szCs w:val="24"/>
        </w:rPr>
        <w:t xml:space="preserve"> II 1624) had proposed a linguistic criterion for substancehood, claiming that </w:t>
      </w:r>
      <w:r w:rsidR="00FD330A" w:rsidRPr="00FD330A">
        <w:rPr>
          <w:rFonts w:eastAsia="MinionPro-Regular" w:cs="Times New Roman"/>
          <w:szCs w:val="24"/>
        </w:rPr>
        <w:t>substances are those things which are the ultimate subjects of predication, being the subject of predicates but not the predicate of anything else</w:t>
      </w:r>
      <w:r>
        <w:rPr>
          <w:rFonts w:eastAsia="MinionPro-Regular" w:cs="Times New Roman"/>
          <w:szCs w:val="24"/>
        </w:rPr>
        <w:t xml:space="preserve">. </w:t>
      </w:r>
      <w:r w:rsidR="00987ED1">
        <w:rPr>
          <w:rFonts w:eastAsia="MinionPro-Regular" w:cs="Times New Roman"/>
          <w:szCs w:val="24"/>
        </w:rPr>
        <w:t xml:space="preserve">So on this account, for example, Plato would </w:t>
      </w:r>
      <w:r w:rsidR="00987ED1" w:rsidRPr="00DD4847">
        <w:rPr>
          <w:rFonts w:eastAsia="MinionPro-Regular" w:cs="Times New Roman"/>
          <w:szCs w:val="24"/>
        </w:rPr>
        <w:t>qualify as a substance as Plato could not be</w:t>
      </w:r>
      <w:r w:rsidR="00987ED1">
        <w:rPr>
          <w:rFonts w:eastAsia="MinionPro-Regular" w:cs="Times New Roman"/>
          <w:szCs w:val="24"/>
        </w:rPr>
        <w:t xml:space="preserve"> </w:t>
      </w:r>
      <w:r w:rsidR="00987ED1" w:rsidRPr="00DD4847">
        <w:rPr>
          <w:rFonts w:eastAsia="MinionPro-Regular" w:cs="Times New Roman"/>
          <w:szCs w:val="24"/>
        </w:rPr>
        <w:t>predicated of anything else, whereas a</w:t>
      </w:r>
      <w:r w:rsidR="00987ED1">
        <w:rPr>
          <w:rFonts w:eastAsia="MinionPro-Regular" w:cs="Times New Roman"/>
          <w:szCs w:val="24"/>
        </w:rPr>
        <w:t xml:space="preserve"> </w:t>
      </w:r>
      <w:r w:rsidR="00987ED1" w:rsidRPr="00DD4847">
        <w:rPr>
          <w:rFonts w:eastAsia="MinionPro-Regular" w:cs="Times New Roman"/>
          <w:szCs w:val="24"/>
        </w:rPr>
        <w:t>bruise would not</w:t>
      </w:r>
      <w:r w:rsidR="00987ED1">
        <w:rPr>
          <w:rFonts w:eastAsia="MinionPro-Regular" w:cs="Times New Roman"/>
          <w:szCs w:val="24"/>
        </w:rPr>
        <w:t>,</w:t>
      </w:r>
      <w:r w:rsidR="00987ED1" w:rsidRPr="00DD4847">
        <w:rPr>
          <w:rFonts w:eastAsia="MinionPro-Regular" w:cs="Times New Roman"/>
          <w:szCs w:val="24"/>
        </w:rPr>
        <w:t xml:space="preserve"> because it can be predicated of</w:t>
      </w:r>
      <w:r w:rsidR="00987ED1">
        <w:rPr>
          <w:rFonts w:eastAsia="MinionPro-Regular" w:cs="Times New Roman"/>
          <w:szCs w:val="24"/>
        </w:rPr>
        <w:t xml:space="preserve"> </w:t>
      </w:r>
      <w:r w:rsidR="00987ED1" w:rsidRPr="00DD4847">
        <w:rPr>
          <w:rFonts w:eastAsia="MinionPro-Regular" w:cs="Times New Roman"/>
          <w:szCs w:val="24"/>
        </w:rPr>
        <w:t xml:space="preserve">other things, for example Plato (in the proposition </w:t>
      </w:r>
      <w:r w:rsidR="004B01A7">
        <w:rPr>
          <w:rFonts w:eastAsia="MinionPro-Regular" w:cs="Times New Roman"/>
          <w:szCs w:val="24"/>
        </w:rPr>
        <w:t>“</w:t>
      </w:r>
      <w:r w:rsidR="00987ED1">
        <w:rPr>
          <w:rFonts w:eastAsia="MinionPro-Regular" w:cs="Times New Roman"/>
          <w:szCs w:val="24"/>
        </w:rPr>
        <w:t>P</w:t>
      </w:r>
      <w:r w:rsidR="00987ED1" w:rsidRPr="00DD4847">
        <w:rPr>
          <w:rFonts w:eastAsia="MinionPro-Regular" w:cs="Times New Roman"/>
          <w:szCs w:val="24"/>
        </w:rPr>
        <w:t>lato has a bruise</w:t>
      </w:r>
      <w:r w:rsidR="004B01A7">
        <w:rPr>
          <w:rFonts w:eastAsia="MinionPro-Regular" w:cs="Times New Roman"/>
          <w:szCs w:val="24"/>
        </w:rPr>
        <w:t>”</w:t>
      </w:r>
      <w:r w:rsidR="00987ED1" w:rsidRPr="00DD4847">
        <w:rPr>
          <w:rFonts w:eastAsia="MinionPro-Regular" w:cs="Times New Roman"/>
          <w:szCs w:val="24"/>
        </w:rPr>
        <w:t>).</w:t>
      </w:r>
      <w:r w:rsidR="00987ED1">
        <w:rPr>
          <w:rFonts w:eastAsia="MinionPro-Regular" w:cs="Times New Roman"/>
          <w:szCs w:val="24"/>
        </w:rPr>
        <w:t xml:space="preserve"> In §8 of the </w:t>
      </w:r>
      <w:r w:rsidR="00540825">
        <w:rPr>
          <w:rFonts w:eastAsia="MinionPro-Regular" w:cs="Times New Roman"/>
          <w:szCs w:val="24"/>
        </w:rPr>
        <w:t>“</w:t>
      </w:r>
      <w:r w:rsidR="00987ED1" w:rsidRPr="00540825">
        <w:rPr>
          <w:rFonts w:eastAsia="MinionPro-Regular" w:cs="Times New Roman"/>
          <w:szCs w:val="24"/>
        </w:rPr>
        <w:t>Discourse</w:t>
      </w:r>
      <w:r w:rsidR="00540825">
        <w:rPr>
          <w:rFonts w:eastAsia="MinionPro-Regular" w:cs="Times New Roman"/>
          <w:szCs w:val="24"/>
        </w:rPr>
        <w:t>”</w:t>
      </w:r>
      <w:r w:rsidR="00987ED1">
        <w:rPr>
          <w:rFonts w:eastAsia="MinionPro-Regular" w:cs="Times New Roman"/>
          <w:szCs w:val="24"/>
        </w:rPr>
        <w:t xml:space="preserve">, Leibniz </w:t>
      </w:r>
      <w:r w:rsidR="001E7677">
        <w:rPr>
          <w:rFonts w:eastAsia="MinionPro-Regular" w:cs="Times New Roman"/>
          <w:szCs w:val="24"/>
        </w:rPr>
        <w:t xml:space="preserve">concurs with Aristotle’s </w:t>
      </w:r>
      <w:r w:rsidR="008252DA">
        <w:rPr>
          <w:rFonts w:eastAsia="MinionPro-Regular" w:cs="Times New Roman"/>
          <w:szCs w:val="24"/>
        </w:rPr>
        <w:t>characterization</w:t>
      </w:r>
      <w:r w:rsidR="00744DFB">
        <w:rPr>
          <w:rFonts w:eastAsia="MinionPro-Regular" w:cs="Times New Roman"/>
          <w:szCs w:val="24"/>
        </w:rPr>
        <w:t xml:space="preserve"> as far as it goes</w:t>
      </w:r>
      <w:r w:rsidR="008252DA">
        <w:rPr>
          <w:rFonts w:eastAsia="MinionPro-Regular" w:cs="Times New Roman"/>
          <w:szCs w:val="24"/>
        </w:rPr>
        <w:t xml:space="preserve">, stating </w:t>
      </w:r>
      <w:r w:rsidR="004B01A7">
        <w:rPr>
          <w:rFonts w:eastAsia="MinionPro-Regular" w:cs="Times New Roman"/>
          <w:szCs w:val="24"/>
        </w:rPr>
        <w:t>“</w:t>
      </w:r>
      <w:r w:rsidR="008252DA" w:rsidRPr="008252DA">
        <w:rPr>
          <w:rFonts w:eastAsia="MinionPro-Regular" w:cs="Times New Roman"/>
          <w:szCs w:val="24"/>
        </w:rPr>
        <w:t>it is quite true that when a number of predicates are attributed to a single subject, and this subject is not attributed to any other, it is called individual substance</w:t>
      </w:r>
      <w:r w:rsidR="004B01A7">
        <w:rPr>
          <w:rFonts w:eastAsia="MinionPro-Regular" w:cs="Times New Roman"/>
          <w:szCs w:val="24"/>
        </w:rPr>
        <w:t>”</w:t>
      </w:r>
      <w:r w:rsidR="008252DA">
        <w:rPr>
          <w:rFonts w:eastAsia="MinionPro-Regular" w:cs="Times New Roman"/>
          <w:szCs w:val="24"/>
        </w:rPr>
        <w:t xml:space="preserve"> (A VI 4</w:t>
      </w:r>
      <w:r w:rsidR="00A93826">
        <w:rPr>
          <w:rFonts w:eastAsia="MinionPro-Regular" w:cs="Times New Roman"/>
          <w:szCs w:val="24"/>
        </w:rPr>
        <w:t>:</w:t>
      </w:r>
      <w:r w:rsidR="008252DA">
        <w:rPr>
          <w:rFonts w:eastAsia="MinionPro-Regular" w:cs="Times New Roman"/>
          <w:szCs w:val="24"/>
        </w:rPr>
        <w:t xml:space="preserve"> 1540/PPL 307).</w:t>
      </w:r>
      <w:r w:rsidR="00744DFB">
        <w:rPr>
          <w:rFonts w:eastAsia="MinionPro-Regular" w:cs="Times New Roman"/>
          <w:szCs w:val="24"/>
        </w:rPr>
        <w:t xml:space="preserve"> But he insists that Aristotle’s characterization does not go far enough, because it does not explain what it means to be truly attributed to a subject. Leibn</w:t>
      </w:r>
      <w:r w:rsidR="007667EE">
        <w:rPr>
          <w:rFonts w:eastAsia="MinionPro-Regular" w:cs="Times New Roman"/>
          <w:szCs w:val="24"/>
        </w:rPr>
        <w:t>iz then offers his explanation:</w:t>
      </w:r>
    </w:p>
    <w:p w:rsidR="00744DFB" w:rsidRDefault="00744DFB" w:rsidP="007327D2">
      <w:pPr>
        <w:autoSpaceDE w:val="0"/>
        <w:autoSpaceDN w:val="0"/>
        <w:adjustRightInd w:val="0"/>
        <w:spacing w:line="480" w:lineRule="auto"/>
        <w:rPr>
          <w:rFonts w:eastAsia="MinionPro-Regular" w:cs="Times New Roman"/>
          <w:szCs w:val="24"/>
        </w:rPr>
      </w:pPr>
    </w:p>
    <w:p w:rsidR="00744DFB" w:rsidRPr="00987ED1" w:rsidRDefault="00744DFB" w:rsidP="007327D2">
      <w:pPr>
        <w:autoSpaceDE w:val="0"/>
        <w:autoSpaceDN w:val="0"/>
        <w:adjustRightInd w:val="0"/>
        <w:spacing w:line="480" w:lineRule="auto"/>
        <w:ind w:left="720"/>
        <w:rPr>
          <w:rFonts w:eastAsia="MinionPro-Regular" w:cs="Times New Roman"/>
          <w:szCs w:val="24"/>
        </w:rPr>
      </w:pPr>
      <w:r w:rsidRPr="00744DFB">
        <w:rPr>
          <w:rFonts w:eastAsia="MinionPro-Regular" w:cs="Times New Roman"/>
          <w:szCs w:val="24"/>
        </w:rPr>
        <w:t>it is certain that every true predication has some basis in the nature of things, and when a proposition is not an identity, that is, when the predicate is not explicitly contained in the subject, it must be contained in it virtually</w:t>
      </w:r>
      <w:r>
        <w:rPr>
          <w:rFonts w:eastAsia="MinionPro-Regular" w:cs="Times New Roman"/>
          <w:szCs w:val="24"/>
        </w:rPr>
        <w:t xml:space="preserve"> (A VI 4</w:t>
      </w:r>
      <w:r w:rsidR="00A93826">
        <w:rPr>
          <w:rFonts w:eastAsia="MinionPro-Regular" w:cs="Times New Roman"/>
          <w:szCs w:val="24"/>
        </w:rPr>
        <w:t>:</w:t>
      </w:r>
      <w:r>
        <w:rPr>
          <w:rFonts w:eastAsia="MinionPro-Regular" w:cs="Times New Roman"/>
          <w:szCs w:val="24"/>
        </w:rPr>
        <w:t xml:space="preserve"> 1540/PPL 307).</w:t>
      </w:r>
    </w:p>
    <w:p w:rsidR="00FD330A" w:rsidRDefault="00FD330A" w:rsidP="007327D2">
      <w:pPr>
        <w:autoSpaceDE w:val="0"/>
        <w:autoSpaceDN w:val="0"/>
        <w:adjustRightInd w:val="0"/>
        <w:spacing w:line="480" w:lineRule="auto"/>
        <w:rPr>
          <w:rFonts w:eastAsia="MinionPro-Regular" w:cs="Times New Roman"/>
          <w:szCs w:val="24"/>
        </w:rPr>
      </w:pPr>
    </w:p>
    <w:p w:rsidR="007828C5" w:rsidRDefault="006C554A" w:rsidP="007327D2">
      <w:pPr>
        <w:autoSpaceDE w:val="0"/>
        <w:autoSpaceDN w:val="0"/>
        <w:adjustRightInd w:val="0"/>
        <w:spacing w:line="480" w:lineRule="auto"/>
        <w:rPr>
          <w:rFonts w:eastAsia="MinionPro-Regular" w:cs="Times New Roman"/>
          <w:szCs w:val="24"/>
        </w:rPr>
      </w:pPr>
      <w:r>
        <w:rPr>
          <w:rFonts w:eastAsia="MinionPro-Regular" w:cs="Times New Roman"/>
          <w:szCs w:val="24"/>
        </w:rPr>
        <w:t xml:space="preserve">For example, in the </w:t>
      </w:r>
      <w:r w:rsidR="008B6460">
        <w:rPr>
          <w:rFonts w:eastAsia="MinionPro-Regular" w:cs="Times New Roman"/>
          <w:szCs w:val="24"/>
        </w:rPr>
        <w:t xml:space="preserve">true </w:t>
      </w:r>
      <w:r>
        <w:rPr>
          <w:rFonts w:eastAsia="MinionPro-Regular" w:cs="Times New Roman"/>
          <w:szCs w:val="24"/>
        </w:rPr>
        <w:t xml:space="preserve">proposition </w:t>
      </w:r>
      <w:r w:rsidR="004B01A7">
        <w:rPr>
          <w:rFonts w:eastAsia="MinionPro-Regular" w:cs="Times New Roman"/>
          <w:szCs w:val="24"/>
        </w:rPr>
        <w:t>“green grass is green”</w:t>
      </w:r>
      <w:r>
        <w:rPr>
          <w:rFonts w:eastAsia="MinionPro-Regular" w:cs="Times New Roman"/>
          <w:szCs w:val="24"/>
        </w:rPr>
        <w:t xml:space="preserve">, the predicate </w:t>
      </w:r>
      <w:r w:rsidR="004B01A7">
        <w:rPr>
          <w:rFonts w:eastAsia="MinionPro-Regular" w:cs="Times New Roman"/>
          <w:szCs w:val="24"/>
        </w:rPr>
        <w:t>“green”</w:t>
      </w:r>
      <w:r>
        <w:rPr>
          <w:rFonts w:eastAsia="MinionPro-Regular" w:cs="Times New Roman"/>
          <w:szCs w:val="24"/>
        </w:rPr>
        <w:t xml:space="preserve"> is explicitly contained in the subject </w:t>
      </w:r>
      <w:r w:rsidR="004B01A7">
        <w:rPr>
          <w:rFonts w:eastAsia="MinionPro-Regular" w:cs="Times New Roman"/>
          <w:szCs w:val="24"/>
        </w:rPr>
        <w:t>“green grass”</w:t>
      </w:r>
      <w:r>
        <w:rPr>
          <w:rFonts w:eastAsia="MinionPro-Regular" w:cs="Times New Roman"/>
          <w:szCs w:val="24"/>
        </w:rPr>
        <w:t>, which is why the proposition is true. But in a true proposition that is not an identity</w:t>
      </w:r>
      <w:r w:rsidR="00C96B0A">
        <w:rPr>
          <w:rFonts w:eastAsia="MinionPro-Regular" w:cs="Times New Roman"/>
          <w:szCs w:val="24"/>
        </w:rPr>
        <w:t xml:space="preserve"> (that is, where the predicate term is not explicitly contained in the subject term)</w:t>
      </w:r>
      <w:r w:rsidR="004B01A7">
        <w:rPr>
          <w:rFonts w:eastAsia="MinionPro-Regular" w:cs="Times New Roman"/>
          <w:szCs w:val="24"/>
        </w:rPr>
        <w:t>, such as “</w:t>
      </w:r>
      <w:r w:rsidR="00E52D00">
        <w:rPr>
          <w:rFonts w:eastAsia="MinionPro-Regular" w:cs="Times New Roman"/>
          <w:szCs w:val="24"/>
        </w:rPr>
        <w:t>Alexander conquered Tyre</w:t>
      </w:r>
      <w:r w:rsidR="004B01A7">
        <w:rPr>
          <w:rFonts w:eastAsia="MinionPro-Regular" w:cs="Times New Roman"/>
          <w:szCs w:val="24"/>
        </w:rPr>
        <w:t>”</w:t>
      </w:r>
      <w:r>
        <w:rPr>
          <w:rFonts w:eastAsia="MinionPro-Regular" w:cs="Times New Roman"/>
          <w:szCs w:val="24"/>
        </w:rPr>
        <w:t xml:space="preserve">, the predicate </w:t>
      </w:r>
      <w:r w:rsidR="004B01A7">
        <w:rPr>
          <w:rFonts w:eastAsia="MinionPro-Regular" w:cs="Times New Roman"/>
          <w:szCs w:val="24"/>
        </w:rPr>
        <w:t>“</w:t>
      </w:r>
      <w:r w:rsidR="00D21270">
        <w:rPr>
          <w:rFonts w:eastAsia="MinionPro-Regular" w:cs="Times New Roman"/>
          <w:szCs w:val="24"/>
        </w:rPr>
        <w:t>conquered Tyre</w:t>
      </w:r>
      <w:r w:rsidR="004B01A7">
        <w:rPr>
          <w:rFonts w:eastAsia="MinionPro-Regular" w:cs="Times New Roman"/>
          <w:szCs w:val="24"/>
        </w:rPr>
        <w:t>”</w:t>
      </w:r>
      <w:r w:rsidR="009C3C50">
        <w:rPr>
          <w:rFonts w:eastAsia="MinionPro-Regular" w:cs="Times New Roman"/>
          <w:szCs w:val="24"/>
        </w:rPr>
        <w:t xml:space="preserve"> </w:t>
      </w:r>
      <w:r>
        <w:rPr>
          <w:rFonts w:eastAsia="MinionPro-Regular" w:cs="Times New Roman"/>
          <w:szCs w:val="24"/>
        </w:rPr>
        <w:t xml:space="preserve">is contained in the subject </w:t>
      </w:r>
      <w:r w:rsidR="004B01A7">
        <w:rPr>
          <w:rFonts w:eastAsia="MinionPro-Regular" w:cs="Times New Roman"/>
          <w:szCs w:val="24"/>
        </w:rPr>
        <w:t>“</w:t>
      </w:r>
      <w:r w:rsidR="00D21270">
        <w:rPr>
          <w:rFonts w:eastAsia="MinionPro-Regular" w:cs="Times New Roman"/>
          <w:szCs w:val="24"/>
        </w:rPr>
        <w:t>Alexander</w:t>
      </w:r>
      <w:r w:rsidR="004B01A7">
        <w:rPr>
          <w:rFonts w:eastAsia="MinionPro-Regular" w:cs="Times New Roman"/>
          <w:szCs w:val="24"/>
        </w:rPr>
        <w:t>”</w:t>
      </w:r>
      <w:r>
        <w:rPr>
          <w:rFonts w:eastAsia="MinionPro-Regular" w:cs="Times New Roman"/>
          <w:szCs w:val="24"/>
        </w:rPr>
        <w:t xml:space="preserve"> only virtually</w:t>
      </w:r>
      <w:r w:rsidR="00B167EB">
        <w:rPr>
          <w:rFonts w:eastAsia="MinionPro-Regular" w:cs="Times New Roman"/>
          <w:szCs w:val="24"/>
        </w:rPr>
        <w:t>,</w:t>
      </w:r>
      <w:r w:rsidR="008B6460">
        <w:rPr>
          <w:rFonts w:eastAsia="MinionPro-Regular" w:cs="Times New Roman"/>
          <w:szCs w:val="24"/>
        </w:rPr>
        <w:t xml:space="preserve"> that is, its containment is concealed rather than explicit.</w:t>
      </w:r>
      <w:r w:rsidR="001E1499">
        <w:rPr>
          <w:rFonts w:eastAsia="MinionPro-Regular" w:cs="Times New Roman"/>
          <w:szCs w:val="24"/>
        </w:rPr>
        <w:t xml:space="preserve"> Nevertheless, Leibniz claims </w:t>
      </w:r>
      <w:r w:rsidR="002B03D1">
        <w:rPr>
          <w:rFonts w:eastAsia="MinionPro-Regular" w:cs="Times New Roman"/>
          <w:szCs w:val="24"/>
        </w:rPr>
        <w:t xml:space="preserve">that </w:t>
      </w:r>
      <w:r w:rsidR="001E1499">
        <w:rPr>
          <w:rFonts w:eastAsia="MinionPro-Regular" w:cs="Times New Roman"/>
          <w:szCs w:val="24"/>
        </w:rPr>
        <w:t>anyone who had a complete understanding of the subject term would know that the predicate term is contained there.</w:t>
      </w:r>
      <w:r w:rsidR="001A7DC1">
        <w:rPr>
          <w:rFonts w:eastAsia="MinionPro-Regular" w:cs="Times New Roman"/>
          <w:szCs w:val="24"/>
        </w:rPr>
        <w:t xml:space="preserve"> And this is </w:t>
      </w:r>
      <w:r w:rsidR="004B01A7">
        <w:rPr>
          <w:rFonts w:eastAsia="MinionPro-Regular" w:cs="Times New Roman"/>
          <w:szCs w:val="24"/>
        </w:rPr>
        <w:t>true not just of the predicate “</w:t>
      </w:r>
      <w:r w:rsidR="00D21270">
        <w:rPr>
          <w:rFonts w:eastAsia="MinionPro-Regular" w:cs="Times New Roman"/>
          <w:szCs w:val="24"/>
        </w:rPr>
        <w:t>conquered Tyre</w:t>
      </w:r>
      <w:r w:rsidR="004B01A7">
        <w:rPr>
          <w:rFonts w:eastAsia="MinionPro-Regular" w:cs="Times New Roman"/>
          <w:szCs w:val="24"/>
        </w:rPr>
        <w:t>”</w:t>
      </w:r>
      <w:r w:rsidR="001A7DC1">
        <w:rPr>
          <w:rFonts w:eastAsia="MinionPro-Regular" w:cs="Times New Roman"/>
          <w:szCs w:val="24"/>
        </w:rPr>
        <w:t xml:space="preserve"> but of </w:t>
      </w:r>
      <w:r w:rsidR="001A7DC1">
        <w:rPr>
          <w:rFonts w:eastAsia="MinionPro-Regular" w:cs="Times New Roman"/>
          <w:i/>
          <w:szCs w:val="24"/>
        </w:rPr>
        <w:t>every</w:t>
      </w:r>
      <w:r w:rsidR="001A7DC1">
        <w:rPr>
          <w:rFonts w:eastAsia="MinionPro-Regular" w:cs="Times New Roman"/>
          <w:szCs w:val="24"/>
        </w:rPr>
        <w:t xml:space="preserve"> predi</w:t>
      </w:r>
      <w:r w:rsidR="00263491">
        <w:rPr>
          <w:rFonts w:eastAsia="MinionPro-Regular" w:cs="Times New Roman"/>
          <w:szCs w:val="24"/>
        </w:rPr>
        <w:t xml:space="preserve">cate that is truly ascribed to </w:t>
      </w:r>
      <w:r w:rsidR="00D21270">
        <w:rPr>
          <w:rFonts w:eastAsia="MinionPro-Regular" w:cs="Times New Roman"/>
          <w:szCs w:val="24"/>
        </w:rPr>
        <w:t>Alexander</w:t>
      </w:r>
      <w:r w:rsidR="00B167EB">
        <w:rPr>
          <w:rFonts w:eastAsia="MinionPro-Regular" w:cs="Times New Roman"/>
          <w:szCs w:val="24"/>
        </w:rPr>
        <w:t>, including those about his meals on a particular day, what he said to a friend in a particular conversation etc</w:t>
      </w:r>
      <w:r w:rsidR="001A7DC1">
        <w:rPr>
          <w:rFonts w:eastAsia="MinionPro-Regular" w:cs="Times New Roman"/>
          <w:szCs w:val="24"/>
        </w:rPr>
        <w:t xml:space="preserve">. This </w:t>
      </w:r>
      <w:r w:rsidR="004B01A7">
        <w:rPr>
          <w:rFonts w:eastAsia="MinionPro-Regular" w:cs="Times New Roman"/>
          <w:szCs w:val="24"/>
        </w:rPr>
        <w:t>leads Leibniz to conclude that “</w:t>
      </w:r>
      <w:r w:rsidR="001A7DC1" w:rsidRPr="001A7DC1">
        <w:rPr>
          <w:rFonts w:eastAsia="MinionPro-Regular" w:cs="Times New Roman"/>
          <w:szCs w:val="24"/>
        </w:rPr>
        <w:t>the nature of an individual substance or complete being, is to have a concept so complete that it is sufficient for the understanding of it and for the deduction of all the predicates of the subject to which the concept is attributed</w:t>
      </w:r>
      <w:r w:rsidR="004B01A7">
        <w:rPr>
          <w:rFonts w:eastAsia="MinionPro-Regular" w:cs="Times New Roman"/>
          <w:szCs w:val="24"/>
        </w:rPr>
        <w:t>”</w:t>
      </w:r>
      <w:r w:rsidR="001A7DC1">
        <w:rPr>
          <w:rFonts w:eastAsia="MinionPro-Regular" w:cs="Times New Roman"/>
          <w:szCs w:val="24"/>
        </w:rPr>
        <w:t xml:space="preserve"> (A VI 4</w:t>
      </w:r>
      <w:r w:rsidR="00A93826">
        <w:rPr>
          <w:rFonts w:eastAsia="MinionPro-Regular" w:cs="Times New Roman"/>
          <w:szCs w:val="24"/>
        </w:rPr>
        <w:t>:</w:t>
      </w:r>
      <w:r w:rsidR="001A7DC1">
        <w:rPr>
          <w:rFonts w:eastAsia="MinionPro-Regular" w:cs="Times New Roman"/>
          <w:szCs w:val="24"/>
        </w:rPr>
        <w:t xml:space="preserve"> 1540/PPL 307). </w:t>
      </w:r>
      <w:r w:rsidR="00257B5F">
        <w:rPr>
          <w:rFonts w:eastAsia="MinionPro-Regular" w:cs="Times New Roman"/>
          <w:szCs w:val="24"/>
        </w:rPr>
        <w:t xml:space="preserve">Of course, only God could grasp a complete concept and </w:t>
      </w:r>
      <w:r w:rsidR="00683DC9">
        <w:rPr>
          <w:rFonts w:eastAsia="MinionPro-Regular" w:cs="Times New Roman"/>
          <w:szCs w:val="24"/>
        </w:rPr>
        <w:t>know</w:t>
      </w:r>
      <w:r w:rsidR="00257B5F">
        <w:rPr>
          <w:rFonts w:eastAsia="MinionPro-Regular" w:cs="Times New Roman"/>
          <w:szCs w:val="24"/>
        </w:rPr>
        <w:t xml:space="preserve"> all of the predicates that belong to it,</w:t>
      </w:r>
      <w:r w:rsidR="00683DC9">
        <w:rPr>
          <w:rStyle w:val="FootnoteReference"/>
          <w:rFonts w:eastAsia="MinionPro-Regular" w:cs="Times New Roman"/>
          <w:szCs w:val="24"/>
        </w:rPr>
        <w:footnoteReference w:id="31"/>
      </w:r>
      <w:r w:rsidR="00257B5F">
        <w:rPr>
          <w:rFonts w:eastAsia="MinionPro-Regular" w:cs="Times New Roman"/>
          <w:szCs w:val="24"/>
        </w:rPr>
        <w:t xml:space="preserve"> but that does not change the fact that whatever qualifies as an individual substance must have a complete concept</w:t>
      </w:r>
      <w:r w:rsidR="007828C5">
        <w:rPr>
          <w:rFonts w:eastAsia="MinionPro-Regular" w:cs="Times New Roman"/>
          <w:szCs w:val="24"/>
        </w:rPr>
        <w:t xml:space="preserve">. Although Leibniz is not explicit about which things qualify as an individual substance, </w:t>
      </w:r>
      <w:r w:rsidR="006A3ED3">
        <w:rPr>
          <w:rFonts w:eastAsia="MinionPro-Regular" w:cs="Times New Roman"/>
          <w:szCs w:val="24"/>
        </w:rPr>
        <w:t>his paradigm cases are</w:t>
      </w:r>
      <w:r w:rsidR="007828C5">
        <w:rPr>
          <w:rFonts w:eastAsia="MinionPro-Regular" w:cs="Times New Roman"/>
          <w:szCs w:val="24"/>
        </w:rPr>
        <w:t xml:space="preserve"> individual people (e.g. Alexander, Plato, you, me), </w:t>
      </w:r>
      <w:r w:rsidR="006A3ED3">
        <w:rPr>
          <w:rFonts w:eastAsia="MinionPro-Regular" w:cs="Times New Roman"/>
          <w:szCs w:val="24"/>
        </w:rPr>
        <w:t>though he also recognizes – not without hesitation, as we shall see –</w:t>
      </w:r>
      <w:r w:rsidR="00A748FB">
        <w:rPr>
          <w:rFonts w:eastAsia="MinionPro-Regular" w:cs="Times New Roman"/>
          <w:szCs w:val="24"/>
        </w:rPr>
        <w:t xml:space="preserve"> </w:t>
      </w:r>
      <w:r w:rsidR="007828C5">
        <w:rPr>
          <w:rFonts w:eastAsia="MinionPro-Regular" w:cs="Times New Roman"/>
          <w:szCs w:val="24"/>
        </w:rPr>
        <w:t>individual bodies or objects</w:t>
      </w:r>
      <w:r w:rsidR="00B167EB">
        <w:rPr>
          <w:rFonts w:eastAsia="MinionPro-Regular" w:cs="Times New Roman"/>
          <w:szCs w:val="24"/>
        </w:rPr>
        <w:t xml:space="preserve">; </w:t>
      </w:r>
      <w:r w:rsidR="007828C5">
        <w:rPr>
          <w:rFonts w:eastAsia="MinionPro-Regular" w:cs="Times New Roman"/>
          <w:szCs w:val="24"/>
        </w:rPr>
        <w:t>in a deleted passage from §8 he uses the ring of Gyges as an example</w:t>
      </w:r>
      <w:r w:rsidR="00B167EB">
        <w:rPr>
          <w:rFonts w:eastAsia="MinionPro-Regular" w:cs="Times New Roman"/>
          <w:szCs w:val="24"/>
        </w:rPr>
        <w:t xml:space="preserve"> of the latter</w:t>
      </w:r>
      <w:r w:rsidR="007828C5">
        <w:rPr>
          <w:rFonts w:eastAsia="MinionPro-Regular" w:cs="Times New Roman"/>
          <w:szCs w:val="24"/>
        </w:rPr>
        <w:t>, though presumably a non-fictional ring would do just as well</w:t>
      </w:r>
      <w:r w:rsidR="00B167EB">
        <w:rPr>
          <w:rFonts w:eastAsia="MinionPro-Regular" w:cs="Times New Roman"/>
          <w:szCs w:val="24"/>
        </w:rPr>
        <w:t xml:space="preserve"> (</w:t>
      </w:r>
      <w:r w:rsidR="007828C5">
        <w:rPr>
          <w:rFonts w:eastAsia="MinionPro-Regular" w:cs="Times New Roman"/>
          <w:szCs w:val="24"/>
        </w:rPr>
        <w:t>A VI 4</w:t>
      </w:r>
      <w:r w:rsidR="00A93826">
        <w:rPr>
          <w:rFonts w:eastAsia="MinionPro-Regular" w:cs="Times New Roman"/>
          <w:szCs w:val="24"/>
        </w:rPr>
        <w:t>:</w:t>
      </w:r>
      <w:r w:rsidR="007828C5">
        <w:rPr>
          <w:rFonts w:eastAsia="MinionPro-Regular" w:cs="Times New Roman"/>
          <w:szCs w:val="24"/>
        </w:rPr>
        <w:t xml:space="preserve"> 1540-1). All such things thus have complete concepts; everything else – such as a bruise or, to use Leibniz’s example, </w:t>
      </w:r>
      <w:r w:rsidR="004B01A7">
        <w:rPr>
          <w:rFonts w:eastAsia="MinionPro-Regular" w:cs="Times New Roman"/>
          <w:szCs w:val="24"/>
        </w:rPr>
        <w:t>“being king”</w:t>
      </w:r>
      <w:r w:rsidR="007828C5">
        <w:rPr>
          <w:rFonts w:eastAsia="MinionPro-Regular" w:cs="Times New Roman"/>
          <w:szCs w:val="24"/>
        </w:rPr>
        <w:t xml:space="preserve"> – do </w:t>
      </w:r>
      <w:r w:rsidR="00257B5F">
        <w:rPr>
          <w:rFonts w:eastAsia="MinionPro-Regular" w:cs="Times New Roman"/>
          <w:szCs w:val="24"/>
        </w:rPr>
        <w:t xml:space="preserve">not have a concept </w:t>
      </w:r>
      <w:r w:rsidR="007828C5">
        <w:rPr>
          <w:rFonts w:eastAsia="MinionPro-Regular" w:cs="Times New Roman"/>
          <w:szCs w:val="24"/>
        </w:rPr>
        <w:t xml:space="preserve">complete enough </w:t>
      </w:r>
      <w:r w:rsidR="00257B5F">
        <w:rPr>
          <w:rFonts w:eastAsia="MinionPro-Regular" w:cs="Times New Roman"/>
          <w:szCs w:val="24"/>
        </w:rPr>
        <w:t xml:space="preserve">to </w:t>
      </w:r>
      <w:r w:rsidR="007828C5">
        <w:rPr>
          <w:rFonts w:eastAsia="MinionPro-Regular" w:cs="Times New Roman"/>
          <w:szCs w:val="24"/>
        </w:rPr>
        <w:t>pick out a specific individual</w:t>
      </w:r>
      <w:r w:rsidR="00257B5F">
        <w:rPr>
          <w:rFonts w:eastAsia="MinionPro-Regular" w:cs="Times New Roman"/>
          <w:szCs w:val="24"/>
        </w:rPr>
        <w:t xml:space="preserve">, </w:t>
      </w:r>
      <w:r w:rsidR="007828C5">
        <w:rPr>
          <w:rFonts w:eastAsia="MinionPro-Regular" w:cs="Times New Roman"/>
          <w:szCs w:val="24"/>
        </w:rPr>
        <w:t xml:space="preserve">and accordingly they </w:t>
      </w:r>
      <w:r w:rsidR="00257B5F">
        <w:rPr>
          <w:rFonts w:eastAsia="MinionPro-Regular" w:cs="Times New Roman"/>
          <w:szCs w:val="24"/>
        </w:rPr>
        <w:t xml:space="preserve">do not qualify as </w:t>
      </w:r>
      <w:r w:rsidR="007828C5">
        <w:rPr>
          <w:rFonts w:eastAsia="MinionPro-Regular" w:cs="Times New Roman"/>
          <w:szCs w:val="24"/>
        </w:rPr>
        <w:t>individual substances.</w:t>
      </w:r>
    </w:p>
    <w:p w:rsidR="008B6460" w:rsidRPr="001A7DC1" w:rsidRDefault="001A7DC1" w:rsidP="007327D2">
      <w:pPr>
        <w:autoSpaceDE w:val="0"/>
        <w:autoSpaceDN w:val="0"/>
        <w:adjustRightInd w:val="0"/>
        <w:spacing w:line="480" w:lineRule="auto"/>
        <w:ind w:firstLine="720"/>
        <w:rPr>
          <w:rFonts w:eastAsia="MinionPro-Regular" w:cs="Times New Roman"/>
          <w:szCs w:val="24"/>
        </w:rPr>
      </w:pPr>
      <w:r>
        <w:rPr>
          <w:rFonts w:eastAsia="MinionPro-Regular" w:cs="Times New Roman"/>
          <w:szCs w:val="24"/>
        </w:rPr>
        <w:t xml:space="preserve">Understandably enough, many commentators refer to this as the complete concept </w:t>
      </w:r>
      <w:r w:rsidR="00373A28">
        <w:rPr>
          <w:rFonts w:eastAsia="MinionPro-Regular" w:cs="Times New Roman"/>
          <w:szCs w:val="24"/>
        </w:rPr>
        <w:t>theory</w:t>
      </w:r>
      <w:r>
        <w:rPr>
          <w:rFonts w:eastAsia="MinionPro-Regular" w:cs="Times New Roman"/>
          <w:szCs w:val="24"/>
        </w:rPr>
        <w:t xml:space="preserve"> of substance.</w:t>
      </w:r>
      <w:r w:rsidR="00D21270">
        <w:rPr>
          <w:rFonts w:eastAsia="MinionPro-Regular" w:cs="Times New Roman"/>
          <w:szCs w:val="24"/>
        </w:rPr>
        <w:t xml:space="preserve"> It is im</w:t>
      </w:r>
      <w:r w:rsidR="004B01A7">
        <w:rPr>
          <w:rFonts w:eastAsia="MinionPro-Regular" w:cs="Times New Roman"/>
          <w:szCs w:val="24"/>
        </w:rPr>
        <w:t>portant to understand just how “complete”</w:t>
      </w:r>
      <w:r w:rsidR="00D21270">
        <w:rPr>
          <w:rFonts w:eastAsia="MinionPro-Regular" w:cs="Times New Roman"/>
          <w:szCs w:val="24"/>
        </w:rPr>
        <w:t xml:space="preserve"> Leibniz thought a complete concept was: while we might suppose that it simply contains the predicates corresponding to events between birth and death</w:t>
      </w:r>
      <w:r w:rsidR="007828C5">
        <w:rPr>
          <w:rFonts w:eastAsia="MinionPro-Regular" w:cs="Times New Roman"/>
          <w:szCs w:val="24"/>
        </w:rPr>
        <w:t xml:space="preserve"> (or generation and destruction in the case of inanimate objects)</w:t>
      </w:r>
      <w:r w:rsidR="00D21270">
        <w:rPr>
          <w:rFonts w:eastAsia="MinionPro-Regular" w:cs="Times New Roman"/>
          <w:szCs w:val="24"/>
        </w:rPr>
        <w:t xml:space="preserve">, </w:t>
      </w:r>
      <w:r w:rsidR="00D21270" w:rsidRPr="00D21270">
        <w:rPr>
          <w:rFonts w:eastAsia="MinionPro-Regular" w:cs="Times New Roman"/>
          <w:szCs w:val="24"/>
        </w:rPr>
        <w:t xml:space="preserve">Leibniz </w:t>
      </w:r>
      <w:r w:rsidR="00D21270">
        <w:rPr>
          <w:rFonts w:eastAsia="MinionPro-Regular" w:cs="Times New Roman"/>
          <w:szCs w:val="24"/>
        </w:rPr>
        <w:t xml:space="preserve">has something more extensive in mind. He </w:t>
      </w:r>
      <w:r w:rsidR="00D21270" w:rsidRPr="00D21270">
        <w:rPr>
          <w:rFonts w:eastAsia="MinionPro-Regular" w:cs="Times New Roman"/>
          <w:szCs w:val="24"/>
        </w:rPr>
        <w:t>supposes that, on account of the interconnection of things (something merely assume</w:t>
      </w:r>
      <w:r w:rsidR="00D21270">
        <w:rPr>
          <w:rFonts w:eastAsia="MinionPro-Regular" w:cs="Times New Roman"/>
          <w:szCs w:val="24"/>
        </w:rPr>
        <w:t>d</w:t>
      </w:r>
      <w:r w:rsidR="00D21270" w:rsidRPr="00D21270">
        <w:rPr>
          <w:rFonts w:eastAsia="MinionPro-Regular" w:cs="Times New Roman"/>
          <w:szCs w:val="24"/>
        </w:rPr>
        <w:t xml:space="preserve"> in the </w:t>
      </w:r>
      <w:r w:rsidR="00540825">
        <w:rPr>
          <w:rFonts w:eastAsia="MinionPro-Regular" w:cs="Times New Roman"/>
          <w:szCs w:val="24"/>
        </w:rPr>
        <w:t>“</w:t>
      </w:r>
      <w:r w:rsidR="00D21270" w:rsidRPr="00540825">
        <w:rPr>
          <w:rFonts w:eastAsia="MinionPro-Regular" w:cs="Times New Roman"/>
          <w:szCs w:val="24"/>
        </w:rPr>
        <w:t>Discourse</w:t>
      </w:r>
      <w:r w:rsidR="00540825">
        <w:rPr>
          <w:rFonts w:eastAsia="MinionPro-Regular" w:cs="Times New Roman"/>
          <w:szCs w:val="24"/>
        </w:rPr>
        <w:t>”</w:t>
      </w:r>
      <w:r w:rsidR="00D21270">
        <w:rPr>
          <w:rFonts w:eastAsia="MinionPro-Regular" w:cs="Times New Roman"/>
          <w:szCs w:val="24"/>
        </w:rPr>
        <w:t xml:space="preserve"> rather than argued</w:t>
      </w:r>
      <w:r w:rsidR="00D21270" w:rsidRPr="00D21270">
        <w:rPr>
          <w:rFonts w:eastAsia="MinionPro-Regular" w:cs="Times New Roman"/>
          <w:szCs w:val="24"/>
        </w:rPr>
        <w:t xml:space="preserve"> for), individual substances such as Alexander will have at all times </w:t>
      </w:r>
      <w:r w:rsidR="000A6E5B">
        <w:rPr>
          <w:rFonts w:eastAsia="MinionPro-Regular" w:cs="Times New Roman"/>
          <w:szCs w:val="24"/>
        </w:rPr>
        <w:t>“</w:t>
      </w:r>
      <w:r w:rsidR="00D21270" w:rsidRPr="00D21270">
        <w:rPr>
          <w:rFonts w:eastAsia="MinionPro-Regular" w:cs="Times New Roman"/>
          <w:szCs w:val="24"/>
        </w:rPr>
        <w:t>vestiges of everything that has happened to him and marks of everything that will happen to him, and even traces of everything that happens in the universe</w:t>
      </w:r>
      <w:r w:rsidR="000A6E5B">
        <w:rPr>
          <w:rFonts w:eastAsia="MinionPro-Regular" w:cs="Times New Roman"/>
          <w:szCs w:val="24"/>
        </w:rPr>
        <w:t>”</w:t>
      </w:r>
      <w:r w:rsidR="00D21270" w:rsidRPr="00D21270">
        <w:rPr>
          <w:rFonts w:eastAsia="MinionPro-Regular" w:cs="Times New Roman"/>
          <w:szCs w:val="24"/>
        </w:rPr>
        <w:t xml:space="preserve"> (A VI 4</w:t>
      </w:r>
      <w:r w:rsidR="00A93826">
        <w:rPr>
          <w:rFonts w:eastAsia="MinionPro-Regular" w:cs="Times New Roman"/>
          <w:szCs w:val="24"/>
        </w:rPr>
        <w:t>:</w:t>
      </w:r>
      <w:r w:rsidR="00D21270" w:rsidRPr="00D21270">
        <w:rPr>
          <w:rFonts w:eastAsia="MinionPro-Regular" w:cs="Times New Roman"/>
          <w:szCs w:val="24"/>
        </w:rPr>
        <w:t xml:space="preserve"> 1541/PPL 308).</w:t>
      </w:r>
    </w:p>
    <w:p w:rsidR="002B03D1" w:rsidRDefault="00E52D00" w:rsidP="007327D2">
      <w:pPr>
        <w:autoSpaceDE w:val="0"/>
        <w:autoSpaceDN w:val="0"/>
        <w:adjustRightInd w:val="0"/>
        <w:spacing w:line="480" w:lineRule="auto"/>
        <w:ind w:firstLine="720"/>
      </w:pPr>
      <w:r>
        <w:t xml:space="preserve">Having outlined the </w:t>
      </w:r>
      <w:r w:rsidR="00D21270">
        <w:t xml:space="preserve">complete concept </w:t>
      </w:r>
      <w:r>
        <w:t xml:space="preserve">theory, Leibniz proceeds in </w:t>
      </w:r>
      <w:r>
        <w:rPr>
          <w:rFonts w:cs="Times New Roman"/>
        </w:rPr>
        <w:t>§</w:t>
      </w:r>
      <w:r>
        <w:t xml:space="preserve">9 to </w:t>
      </w:r>
      <w:r w:rsidR="00B12B6A">
        <w:t>present</w:t>
      </w:r>
      <w:r>
        <w:t xml:space="preserve"> some of its corollaries. </w:t>
      </w:r>
      <w:r w:rsidR="00440086">
        <w:t xml:space="preserve">One of the </w:t>
      </w:r>
      <w:r w:rsidR="002B03D1">
        <w:t>most important of these is that</w:t>
      </w:r>
    </w:p>
    <w:p w:rsidR="002B03D1" w:rsidRDefault="002B03D1" w:rsidP="007327D2">
      <w:pPr>
        <w:autoSpaceDE w:val="0"/>
        <w:autoSpaceDN w:val="0"/>
        <w:adjustRightInd w:val="0"/>
        <w:spacing w:line="480" w:lineRule="auto"/>
      </w:pPr>
    </w:p>
    <w:p w:rsidR="002B03D1" w:rsidRDefault="00440086" w:rsidP="007327D2">
      <w:pPr>
        <w:autoSpaceDE w:val="0"/>
        <w:autoSpaceDN w:val="0"/>
        <w:adjustRightInd w:val="0"/>
        <w:spacing w:line="480" w:lineRule="auto"/>
        <w:ind w:left="720"/>
      </w:pPr>
      <w:r>
        <w:t>every substance is like an entire world and like a mirror of God, or of the whole universe which it expresses, each in its own way, somewhat as the same town is represented differently depending on the different posi</w:t>
      </w:r>
      <w:r w:rsidR="00263491">
        <w:t>tions from which it is regarded</w:t>
      </w:r>
      <w:r>
        <w:t xml:space="preserve"> (A VI 4</w:t>
      </w:r>
      <w:r w:rsidR="0035632B">
        <w:t>:</w:t>
      </w:r>
      <w:r>
        <w:t xml:space="preserve"> 1542/PPL 308).</w:t>
      </w:r>
    </w:p>
    <w:p w:rsidR="002B03D1" w:rsidRDefault="002B03D1" w:rsidP="007327D2">
      <w:pPr>
        <w:autoSpaceDE w:val="0"/>
        <w:autoSpaceDN w:val="0"/>
        <w:adjustRightInd w:val="0"/>
        <w:spacing w:line="480" w:lineRule="auto"/>
      </w:pPr>
    </w:p>
    <w:p w:rsidR="0073213D" w:rsidRDefault="0078539B" w:rsidP="0035632B">
      <w:pPr>
        <w:autoSpaceDE w:val="0"/>
        <w:autoSpaceDN w:val="0"/>
        <w:adjustRightInd w:val="0"/>
        <w:spacing w:line="480" w:lineRule="auto"/>
      </w:pPr>
      <w:r>
        <w:t xml:space="preserve">Leibniz doesn’t say how this follows from his </w:t>
      </w:r>
      <w:r w:rsidR="00440086">
        <w:t>complete concept theory of substance</w:t>
      </w:r>
      <w:r>
        <w:t xml:space="preserve">, but we may suppose that </w:t>
      </w:r>
      <w:r w:rsidR="005D47D2">
        <w:t xml:space="preserve">since every substance contains vestiges </w:t>
      </w:r>
      <w:r>
        <w:t xml:space="preserve">of everything that </w:t>
      </w:r>
      <w:r w:rsidR="005D47D2">
        <w:t xml:space="preserve">has happened </w:t>
      </w:r>
      <w:r>
        <w:t xml:space="preserve">to it, </w:t>
      </w:r>
      <w:r w:rsidR="00C42B51">
        <w:t xml:space="preserve">and </w:t>
      </w:r>
      <w:r>
        <w:t xml:space="preserve">one of these events </w:t>
      </w:r>
      <w:r w:rsidR="00C42B51">
        <w:t>is</w:t>
      </w:r>
      <w:r>
        <w:t xml:space="preserve"> its creation by God who contains within himself the ideas of everything else in the universe, every created substance will thereby express both God and – </w:t>
      </w:r>
      <w:r w:rsidR="00C42B51">
        <w:t>through him</w:t>
      </w:r>
      <w:r>
        <w:t xml:space="preserve"> – the </w:t>
      </w:r>
      <w:r w:rsidR="0073213D">
        <w:t xml:space="preserve">entire </w:t>
      </w:r>
      <w:r>
        <w:t>universe.</w:t>
      </w:r>
      <w:r w:rsidR="0073213D">
        <w:rPr>
          <w:rStyle w:val="FootnoteReference"/>
        </w:rPr>
        <w:footnoteReference w:id="32"/>
      </w:r>
      <w:r w:rsidR="00EF7074">
        <w:t xml:space="preserve"> </w:t>
      </w:r>
      <w:r w:rsidR="00B50B22">
        <w:t xml:space="preserve">Another corollary of the complete concept theory is that </w:t>
      </w:r>
      <w:r w:rsidR="000A6E5B">
        <w:t>“</w:t>
      </w:r>
      <w:r w:rsidR="00B50B22" w:rsidRPr="00B50B22">
        <w:t>a substance cannot be divided in two</w:t>
      </w:r>
      <w:r w:rsidR="000A6E5B">
        <w:t>”</w:t>
      </w:r>
      <w:r w:rsidR="00B50B22" w:rsidRPr="00B50B22">
        <w:t xml:space="preserve"> (A VI 4</w:t>
      </w:r>
      <w:r w:rsidR="0035632B">
        <w:t>:</w:t>
      </w:r>
      <w:r w:rsidR="00B50B22" w:rsidRPr="00B50B22">
        <w:t xml:space="preserve"> 1541/PPL 308)</w:t>
      </w:r>
      <w:r w:rsidR="00B50B22">
        <w:t xml:space="preserve">, though again Leibniz does not indicate how this follows. Possibly his thinking is that, were </w:t>
      </w:r>
      <w:r w:rsidR="003235C8">
        <w:t>a substance</w:t>
      </w:r>
      <w:r w:rsidR="00B50B22">
        <w:t xml:space="preserve"> to be divided in two then </w:t>
      </w:r>
      <w:r w:rsidR="003235C8">
        <w:t>the complete concepts of the</w:t>
      </w:r>
      <w:r w:rsidR="00B50B22">
        <w:t xml:space="preserve"> resulting substances would have the same </w:t>
      </w:r>
      <w:r w:rsidR="003235C8">
        <w:t>predicates</w:t>
      </w:r>
      <w:r w:rsidR="00B50B22">
        <w:t xml:space="preserve"> up to the time of division </w:t>
      </w:r>
      <w:r w:rsidR="000A3062">
        <w:t xml:space="preserve">and </w:t>
      </w:r>
      <w:r w:rsidR="00824345">
        <w:t>different predicates</w:t>
      </w:r>
      <w:r w:rsidR="00B50B22">
        <w:t xml:space="preserve"> thereafter. But that would be absurd</w:t>
      </w:r>
      <w:r w:rsidR="003235C8">
        <w:t>; after all, a</w:t>
      </w:r>
      <w:r w:rsidR="00B50B22">
        <w:t xml:space="preserve"> substance’s </w:t>
      </w:r>
      <w:r w:rsidR="003235C8">
        <w:t xml:space="preserve">future </w:t>
      </w:r>
      <w:r w:rsidR="00B50B22">
        <w:t xml:space="preserve">predicates </w:t>
      </w:r>
      <w:r w:rsidR="003235C8">
        <w:t>ar</w:t>
      </w:r>
      <w:r w:rsidR="00B50B22">
        <w:t xml:space="preserve">e deducible from </w:t>
      </w:r>
      <w:r w:rsidR="003235C8">
        <w:t>its past ones, and the same set of past predicates cannot entail two different sets of future predicates.</w:t>
      </w:r>
      <w:r w:rsidR="003235C8">
        <w:rPr>
          <w:rStyle w:val="FootnoteReference"/>
        </w:rPr>
        <w:footnoteReference w:id="33"/>
      </w:r>
    </w:p>
    <w:p w:rsidR="00470DF2" w:rsidRPr="0035632B" w:rsidRDefault="0035632B" w:rsidP="0035632B">
      <w:pPr>
        <w:spacing w:line="480" w:lineRule="auto"/>
      </w:pPr>
      <w:r>
        <w:tab/>
      </w:r>
      <w:r w:rsidR="00470DF2">
        <w:t xml:space="preserve">With the </w:t>
      </w:r>
      <w:r w:rsidR="007C7904">
        <w:t xml:space="preserve">corollaries of </w:t>
      </w:r>
      <w:r w:rsidR="002A1CD7">
        <w:t xml:space="preserve">the </w:t>
      </w:r>
      <w:r w:rsidR="00470DF2">
        <w:t xml:space="preserve">complete concept theory laid out, Leibniz returns to the question he </w:t>
      </w:r>
      <w:r w:rsidR="0019214B">
        <w:t>raised at the start of</w:t>
      </w:r>
      <w:r w:rsidR="00470DF2">
        <w:t xml:space="preserve"> </w:t>
      </w:r>
      <w:r w:rsidR="00470DF2">
        <w:rPr>
          <w:rFonts w:cs="Times New Roman"/>
        </w:rPr>
        <w:t>§8</w:t>
      </w:r>
      <w:r w:rsidR="00470DF2">
        <w:t xml:space="preserve">, namely </w:t>
      </w:r>
      <w:r w:rsidR="00470DF2">
        <w:rPr>
          <w:rFonts w:eastAsia="MinionPro-Regular" w:cs="Times New Roman"/>
          <w:szCs w:val="24"/>
        </w:rPr>
        <w:t>how causation is divided or shared between God and creatures. In §14</w:t>
      </w:r>
      <w:r w:rsidR="00AD777D">
        <w:rPr>
          <w:rFonts w:eastAsia="MinionPro-Regular" w:cs="Times New Roman"/>
          <w:szCs w:val="24"/>
        </w:rPr>
        <w:t xml:space="preserve">, he argues that </w:t>
      </w:r>
      <w:r w:rsidR="00B43A1D">
        <w:rPr>
          <w:rFonts w:eastAsia="MinionPro-Regular" w:cs="Times New Roman"/>
          <w:szCs w:val="24"/>
        </w:rPr>
        <w:t>while</w:t>
      </w:r>
      <w:r w:rsidR="00AD777D">
        <w:rPr>
          <w:rFonts w:eastAsia="MinionPro-Regular" w:cs="Times New Roman"/>
          <w:szCs w:val="24"/>
        </w:rPr>
        <w:t xml:space="preserve"> </w:t>
      </w:r>
      <w:r w:rsidR="00B43A1D">
        <w:rPr>
          <w:rFonts w:eastAsia="MinionPro-Regular" w:cs="Times New Roman"/>
          <w:szCs w:val="24"/>
        </w:rPr>
        <w:t xml:space="preserve">God is the cause of a substance’s </w:t>
      </w:r>
      <w:r w:rsidR="00B43A1D" w:rsidRPr="00B43A1D">
        <w:rPr>
          <w:rFonts w:eastAsia="MinionPro-Regular" w:cs="Times New Roman"/>
          <w:i/>
          <w:szCs w:val="24"/>
        </w:rPr>
        <w:t>being</w:t>
      </w:r>
      <w:r w:rsidRPr="00C10554">
        <w:rPr>
          <w:u w:color="000000"/>
        </w:rPr>
        <w:t>—</w:t>
      </w:r>
      <w:r w:rsidR="00B43A1D">
        <w:rPr>
          <w:rFonts w:eastAsia="MinionPro-Regular" w:cs="Times New Roman"/>
          <w:szCs w:val="24"/>
        </w:rPr>
        <w:t xml:space="preserve">since he </w:t>
      </w:r>
      <w:r w:rsidR="00AD777D">
        <w:rPr>
          <w:rFonts w:eastAsia="MinionPro-Regular" w:cs="Times New Roman"/>
          <w:szCs w:val="24"/>
        </w:rPr>
        <w:t xml:space="preserve">creates </w:t>
      </w:r>
      <w:r w:rsidR="00B43A1D">
        <w:rPr>
          <w:rFonts w:eastAsia="MinionPro-Regular" w:cs="Times New Roman"/>
          <w:szCs w:val="24"/>
        </w:rPr>
        <w:t>it</w:t>
      </w:r>
      <w:r w:rsidR="00AD777D">
        <w:rPr>
          <w:rFonts w:eastAsia="MinionPro-Regular" w:cs="Times New Roman"/>
          <w:szCs w:val="24"/>
        </w:rPr>
        <w:t xml:space="preserve"> </w:t>
      </w:r>
      <w:r w:rsidR="00B43A1D">
        <w:rPr>
          <w:rFonts w:eastAsia="MinionPro-Regular" w:cs="Times New Roman"/>
          <w:szCs w:val="24"/>
        </w:rPr>
        <w:t>and</w:t>
      </w:r>
      <w:r w:rsidR="00AD777D">
        <w:rPr>
          <w:rFonts w:eastAsia="MinionPro-Regular" w:cs="Times New Roman"/>
          <w:szCs w:val="24"/>
        </w:rPr>
        <w:t xml:space="preserve"> continually conserves </w:t>
      </w:r>
      <w:r w:rsidR="00B43A1D">
        <w:rPr>
          <w:rFonts w:eastAsia="MinionPro-Regular" w:cs="Times New Roman"/>
          <w:szCs w:val="24"/>
        </w:rPr>
        <w:t>it</w:t>
      </w:r>
      <w:r w:rsidR="00AD777D">
        <w:rPr>
          <w:rFonts w:eastAsia="MinionPro-Regular" w:cs="Times New Roman"/>
          <w:szCs w:val="24"/>
        </w:rPr>
        <w:t xml:space="preserve"> in existence</w:t>
      </w:r>
      <w:r w:rsidRPr="00C10554">
        <w:rPr>
          <w:u w:color="000000"/>
        </w:rPr>
        <w:t>—</w:t>
      </w:r>
      <w:r w:rsidR="00B43A1D">
        <w:rPr>
          <w:rFonts w:eastAsia="MinionPro-Regular" w:cs="Times New Roman"/>
          <w:szCs w:val="24"/>
        </w:rPr>
        <w:t xml:space="preserve">he is </w:t>
      </w:r>
      <w:r w:rsidR="005441E9">
        <w:rPr>
          <w:rFonts w:eastAsia="MinionPro-Regular" w:cs="Times New Roman"/>
          <w:szCs w:val="24"/>
        </w:rPr>
        <w:t xml:space="preserve">ordinarily </w:t>
      </w:r>
      <w:r w:rsidR="00B43A1D">
        <w:rPr>
          <w:rFonts w:eastAsia="MinionPro-Regular" w:cs="Times New Roman"/>
          <w:szCs w:val="24"/>
        </w:rPr>
        <w:t xml:space="preserve">not the cause of its </w:t>
      </w:r>
      <w:r w:rsidR="00B43A1D" w:rsidRPr="00B43A1D">
        <w:rPr>
          <w:rFonts w:eastAsia="MinionPro-Regular" w:cs="Times New Roman"/>
          <w:i/>
          <w:szCs w:val="24"/>
        </w:rPr>
        <w:t>action</w:t>
      </w:r>
      <w:r w:rsidR="00DB25B0">
        <w:rPr>
          <w:rFonts w:eastAsia="MinionPro-Regular" w:cs="Times New Roman"/>
          <w:szCs w:val="24"/>
        </w:rPr>
        <w:t xml:space="preserve">. </w:t>
      </w:r>
      <w:r w:rsidR="00A75525">
        <w:rPr>
          <w:rFonts w:eastAsia="MinionPro-Regular" w:cs="Times New Roman"/>
          <w:szCs w:val="24"/>
        </w:rPr>
        <w:t xml:space="preserve">Of course, </w:t>
      </w:r>
      <w:r w:rsidR="00DB25B0">
        <w:rPr>
          <w:rFonts w:eastAsia="MinionPro-Regular" w:cs="Times New Roman"/>
          <w:szCs w:val="24"/>
        </w:rPr>
        <w:t xml:space="preserve">Leibniz has already </w:t>
      </w:r>
      <w:r w:rsidR="00A75525">
        <w:rPr>
          <w:rFonts w:eastAsia="MinionPro-Regular" w:cs="Times New Roman"/>
          <w:szCs w:val="24"/>
        </w:rPr>
        <w:t>stipulat</w:t>
      </w:r>
      <w:r w:rsidR="00DB25B0">
        <w:rPr>
          <w:rFonts w:eastAsia="MinionPro-Regular" w:cs="Times New Roman"/>
          <w:szCs w:val="24"/>
        </w:rPr>
        <w:t>ed that every substance is inherently active, by virtue of its being a substance (</w:t>
      </w:r>
      <w:r w:rsidR="00DB25B0" w:rsidRPr="00B43A1D">
        <w:rPr>
          <w:rFonts w:eastAsia="MinionPro-Regular" w:cs="Times New Roman"/>
          <w:szCs w:val="24"/>
        </w:rPr>
        <w:t xml:space="preserve">since </w:t>
      </w:r>
      <w:r w:rsidR="00DB25B0" w:rsidRPr="00FD4C72">
        <w:rPr>
          <w:rFonts w:eastAsia="MinionPro-Regular" w:cs="Times New Roman"/>
          <w:i/>
          <w:szCs w:val="24"/>
        </w:rPr>
        <w:t>actiones sunt suppositorum</w:t>
      </w:r>
      <w:r w:rsidR="00DB25B0">
        <w:rPr>
          <w:rFonts w:eastAsia="MinionPro-Regular" w:cs="Times New Roman"/>
          <w:szCs w:val="24"/>
        </w:rPr>
        <w:t xml:space="preserve">), but now he explains in what this activity consists. </w:t>
      </w:r>
      <w:r w:rsidR="00A75525">
        <w:rPr>
          <w:rFonts w:eastAsia="MinionPro-Regular" w:cs="Times New Roman"/>
          <w:szCs w:val="24"/>
        </w:rPr>
        <w:t>One s</w:t>
      </w:r>
      <w:r w:rsidR="00B43A1D">
        <w:rPr>
          <w:rFonts w:eastAsia="MinionPro-Regular" w:cs="Times New Roman"/>
          <w:szCs w:val="24"/>
        </w:rPr>
        <w:t>ubstance</w:t>
      </w:r>
      <w:r w:rsidR="00A75525">
        <w:rPr>
          <w:rFonts w:eastAsia="MinionPro-Regular" w:cs="Times New Roman"/>
          <w:szCs w:val="24"/>
        </w:rPr>
        <w:t>, we are told, does not</w:t>
      </w:r>
      <w:r w:rsidR="00B43A1D">
        <w:rPr>
          <w:rFonts w:eastAsia="MinionPro-Regular" w:cs="Times New Roman"/>
          <w:szCs w:val="24"/>
        </w:rPr>
        <w:t xml:space="preserve"> act </w:t>
      </w:r>
      <w:r w:rsidR="00A75525">
        <w:rPr>
          <w:rFonts w:eastAsia="MinionPro-Regular" w:cs="Times New Roman"/>
          <w:szCs w:val="24"/>
        </w:rPr>
        <w:t>up</w:t>
      </w:r>
      <w:r w:rsidR="00B43A1D">
        <w:rPr>
          <w:rFonts w:eastAsia="MinionPro-Regular" w:cs="Times New Roman"/>
          <w:szCs w:val="24"/>
        </w:rPr>
        <w:t xml:space="preserve">on </w:t>
      </w:r>
      <w:r w:rsidR="00A75525">
        <w:rPr>
          <w:rFonts w:eastAsia="MinionPro-Regular" w:cs="Times New Roman"/>
          <w:szCs w:val="24"/>
        </w:rPr>
        <w:t>any</w:t>
      </w:r>
      <w:r w:rsidR="00DB25B0">
        <w:rPr>
          <w:rFonts w:eastAsia="MinionPro-Regular" w:cs="Times New Roman"/>
          <w:szCs w:val="24"/>
        </w:rPr>
        <w:t xml:space="preserve"> </w:t>
      </w:r>
      <w:r w:rsidR="00B43A1D">
        <w:rPr>
          <w:rFonts w:eastAsia="MinionPro-Regular" w:cs="Times New Roman"/>
          <w:szCs w:val="24"/>
        </w:rPr>
        <w:t>other</w:t>
      </w:r>
      <w:r w:rsidR="00A75525">
        <w:rPr>
          <w:rFonts w:eastAsia="MinionPro-Regular" w:cs="Times New Roman"/>
          <w:szCs w:val="24"/>
        </w:rPr>
        <w:t>,</w:t>
      </w:r>
      <w:r w:rsidR="00B43A1D">
        <w:rPr>
          <w:rFonts w:eastAsia="MinionPro-Regular" w:cs="Times New Roman"/>
          <w:szCs w:val="24"/>
        </w:rPr>
        <w:t xml:space="preserve"> </w:t>
      </w:r>
      <w:r w:rsidR="00DB25B0">
        <w:rPr>
          <w:rFonts w:eastAsia="MinionPro-Regular" w:cs="Times New Roman"/>
          <w:szCs w:val="24"/>
        </w:rPr>
        <w:t>only upon itself</w:t>
      </w:r>
      <w:r w:rsidR="00A75525">
        <w:rPr>
          <w:rFonts w:eastAsia="MinionPro-Regular" w:cs="Times New Roman"/>
          <w:szCs w:val="24"/>
        </w:rPr>
        <w:t xml:space="preserve">: </w:t>
      </w:r>
      <w:r w:rsidR="000A6E5B">
        <w:rPr>
          <w:rFonts w:eastAsia="MinionPro-Regular" w:cs="Times New Roman"/>
          <w:szCs w:val="24"/>
        </w:rPr>
        <w:t>“</w:t>
      </w:r>
      <w:r w:rsidR="00A75525" w:rsidRPr="00A75525">
        <w:rPr>
          <w:rFonts w:eastAsia="MinionPro-Regular" w:cs="Times New Roman"/>
          <w:szCs w:val="24"/>
        </w:rPr>
        <w:t>what happens to each one is only a consequence of its complete idea or concept alone, since this idea already contains all the predicates or events and expresses the whole universe</w:t>
      </w:r>
      <w:r w:rsidR="000A6E5B">
        <w:rPr>
          <w:rFonts w:eastAsia="MinionPro-Regular" w:cs="Times New Roman"/>
          <w:szCs w:val="24"/>
        </w:rPr>
        <w:t>”</w:t>
      </w:r>
      <w:r w:rsidR="00A75525" w:rsidRPr="00A75525">
        <w:rPr>
          <w:rFonts w:eastAsia="MinionPro-Regular" w:cs="Times New Roman"/>
          <w:szCs w:val="24"/>
        </w:rPr>
        <w:t xml:space="preserve"> (A VI 4</w:t>
      </w:r>
      <w:r>
        <w:rPr>
          <w:rFonts w:eastAsia="MinionPro-Regular" w:cs="Times New Roman"/>
          <w:szCs w:val="24"/>
        </w:rPr>
        <w:t>:</w:t>
      </w:r>
      <w:r w:rsidR="00A75525" w:rsidRPr="00A75525">
        <w:rPr>
          <w:rFonts w:eastAsia="MinionPro-Regular" w:cs="Times New Roman"/>
          <w:szCs w:val="24"/>
        </w:rPr>
        <w:t xml:space="preserve"> 1551/PPL 312).</w:t>
      </w:r>
      <w:r w:rsidR="00A75525">
        <w:rPr>
          <w:rFonts w:eastAsia="MinionPro-Regular" w:cs="Times New Roman"/>
          <w:szCs w:val="24"/>
        </w:rPr>
        <w:t xml:space="preserve"> </w:t>
      </w:r>
      <w:r w:rsidR="004540FE">
        <w:rPr>
          <w:rFonts w:eastAsia="MinionPro-Regular" w:cs="Times New Roman"/>
          <w:szCs w:val="24"/>
        </w:rPr>
        <w:t xml:space="preserve">It is tempting to construe Leibniz’s talk of </w:t>
      </w:r>
      <w:r w:rsidR="000A6E5B">
        <w:rPr>
          <w:rFonts w:eastAsia="MinionPro-Regular" w:cs="Times New Roman"/>
          <w:szCs w:val="24"/>
        </w:rPr>
        <w:t>“what happens”</w:t>
      </w:r>
      <w:r w:rsidR="004540FE">
        <w:rPr>
          <w:rFonts w:eastAsia="MinionPro-Regular" w:cs="Times New Roman"/>
          <w:szCs w:val="24"/>
        </w:rPr>
        <w:t xml:space="preserve"> to a substance in terms of its being moved or struck, but this is not what </w:t>
      </w:r>
      <w:r w:rsidR="000F6899">
        <w:rPr>
          <w:rFonts w:eastAsia="MinionPro-Regular" w:cs="Times New Roman"/>
          <w:szCs w:val="24"/>
        </w:rPr>
        <w:t xml:space="preserve">he </w:t>
      </w:r>
      <w:r w:rsidR="004540FE">
        <w:rPr>
          <w:rFonts w:eastAsia="MinionPro-Regular" w:cs="Times New Roman"/>
          <w:szCs w:val="24"/>
        </w:rPr>
        <w:t xml:space="preserve">means. In §14 he asserts that, strictly speaking, </w:t>
      </w:r>
      <w:r w:rsidR="000A6E5B">
        <w:rPr>
          <w:rFonts w:eastAsia="MinionPro-Regular" w:cs="Times New Roman"/>
          <w:szCs w:val="24"/>
        </w:rPr>
        <w:t>“</w:t>
      </w:r>
      <w:r w:rsidR="004540FE" w:rsidRPr="004540FE">
        <w:rPr>
          <w:rFonts w:eastAsia="MinionPro-Regular" w:cs="Times New Roman"/>
          <w:szCs w:val="24"/>
        </w:rPr>
        <w:t>nothing can happen to us except thoughts and perceptions</w:t>
      </w:r>
      <w:r w:rsidR="000A6E5B">
        <w:rPr>
          <w:rFonts w:eastAsia="MinionPro-Regular" w:cs="Times New Roman"/>
          <w:szCs w:val="24"/>
        </w:rPr>
        <w:t>”</w:t>
      </w:r>
      <w:r w:rsidR="004540FE" w:rsidRPr="004540FE">
        <w:rPr>
          <w:rFonts w:eastAsia="MinionPro-Regular" w:cs="Times New Roman"/>
          <w:szCs w:val="24"/>
        </w:rPr>
        <w:t xml:space="preserve"> (A VI 4</w:t>
      </w:r>
      <w:r>
        <w:rPr>
          <w:rFonts w:eastAsia="MinionPro-Regular" w:cs="Times New Roman"/>
          <w:szCs w:val="24"/>
        </w:rPr>
        <w:t>:</w:t>
      </w:r>
      <w:r w:rsidR="004540FE" w:rsidRPr="004540FE">
        <w:rPr>
          <w:rFonts w:eastAsia="MinionPro-Regular" w:cs="Times New Roman"/>
          <w:szCs w:val="24"/>
        </w:rPr>
        <w:t xml:space="preserve"> 1551/PPL 312)</w:t>
      </w:r>
      <w:r w:rsidR="004540FE">
        <w:rPr>
          <w:rFonts w:eastAsia="MinionPro-Regular" w:cs="Times New Roman"/>
          <w:szCs w:val="24"/>
        </w:rPr>
        <w:t xml:space="preserve">, these being the means by which we and every other substance express everything else. </w:t>
      </w:r>
      <w:r w:rsidR="00782F7A">
        <w:rPr>
          <w:rFonts w:eastAsia="MinionPro-Regular" w:cs="Times New Roman"/>
          <w:szCs w:val="24"/>
        </w:rPr>
        <w:t xml:space="preserve">The idea that all substances, even </w:t>
      </w:r>
      <w:r w:rsidR="00A748FB">
        <w:rPr>
          <w:rFonts w:eastAsia="MinionPro-Regular" w:cs="Times New Roman"/>
          <w:szCs w:val="24"/>
        </w:rPr>
        <w:t>non-human</w:t>
      </w:r>
      <w:r w:rsidR="00782F7A">
        <w:rPr>
          <w:rFonts w:eastAsia="MinionPro-Regular" w:cs="Times New Roman"/>
          <w:szCs w:val="24"/>
        </w:rPr>
        <w:t xml:space="preserve"> ones, have perceptions might seem odd, but Leibniz does not use the term to mean conscious interpretations of sensory information, as we </w:t>
      </w:r>
      <w:r w:rsidR="00B167EB">
        <w:rPr>
          <w:rFonts w:eastAsia="MinionPro-Regular" w:cs="Times New Roman"/>
          <w:szCs w:val="24"/>
        </w:rPr>
        <w:t>d</w:t>
      </w:r>
      <w:r w:rsidR="00782F7A">
        <w:rPr>
          <w:rFonts w:eastAsia="MinionPro-Regular" w:cs="Times New Roman"/>
          <w:szCs w:val="24"/>
        </w:rPr>
        <w:t xml:space="preserve">o today, but as a technical term that means </w:t>
      </w:r>
      <w:r w:rsidR="000A6E5B">
        <w:rPr>
          <w:rFonts w:eastAsia="MinionPro-Regular" w:cs="Times New Roman"/>
          <w:szCs w:val="24"/>
        </w:rPr>
        <w:t>“</w:t>
      </w:r>
      <w:r w:rsidR="00782F7A" w:rsidRPr="00782F7A">
        <w:rPr>
          <w:rFonts w:eastAsia="MinionPro-Regular" w:cs="Times New Roman"/>
          <w:szCs w:val="24"/>
        </w:rPr>
        <w:t>the expressi</w:t>
      </w:r>
      <w:r w:rsidR="00782F7A">
        <w:rPr>
          <w:rFonts w:eastAsia="MinionPro-Regular" w:cs="Times New Roman"/>
          <w:szCs w:val="24"/>
        </w:rPr>
        <w:t>on of many in one</w:t>
      </w:r>
      <w:r w:rsidR="000A6E5B">
        <w:rPr>
          <w:rFonts w:eastAsia="MinionPro-Regular" w:cs="Times New Roman"/>
          <w:szCs w:val="24"/>
        </w:rPr>
        <w:t>”</w:t>
      </w:r>
      <w:r w:rsidR="00782F7A">
        <w:rPr>
          <w:rFonts w:eastAsia="MinionPro-Regular" w:cs="Times New Roman"/>
          <w:szCs w:val="24"/>
        </w:rPr>
        <w:t>; only when the perception is fairly distinct does Leibniz consider it a sensation (A VI 4</w:t>
      </w:r>
      <w:r>
        <w:rPr>
          <w:rFonts w:eastAsia="MinionPro-Regular" w:cs="Times New Roman"/>
          <w:szCs w:val="24"/>
        </w:rPr>
        <w:t>:</w:t>
      </w:r>
      <w:r w:rsidR="00782F7A">
        <w:rPr>
          <w:rFonts w:eastAsia="MinionPro-Regular" w:cs="Times New Roman"/>
          <w:szCs w:val="24"/>
        </w:rPr>
        <w:t xml:space="preserve"> 1625/LC 321)</w:t>
      </w:r>
      <w:r w:rsidR="00B167EB">
        <w:rPr>
          <w:rFonts w:eastAsia="MinionPro-Regular" w:cs="Times New Roman"/>
          <w:szCs w:val="24"/>
        </w:rPr>
        <w:t>, though not all substances will have perceptions that qualify</w:t>
      </w:r>
      <w:r w:rsidR="00782F7A">
        <w:rPr>
          <w:rFonts w:eastAsia="MinionPro-Regular" w:cs="Times New Roman"/>
          <w:szCs w:val="24"/>
        </w:rPr>
        <w:t>.</w:t>
      </w:r>
      <w:r w:rsidR="006909BD">
        <w:rPr>
          <w:rStyle w:val="FootnoteReference"/>
          <w:rFonts w:eastAsia="MinionPro-Regular" w:cs="Times New Roman"/>
          <w:szCs w:val="24"/>
        </w:rPr>
        <w:footnoteReference w:id="34"/>
      </w:r>
      <w:r w:rsidR="00782F7A">
        <w:rPr>
          <w:rFonts w:eastAsia="MinionPro-Regular" w:cs="Times New Roman"/>
          <w:szCs w:val="24"/>
        </w:rPr>
        <w:t xml:space="preserve"> </w:t>
      </w:r>
      <w:r w:rsidR="004540FE">
        <w:rPr>
          <w:rFonts w:eastAsia="MinionPro-Regular" w:cs="Times New Roman"/>
          <w:szCs w:val="24"/>
        </w:rPr>
        <w:t xml:space="preserve">Now, borrowing the Scholastic principle that </w:t>
      </w:r>
      <w:r w:rsidR="000A6E5B">
        <w:rPr>
          <w:rFonts w:cs="Times New Roman"/>
          <w:szCs w:val="24"/>
        </w:rPr>
        <w:t>“like causes like”</w:t>
      </w:r>
      <w:r w:rsidR="004540FE" w:rsidRPr="003D4E71">
        <w:rPr>
          <w:rFonts w:cs="Times New Roman"/>
          <w:szCs w:val="24"/>
        </w:rPr>
        <w:t xml:space="preserve">, or </w:t>
      </w:r>
      <w:r w:rsidR="000A6E5B">
        <w:rPr>
          <w:rFonts w:cs="Times New Roman"/>
          <w:szCs w:val="24"/>
        </w:rPr>
        <w:t>“</w:t>
      </w:r>
      <w:r w:rsidR="004540FE" w:rsidRPr="003D4E71">
        <w:rPr>
          <w:rFonts w:cs="Times New Roman"/>
          <w:szCs w:val="24"/>
        </w:rPr>
        <w:t>like can only</w:t>
      </w:r>
      <w:r w:rsidR="004540FE">
        <w:rPr>
          <w:rFonts w:cs="Times New Roman"/>
          <w:szCs w:val="24"/>
        </w:rPr>
        <w:t xml:space="preserve"> </w:t>
      </w:r>
      <w:r w:rsidR="004540FE" w:rsidRPr="003D4E71">
        <w:rPr>
          <w:rFonts w:cs="Times New Roman"/>
          <w:szCs w:val="24"/>
        </w:rPr>
        <w:t>be caused by like</w:t>
      </w:r>
      <w:r w:rsidR="000A6E5B">
        <w:rPr>
          <w:rFonts w:cs="Times New Roman"/>
          <w:szCs w:val="24"/>
        </w:rPr>
        <w:t>”</w:t>
      </w:r>
      <w:r w:rsidR="004540FE">
        <w:rPr>
          <w:rFonts w:cs="Times New Roman"/>
          <w:szCs w:val="24"/>
        </w:rPr>
        <w:t>, Leibniz insists that the thoughts and perceptions</w:t>
      </w:r>
      <w:r w:rsidR="004540FE">
        <w:rPr>
          <w:rFonts w:eastAsia="MinionPro-Regular" w:cs="Times New Roman"/>
          <w:szCs w:val="24"/>
        </w:rPr>
        <w:t xml:space="preserve"> that happen to a substance can be caused </w:t>
      </w:r>
      <w:r w:rsidR="000943B5">
        <w:rPr>
          <w:rFonts w:eastAsia="MinionPro-Regular" w:cs="Times New Roman"/>
          <w:szCs w:val="24"/>
        </w:rPr>
        <w:t xml:space="preserve">only </w:t>
      </w:r>
      <w:r w:rsidR="004540FE">
        <w:rPr>
          <w:rFonts w:eastAsia="MinionPro-Regular" w:cs="Times New Roman"/>
          <w:szCs w:val="24"/>
        </w:rPr>
        <w:t>by preceding thoughts and perceptions</w:t>
      </w:r>
      <w:r w:rsidR="007B77F0">
        <w:rPr>
          <w:rFonts w:eastAsia="MinionPro-Regular" w:cs="Times New Roman"/>
          <w:szCs w:val="24"/>
        </w:rPr>
        <w:t>; more correctly,</w:t>
      </w:r>
      <w:r w:rsidR="00782F7A">
        <w:rPr>
          <w:rFonts w:eastAsia="MinionPro-Regular" w:cs="Times New Roman"/>
          <w:szCs w:val="24"/>
        </w:rPr>
        <w:t xml:space="preserve"> by</w:t>
      </w:r>
      <w:r w:rsidR="007B77F0">
        <w:rPr>
          <w:rFonts w:eastAsia="MinionPro-Regular" w:cs="Times New Roman"/>
          <w:szCs w:val="24"/>
        </w:rPr>
        <w:t xml:space="preserve"> its own thoughts and perceptions, since the thoughts and perceptions a substance has are a consequence of its own complete concept rather than that of another substance</w:t>
      </w:r>
      <w:r w:rsidR="00B07C26">
        <w:rPr>
          <w:rFonts w:eastAsia="MinionPro-Regular" w:cs="Times New Roman"/>
          <w:szCs w:val="24"/>
        </w:rPr>
        <w:t xml:space="preserve"> (the only exception Leibniz allows to this is God’s action on a substance in the </w:t>
      </w:r>
      <w:r w:rsidR="005441E9">
        <w:rPr>
          <w:rFonts w:eastAsia="MinionPro-Regular" w:cs="Times New Roman"/>
          <w:szCs w:val="24"/>
        </w:rPr>
        <w:t>case</w:t>
      </w:r>
      <w:r w:rsidR="00B07C26">
        <w:rPr>
          <w:rFonts w:eastAsia="MinionPro-Regular" w:cs="Times New Roman"/>
          <w:szCs w:val="24"/>
        </w:rPr>
        <w:t xml:space="preserve"> of a miracle</w:t>
      </w:r>
      <w:r>
        <w:rPr>
          <w:rFonts w:eastAsia="MinionPro-Regular" w:cs="Times New Roman"/>
          <w:szCs w:val="24"/>
        </w:rPr>
        <w:t>)</w:t>
      </w:r>
      <w:r w:rsidR="004540FE">
        <w:rPr>
          <w:rFonts w:eastAsia="MinionPro-Regular" w:cs="Times New Roman"/>
          <w:szCs w:val="24"/>
        </w:rPr>
        <w:t>.</w:t>
      </w:r>
      <w:r>
        <w:rPr>
          <w:rStyle w:val="FootnoteReference"/>
          <w:rFonts w:eastAsia="MinionPro-Regular" w:cs="Times New Roman"/>
          <w:szCs w:val="24"/>
        </w:rPr>
        <w:footnoteReference w:id="35"/>
      </w:r>
      <w:r w:rsidR="004540FE">
        <w:rPr>
          <w:rFonts w:eastAsia="MinionPro-Regular" w:cs="Times New Roman"/>
          <w:szCs w:val="24"/>
        </w:rPr>
        <w:t xml:space="preserve"> </w:t>
      </w:r>
      <w:r w:rsidR="003D4E71">
        <w:rPr>
          <w:rFonts w:eastAsia="MinionPro-Regular" w:cs="Times New Roman"/>
          <w:szCs w:val="24"/>
        </w:rPr>
        <w:t xml:space="preserve">Accordingly, </w:t>
      </w:r>
      <w:r w:rsidR="00A75525">
        <w:rPr>
          <w:rFonts w:cs="Times New Roman"/>
          <w:szCs w:val="24"/>
        </w:rPr>
        <w:t xml:space="preserve">the cause of a substance’s </w:t>
      </w:r>
      <w:r w:rsidR="007B77F0">
        <w:rPr>
          <w:rFonts w:cs="Times New Roman"/>
          <w:szCs w:val="24"/>
        </w:rPr>
        <w:t>thoughts and perceptions</w:t>
      </w:r>
      <w:r w:rsidR="00A75525">
        <w:rPr>
          <w:rFonts w:cs="Times New Roman"/>
          <w:szCs w:val="24"/>
        </w:rPr>
        <w:t xml:space="preserve"> is internal to that substance</w:t>
      </w:r>
      <w:r w:rsidR="00B07C26">
        <w:rPr>
          <w:rFonts w:cs="Times New Roman"/>
          <w:szCs w:val="24"/>
        </w:rPr>
        <w:t xml:space="preserve"> (except in the case of miracles)</w:t>
      </w:r>
      <w:r w:rsidR="003D4E71">
        <w:rPr>
          <w:rFonts w:cs="Times New Roman"/>
          <w:szCs w:val="24"/>
        </w:rPr>
        <w:t xml:space="preserve">, </w:t>
      </w:r>
      <w:r w:rsidR="007B77F0">
        <w:rPr>
          <w:rFonts w:cs="Times New Roman"/>
          <w:szCs w:val="24"/>
        </w:rPr>
        <w:t>and th</w:t>
      </w:r>
      <w:r w:rsidR="003D4E71">
        <w:rPr>
          <w:rFonts w:cs="Times New Roman"/>
          <w:szCs w:val="24"/>
        </w:rPr>
        <w:t xml:space="preserve">ere </w:t>
      </w:r>
      <w:r w:rsidR="007B77F0">
        <w:rPr>
          <w:rFonts w:cs="Times New Roman"/>
          <w:szCs w:val="24"/>
        </w:rPr>
        <w:t>is n</w:t>
      </w:r>
      <w:r w:rsidR="00B167EB">
        <w:rPr>
          <w:rFonts w:cs="Times New Roman"/>
          <w:szCs w:val="24"/>
        </w:rPr>
        <w:t>ever any</w:t>
      </w:r>
      <w:r w:rsidR="00FD4C72">
        <w:rPr>
          <w:rFonts w:cs="Times New Roman"/>
          <w:szCs w:val="24"/>
        </w:rPr>
        <w:t xml:space="preserve"> causation between substances</w:t>
      </w:r>
      <w:r w:rsidR="003D4E71">
        <w:rPr>
          <w:rFonts w:cs="Times New Roman"/>
          <w:szCs w:val="24"/>
        </w:rPr>
        <w:t xml:space="preserve">. Nevertheless, </w:t>
      </w:r>
      <w:r w:rsidR="007B77F0">
        <w:rPr>
          <w:rFonts w:cs="Times New Roman"/>
          <w:szCs w:val="24"/>
        </w:rPr>
        <w:t>Leibniz</w:t>
      </w:r>
      <w:r w:rsidR="003D4E71">
        <w:rPr>
          <w:rFonts w:cs="Times New Roman"/>
          <w:szCs w:val="24"/>
        </w:rPr>
        <w:t xml:space="preserve"> </w:t>
      </w:r>
      <w:r w:rsidR="00F07078">
        <w:rPr>
          <w:rFonts w:cs="Times New Roman"/>
          <w:szCs w:val="24"/>
        </w:rPr>
        <w:t>insists that God has so established things from the outset</w:t>
      </w:r>
      <w:r w:rsidR="003D4E71">
        <w:rPr>
          <w:rFonts w:cs="Times New Roman"/>
          <w:szCs w:val="24"/>
        </w:rPr>
        <w:t xml:space="preserve"> that </w:t>
      </w:r>
      <w:r w:rsidR="000A6E5B">
        <w:rPr>
          <w:rFonts w:cs="Times New Roman"/>
          <w:szCs w:val="24"/>
        </w:rPr>
        <w:t>“</w:t>
      </w:r>
      <w:r w:rsidR="00F07078" w:rsidRPr="00F07078">
        <w:rPr>
          <w:rFonts w:cs="Times New Roman"/>
          <w:szCs w:val="24"/>
        </w:rPr>
        <w:t>all substances mutually correspond, so that each one, carefully following certain reasons or laws it has observed, coincides with others acting likewise</w:t>
      </w:r>
      <w:r w:rsidR="000A6E5B">
        <w:rPr>
          <w:rFonts w:cs="Times New Roman"/>
          <w:szCs w:val="24"/>
        </w:rPr>
        <w:t>”</w:t>
      </w:r>
      <w:r w:rsidR="00F07078" w:rsidRPr="00F07078">
        <w:rPr>
          <w:rFonts w:cs="Times New Roman"/>
          <w:szCs w:val="24"/>
        </w:rPr>
        <w:t xml:space="preserve"> (A VI 4</w:t>
      </w:r>
      <w:r>
        <w:rPr>
          <w:rFonts w:cs="Times New Roman"/>
          <w:szCs w:val="24"/>
        </w:rPr>
        <w:t>:</w:t>
      </w:r>
      <w:r w:rsidR="00F07078" w:rsidRPr="00F07078">
        <w:rPr>
          <w:rFonts w:cs="Times New Roman"/>
          <w:szCs w:val="24"/>
        </w:rPr>
        <w:t xml:space="preserve"> 1550/PPL 312)</w:t>
      </w:r>
      <w:r w:rsidR="00F07078">
        <w:rPr>
          <w:rFonts w:cs="Times New Roman"/>
          <w:szCs w:val="24"/>
        </w:rPr>
        <w:t>.</w:t>
      </w:r>
      <w:r w:rsidR="002B03D1">
        <w:rPr>
          <w:rFonts w:cs="Times New Roman"/>
          <w:szCs w:val="24"/>
        </w:rPr>
        <w:t xml:space="preserve"> </w:t>
      </w:r>
      <w:r w:rsidR="007B77F0">
        <w:rPr>
          <w:rFonts w:cs="Times New Roman"/>
          <w:szCs w:val="24"/>
        </w:rPr>
        <w:t xml:space="preserve">In other words, because </w:t>
      </w:r>
      <w:r w:rsidR="00782F7A">
        <w:rPr>
          <w:rFonts w:cs="Times New Roman"/>
          <w:szCs w:val="24"/>
        </w:rPr>
        <w:t>each substance’s</w:t>
      </w:r>
      <w:r w:rsidR="007B77F0">
        <w:rPr>
          <w:rFonts w:cs="Times New Roman"/>
          <w:szCs w:val="24"/>
        </w:rPr>
        <w:t xml:space="preserve"> expression of </w:t>
      </w:r>
      <w:r w:rsidR="00782F7A">
        <w:rPr>
          <w:rFonts w:cs="Times New Roman"/>
          <w:szCs w:val="24"/>
        </w:rPr>
        <w:t xml:space="preserve">the universe </w:t>
      </w:r>
      <w:r w:rsidR="007B77F0">
        <w:rPr>
          <w:rFonts w:cs="Times New Roman"/>
          <w:szCs w:val="24"/>
        </w:rPr>
        <w:t>harmonize</w:t>
      </w:r>
      <w:r w:rsidR="00782F7A">
        <w:rPr>
          <w:rFonts w:cs="Times New Roman"/>
          <w:szCs w:val="24"/>
        </w:rPr>
        <w:t>s</w:t>
      </w:r>
      <w:r w:rsidR="007B77F0">
        <w:rPr>
          <w:rFonts w:cs="Times New Roman"/>
          <w:szCs w:val="24"/>
        </w:rPr>
        <w:t xml:space="preserve"> with that of all of the others, i</w:t>
      </w:r>
      <w:r w:rsidR="002B03D1">
        <w:rPr>
          <w:rFonts w:cs="Times New Roman"/>
          <w:szCs w:val="24"/>
        </w:rPr>
        <w:t>t will look as though substances are acting upon one another even though in fact they are not.</w:t>
      </w:r>
    </w:p>
    <w:p w:rsidR="00777C41" w:rsidRDefault="00777C41" w:rsidP="0035632B">
      <w:pPr>
        <w:autoSpaceDE w:val="0"/>
        <w:autoSpaceDN w:val="0"/>
        <w:adjustRightInd w:val="0"/>
        <w:spacing w:line="480" w:lineRule="auto"/>
        <w:ind w:firstLine="720"/>
      </w:pPr>
      <w:r>
        <w:t xml:space="preserve">Leibniz concedes that </w:t>
      </w:r>
      <w:r w:rsidR="00E95B80">
        <w:t xml:space="preserve">there is something of a disconnect between our everyday talk of things acting upon other things and what is really happening at the metaphysical level. Rather than reject everyday talk of causation as wrong or misguided, in </w:t>
      </w:r>
      <w:r w:rsidR="00E95B80">
        <w:rPr>
          <w:rFonts w:cs="Times New Roman"/>
        </w:rPr>
        <w:t>§</w:t>
      </w:r>
      <w:r w:rsidR="00E95B80">
        <w:t xml:space="preserve">15 </w:t>
      </w:r>
      <w:r w:rsidR="00263491">
        <w:t>he</w:t>
      </w:r>
      <w:r w:rsidR="00E95B80">
        <w:t xml:space="preserve"> explains the sense in which it is true. He suggests that while every substance expresses everything else in the universe, each one does so more or less perfectly and that what we ordinarily think of as acti</w:t>
      </w:r>
      <w:r w:rsidR="0080496D">
        <w:t>o</w:t>
      </w:r>
      <w:r w:rsidR="00E95B80">
        <w:t xml:space="preserve">n between substances amounts to no more than changes in how perfectly those substances express everything else. His thinking is that in cases when we would typically say that one substance acts upon another, what has happened is that the </w:t>
      </w:r>
      <w:r w:rsidR="000A6E5B">
        <w:t>“acting”</w:t>
      </w:r>
      <w:r w:rsidR="00E95B80">
        <w:t xml:space="preserve"> substance passes to a more perfect expression, while the other passes to a less perfect expression </w:t>
      </w:r>
      <w:r w:rsidR="0080496D">
        <w:t>(</w:t>
      </w:r>
      <w:r w:rsidR="0083145C" w:rsidRPr="0083145C">
        <w:t>A VI 4</w:t>
      </w:r>
      <w:r w:rsidR="0035632B">
        <w:t>:</w:t>
      </w:r>
      <w:r w:rsidR="0083145C" w:rsidRPr="0083145C">
        <w:t xml:space="preserve"> 1553-4/PPL 312-13</w:t>
      </w:r>
      <w:r w:rsidR="0080496D">
        <w:t>)</w:t>
      </w:r>
      <w:r w:rsidR="00E95B80">
        <w:t>.</w:t>
      </w:r>
    </w:p>
    <w:p w:rsidR="00BA35CB" w:rsidRDefault="005441E9" w:rsidP="007327D2">
      <w:pPr>
        <w:autoSpaceDE w:val="0"/>
        <w:autoSpaceDN w:val="0"/>
        <w:adjustRightInd w:val="0"/>
        <w:spacing w:line="480" w:lineRule="auto"/>
        <w:ind w:firstLine="720"/>
        <w:rPr>
          <w:rFonts w:eastAsia="MinionPro-Regular" w:cs="Times New Roman"/>
          <w:szCs w:val="24"/>
        </w:rPr>
      </w:pPr>
      <w:r>
        <w:t xml:space="preserve">Leibniz’s answer to the question of how to distinguish God’s action from that of substances is now clear: while substances </w:t>
      </w:r>
      <w:r w:rsidR="00E95EDB">
        <w:t xml:space="preserve">act upon themselves and only upon themselves, </w:t>
      </w:r>
      <w:r>
        <w:t xml:space="preserve">God </w:t>
      </w:r>
      <w:r w:rsidR="00E95EDB">
        <w:t>may act upon them too (in the case of a miracle), but otherwise his action is restricted to creating and conserving them.</w:t>
      </w:r>
      <w:r w:rsidR="006A2338">
        <w:t xml:space="preserve"> This presents a clear alternative to the answers proffered by both Descartes and Malebranche. In </w:t>
      </w:r>
      <w:r w:rsidR="006A2338">
        <w:rPr>
          <w:rFonts w:cs="Times New Roman"/>
        </w:rPr>
        <w:t>§§</w:t>
      </w:r>
      <w:r w:rsidR="006A2338">
        <w:t xml:space="preserve">10-12, Leibniz also presents a clear alternative to their ontology of two categories of created substance, namely body and mind. </w:t>
      </w:r>
      <w:r w:rsidR="000B57ED">
        <w:t xml:space="preserve">He asserts that </w:t>
      </w:r>
      <w:r w:rsidR="000A6E5B">
        <w:t>“</w:t>
      </w:r>
      <w:r w:rsidR="000B57ED" w:rsidRPr="000B57ED">
        <w:t>anyone who meditates on the nature of substance, which I have explained above, will find that the entire nature of body does not consist merely in extension, that is, in size, figure, and motion</w:t>
      </w:r>
      <w:r w:rsidR="000A6E5B">
        <w:t>”</w:t>
      </w:r>
      <w:r w:rsidR="000B57ED">
        <w:t xml:space="preserve"> (A VI 4</w:t>
      </w:r>
      <w:r w:rsidR="0035632B">
        <w:t>:</w:t>
      </w:r>
      <w:r w:rsidR="000B57ED">
        <w:t xml:space="preserve"> 1545/PPL 309). By </w:t>
      </w:r>
      <w:r w:rsidR="000A6E5B">
        <w:t>“the nature of substance”</w:t>
      </w:r>
      <w:r w:rsidR="000B57ED">
        <w:t xml:space="preserve"> Leibniz appears to mean that substances are by their nature (a) active, and (b) unified, </w:t>
      </w:r>
      <w:r w:rsidR="00A236B7">
        <w:t xml:space="preserve">and since bodies </w:t>
      </w:r>
      <w:r w:rsidR="000B57ED">
        <w:t>understood purely in terms of extension</w:t>
      </w:r>
      <w:r w:rsidR="00A236B7">
        <w:t xml:space="preserve"> are neither it follows that there must be something else in them, </w:t>
      </w:r>
      <w:r w:rsidR="000A6E5B">
        <w:t>“</w:t>
      </w:r>
      <w:r w:rsidR="00A236B7" w:rsidRPr="00A236B7">
        <w:t>something related to souls, and which is commonly called substantial form</w:t>
      </w:r>
      <w:r w:rsidR="000A6E5B">
        <w:t>”</w:t>
      </w:r>
      <w:r w:rsidR="00A236B7">
        <w:t xml:space="preserve"> (A VI 4</w:t>
      </w:r>
      <w:r w:rsidR="0035632B">
        <w:t>:</w:t>
      </w:r>
      <w:r w:rsidR="00A236B7">
        <w:t xml:space="preserve"> 1545/PPL 309). Substantial forms were mainstays of Aristotelian and Scholastic metaphysics, </w:t>
      </w:r>
      <w:r w:rsidR="00BE0096">
        <w:t>generally considered to be (at least in the latter) the organizing, unifying, and active principle</w:t>
      </w:r>
      <w:r w:rsidR="00267809">
        <w:t xml:space="preserve"> that could be received by</w:t>
      </w:r>
      <w:r w:rsidR="00BE0096">
        <w:t xml:space="preserve"> prime matter, </w:t>
      </w:r>
      <w:r w:rsidR="00267809">
        <w:t>with the form and matter together resulting in</w:t>
      </w:r>
      <w:r w:rsidR="00BE0096">
        <w:t xml:space="preserve"> a complete substance. Substantial forms had been roundly attacked by Descartes and fallen into disrepute among </w:t>
      </w:r>
      <w:r w:rsidR="000A6E5B">
        <w:t>“modern”</w:t>
      </w:r>
      <w:r w:rsidR="00BE0096">
        <w:t xml:space="preserve"> philosophers, so Leibniz’s decision to reintroduce them was </w:t>
      </w:r>
      <w:r w:rsidR="001B06E0">
        <w:t>in effect to swim against the prevailing philosophical current</w:t>
      </w:r>
      <w:r w:rsidR="00BE0096">
        <w:t xml:space="preserve">. Yet as he explains elsewhere, he felt compelled </w:t>
      </w:r>
      <w:r w:rsidR="007466B8">
        <w:rPr>
          <w:rFonts w:eastAsia="MinionPro-Regular" w:cs="Times New Roman"/>
          <w:szCs w:val="24"/>
        </w:rPr>
        <w:t>to</w:t>
      </w:r>
      <w:r w:rsidR="008D705B">
        <w:rPr>
          <w:rFonts w:eastAsia="MinionPro-Regular" w:cs="Times New Roman"/>
          <w:szCs w:val="24"/>
        </w:rPr>
        <w:t xml:space="preserve"> reintroduce substantial forms </w:t>
      </w:r>
      <w:r w:rsidR="007466B8">
        <w:rPr>
          <w:rFonts w:eastAsia="MinionPro-Regular" w:cs="Times New Roman"/>
          <w:szCs w:val="24"/>
        </w:rPr>
        <w:t>in the late 1670s after concluding that</w:t>
      </w:r>
      <w:r w:rsidR="001C6530">
        <w:rPr>
          <w:rFonts w:eastAsia="MinionPro-Regular" w:cs="Times New Roman"/>
          <w:szCs w:val="24"/>
        </w:rPr>
        <w:t xml:space="preserve"> the Cartesian account of body as extension </w:t>
      </w:r>
      <w:r w:rsidR="007466B8">
        <w:rPr>
          <w:rFonts w:eastAsia="MinionPro-Regular" w:cs="Times New Roman"/>
          <w:szCs w:val="24"/>
        </w:rPr>
        <w:t>was unable to</w:t>
      </w:r>
      <w:r w:rsidR="001C6530">
        <w:rPr>
          <w:rFonts w:eastAsia="MinionPro-Regular" w:cs="Times New Roman"/>
          <w:szCs w:val="24"/>
        </w:rPr>
        <w:t xml:space="preserve"> account for two key features of substance, namely unity and activity</w:t>
      </w:r>
      <w:r w:rsidR="007466B8">
        <w:rPr>
          <w:rFonts w:eastAsia="MinionPro-Regular" w:cs="Times New Roman"/>
          <w:szCs w:val="24"/>
        </w:rPr>
        <w:t>.</w:t>
      </w:r>
      <w:r w:rsidR="0035632B">
        <w:rPr>
          <w:rStyle w:val="FootnoteReference"/>
          <w:rFonts w:eastAsia="MinionPro-Regular" w:cs="Times New Roman"/>
          <w:szCs w:val="24"/>
        </w:rPr>
        <w:footnoteReference w:id="36"/>
      </w:r>
      <w:r w:rsidR="007B0FC8">
        <w:rPr>
          <w:rFonts w:eastAsia="MinionPro-Regular" w:cs="Times New Roman"/>
          <w:szCs w:val="24"/>
        </w:rPr>
        <w:t xml:space="preserve"> A body that consisted of extension alone, for example, </w:t>
      </w:r>
      <w:r w:rsidR="005175AD">
        <w:rPr>
          <w:rFonts w:eastAsia="MinionPro-Regular" w:cs="Times New Roman"/>
          <w:szCs w:val="24"/>
        </w:rPr>
        <w:t xml:space="preserve">could not act of itself and </w:t>
      </w:r>
      <w:r w:rsidR="007B0FC8">
        <w:rPr>
          <w:rFonts w:eastAsia="MinionPro-Regular" w:cs="Times New Roman"/>
          <w:szCs w:val="24"/>
        </w:rPr>
        <w:t xml:space="preserve">could be subdivided without end, making it impossible to find </w:t>
      </w:r>
      <w:r w:rsidR="005175AD">
        <w:rPr>
          <w:rFonts w:eastAsia="MinionPro-Regular" w:cs="Times New Roman"/>
          <w:szCs w:val="24"/>
        </w:rPr>
        <w:t>any</w:t>
      </w:r>
      <w:r w:rsidR="007B0FC8">
        <w:rPr>
          <w:rFonts w:eastAsia="MinionPro-Regular" w:cs="Times New Roman"/>
          <w:szCs w:val="24"/>
        </w:rPr>
        <w:t>thing in it that could be called one thing</w:t>
      </w:r>
      <w:r w:rsidR="0035632B">
        <w:rPr>
          <w:rFonts w:eastAsia="MinionPro-Regular" w:cs="Times New Roman"/>
          <w:szCs w:val="24"/>
        </w:rPr>
        <w:t>.</w:t>
      </w:r>
      <w:r w:rsidR="0035632B">
        <w:rPr>
          <w:rStyle w:val="FootnoteReference"/>
          <w:rFonts w:eastAsia="MinionPro-Regular" w:cs="Times New Roman"/>
          <w:szCs w:val="24"/>
        </w:rPr>
        <w:footnoteReference w:id="37"/>
      </w:r>
      <w:r w:rsidR="007B0FC8">
        <w:rPr>
          <w:rFonts w:eastAsia="MinionPro-Regular" w:cs="Times New Roman"/>
          <w:szCs w:val="24"/>
        </w:rPr>
        <w:t xml:space="preserve"> Accordingly, Leibniz restores substantial forms to serve as the principle </w:t>
      </w:r>
      <w:r w:rsidR="005175AD">
        <w:rPr>
          <w:rFonts w:eastAsia="MinionPro-Regular" w:cs="Times New Roman"/>
          <w:szCs w:val="24"/>
        </w:rPr>
        <w:t xml:space="preserve">of </w:t>
      </w:r>
      <w:r w:rsidR="007B0FC8">
        <w:rPr>
          <w:rFonts w:eastAsia="MinionPro-Regular" w:cs="Times New Roman"/>
          <w:szCs w:val="24"/>
        </w:rPr>
        <w:t>action</w:t>
      </w:r>
      <w:r w:rsidR="0035632B">
        <w:rPr>
          <w:rStyle w:val="FootnoteReference"/>
          <w:rFonts w:eastAsia="MinionPro-Regular" w:cs="Times New Roman"/>
          <w:szCs w:val="24"/>
        </w:rPr>
        <w:footnoteReference w:id="38"/>
      </w:r>
      <w:r w:rsidR="007B0FC8">
        <w:rPr>
          <w:rFonts w:eastAsia="MinionPro-Regular" w:cs="Times New Roman"/>
          <w:szCs w:val="24"/>
        </w:rPr>
        <w:t xml:space="preserve"> and p</w:t>
      </w:r>
      <w:r w:rsidR="008D705B">
        <w:rPr>
          <w:rFonts w:eastAsia="MinionPro-Regular" w:cs="Times New Roman"/>
          <w:szCs w:val="24"/>
        </w:rPr>
        <w:t>rinciple of unity</w:t>
      </w:r>
      <w:r w:rsidR="0035632B">
        <w:rPr>
          <w:rStyle w:val="FootnoteReference"/>
          <w:rFonts w:eastAsia="MinionPro-Regular" w:cs="Times New Roman"/>
          <w:szCs w:val="24"/>
        </w:rPr>
        <w:footnoteReference w:id="39"/>
      </w:r>
      <w:r w:rsidR="008D705B">
        <w:rPr>
          <w:rFonts w:eastAsia="MinionPro-Regular" w:cs="Times New Roman"/>
          <w:szCs w:val="24"/>
        </w:rPr>
        <w:t xml:space="preserve"> </w:t>
      </w:r>
      <w:r w:rsidR="007B0FC8">
        <w:rPr>
          <w:rFonts w:eastAsia="MinionPro-Regular" w:cs="Times New Roman"/>
          <w:szCs w:val="24"/>
        </w:rPr>
        <w:t>that bodies require in order to be a substance</w:t>
      </w:r>
      <w:r w:rsidR="008D705B">
        <w:rPr>
          <w:rFonts w:eastAsia="MinionPro-Regular" w:cs="Times New Roman"/>
          <w:szCs w:val="24"/>
        </w:rPr>
        <w:t>.</w:t>
      </w:r>
      <w:r w:rsidR="005175AD">
        <w:rPr>
          <w:rFonts w:eastAsia="MinionPro-Regular" w:cs="Times New Roman"/>
          <w:szCs w:val="24"/>
        </w:rPr>
        <w:t xml:space="preserve"> </w:t>
      </w:r>
      <w:r w:rsidR="00BA35CB">
        <w:rPr>
          <w:rFonts w:eastAsia="MinionPro-Regular" w:cs="Times New Roman"/>
          <w:szCs w:val="24"/>
        </w:rPr>
        <w:t>This</w:t>
      </w:r>
      <w:r w:rsidR="00824345">
        <w:rPr>
          <w:rFonts w:eastAsia="MinionPro-Regular" w:cs="Times New Roman"/>
          <w:szCs w:val="24"/>
        </w:rPr>
        <w:t>, then,</w:t>
      </w:r>
      <w:r w:rsidR="00BA35CB">
        <w:rPr>
          <w:rFonts w:eastAsia="MinionPro-Regular" w:cs="Times New Roman"/>
          <w:szCs w:val="24"/>
        </w:rPr>
        <w:t xml:space="preserve"> is the ontology Leibniz presents i</w:t>
      </w:r>
      <w:r w:rsidR="005175AD">
        <w:rPr>
          <w:rFonts w:eastAsia="MinionPro-Regular" w:cs="Times New Roman"/>
          <w:szCs w:val="24"/>
        </w:rPr>
        <w:t xml:space="preserve">n the </w:t>
      </w:r>
      <w:r w:rsidR="00540825">
        <w:rPr>
          <w:rFonts w:eastAsia="MinionPro-Regular" w:cs="Times New Roman"/>
          <w:szCs w:val="24"/>
        </w:rPr>
        <w:t>“</w:t>
      </w:r>
      <w:r w:rsidR="005175AD" w:rsidRPr="00540825">
        <w:rPr>
          <w:rFonts w:eastAsia="MinionPro-Regular" w:cs="Times New Roman"/>
          <w:szCs w:val="24"/>
        </w:rPr>
        <w:t>Discourse</w:t>
      </w:r>
      <w:r w:rsidR="00540825">
        <w:rPr>
          <w:rFonts w:eastAsia="MinionPro-Regular" w:cs="Times New Roman"/>
          <w:szCs w:val="24"/>
        </w:rPr>
        <w:t>”</w:t>
      </w:r>
      <w:r w:rsidR="00BA35CB">
        <w:rPr>
          <w:rFonts w:eastAsia="MinionPro-Regular" w:cs="Times New Roman"/>
          <w:szCs w:val="24"/>
        </w:rPr>
        <w:t>:</w:t>
      </w:r>
      <w:r w:rsidR="00405544">
        <w:rPr>
          <w:rFonts w:eastAsia="MinionPro-Regular" w:cs="Times New Roman"/>
          <w:szCs w:val="24"/>
        </w:rPr>
        <w:t xml:space="preserve"> </w:t>
      </w:r>
      <w:r w:rsidR="009A1A95">
        <w:rPr>
          <w:rFonts w:eastAsia="MinionPro-Regular" w:cs="Times New Roman"/>
          <w:szCs w:val="24"/>
        </w:rPr>
        <w:t>individual substances each consisting of an extended body and a substantial form (some of which are called souls,</w:t>
      </w:r>
      <w:r w:rsidR="009A1A95">
        <w:rPr>
          <w:rStyle w:val="FootnoteReference"/>
          <w:rFonts w:cs="Times New Roman"/>
          <w:szCs w:val="24"/>
        </w:rPr>
        <w:footnoteReference w:id="40"/>
      </w:r>
      <w:r w:rsidR="009A1A95">
        <w:rPr>
          <w:rFonts w:eastAsia="MinionPro-Regular" w:cs="Times New Roman"/>
          <w:szCs w:val="24"/>
        </w:rPr>
        <w:t xml:space="preserve"> and some of which in turn are called minds; Leibniz will </w:t>
      </w:r>
      <w:r w:rsidR="00263491">
        <w:rPr>
          <w:rFonts w:eastAsia="MinionPro-Regular" w:cs="Times New Roman"/>
          <w:szCs w:val="24"/>
        </w:rPr>
        <w:t xml:space="preserve">go on to </w:t>
      </w:r>
      <w:r w:rsidR="009A1A95">
        <w:rPr>
          <w:rFonts w:eastAsia="MinionPro-Regular" w:cs="Times New Roman"/>
          <w:szCs w:val="24"/>
        </w:rPr>
        <w:t xml:space="preserve">explain the difference in </w:t>
      </w:r>
      <w:r w:rsidR="009A1A95">
        <w:rPr>
          <w:rFonts w:cs="Times New Roman"/>
          <w:szCs w:val="24"/>
        </w:rPr>
        <w:t>§34</w:t>
      </w:r>
      <w:r w:rsidR="009A1A95">
        <w:rPr>
          <w:rFonts w:eastAsia="MinionPro-Regular" w:cs="Times New Roman"/>
          <w:szCs w:val="24"/>
        </w:rPr>
        <w:t>)</w:t>
      </w:r>
      <w:r w:rsidR="00BA35CB">
        <w:rPr>
          <w:rFonts w:eastAsia="MinionPro-Regular" w:cs="Times New Roman"/>
          <w:szCs w:val="24"/>
        </w:rPr>
        <w:t>.</w:t>
      </w:r>
      <w:r w:rsidR="00725A43">
        <w:rPr>
          <w:rStyle w:val="FootnoteReference"/>
          <w:rFonts w:eastAsia="MinionPro-Regular" w:cs="Times New Roman"/>
          <w:szCs w:val="24"/>
        </w:rPr>
        <w:footnoteReference w:id="41"/>
      </w:r>
    </w:p>
    <w:p w:rsidR="003B3F27" w:rsidRPr="0035632B" w:rsidRDefault="0035632B" w:rsidP="0035632B">
      <w:pPr>
        <w:spacing w:line="480" w:lineRule="auto"/>
      </w:pPr>
      <w:r>
        <w:rPr>
          <w:rFonts w:cs="Times New Roman"/>
          <w:szCs w:val="24"/>
        </w:rPr>
        <w:tab/>
      </w:r>
      <w:r w:rsidR="009A1A95">
        <w:rPr>
          <w:rFonts w:cs="Times New Roman"/>
          <w:szCs w:val="24"/>
        </w:rPr>
        <w:t xml:space="preserve">It is curious that, despite </w:t>
      </w:r>
      <w:r w:rsidR="00A957E4">
        <w:rPr>
          <w:rFonts w:cs="Times New Roman"/>
          <w:szCs w:val="24"/>
        </w:rPr>
        <w:t xml:space="preserve">his stated reason for </w:t>
      </w:r>
      <w:r w:rsidR="009A1A95">
        <w:rPr>
          <w:rFonts w:cs="Times New Roman"/>
          <w:szCs w:val="24"/>
        </w:rPr>
        <w:t>reintroduc</w:t>
      </w:r>
      <w:r w:rsidR="00A957E4">
        <w:rPr>
          <w:rFonts w:cs="Times New Roman"/>
          <w:szCs w:val="24"/>
        </w:rPr>
        <w:t>ing</w:t>
      </w:r>
      <w:r w:rsidR="009A1A95">
        <w:rPr>
          <w:rFonts w:cs="Times New Roman"/>
          <w:szCs w:val="24"/>
        </w:rPr>
        <w:t xml:space="preserve"> substantial forms</w:t>
      </w:r>
      <w:r w:rsidRPr="00C10554">
        <w:rPr>
          <w:u w:color="000000"/>
        </w:rPr>
        <w:t>—</w:t>
      </w:r>
      <w:r w:rsidR="00A957E4">
        <w:rPr>
          <w:rFonts w:cs="Times New Roman"/>
          <w:szCs w:val="24"/>
        </w:rPr>
        <w:t xml:space="preserve">namely </w:t>
      </w:r>
      <w:r w:rsidR="009A1A95">
        <w:rPr>
          <w:rFonts w:cs="Times New Roman"/>
          <w:szCs w:val="24"/>
        </w:rPr>
        <w:t xml:space="preserve">to explain how bodies could </w:t>
      </w:r>
      <w:r w:rsidR="005516A7">
        <w:rPr>
          <w:rFonts w:cs="Times New Roman"/>
          <w:szCs w:val="24"/>
        </w:rPr>
        <w:t>be</w:t>
      </w:r>
      <w:r w:rsidR="009A1A95">
        <w:rPr>
          <w:rFonts w:cs="Times New Roman"/>
          <w:szCs w:val="24"/>
        </w:rPr>
        <w:t xml:space="preserve"> substance</w:t>
      </w:r>
      <w:r w:rsidR="005516A7">
        <w:rPr>
          <w:rFonts w:cs="Times New Roman"/>
          <w:szCs w:val="24"/>
        </w:rPr>
        <w:t>s</w:t>
      </w:r>
      <w:r w:rsidRPr="00C10554">
        <w:rPr>
          <w:u w:color="000000"/>
        </w:rPr>
        <w:t>—</w:t>
      </w:r>
      <w:r w:rsidR="00A957E4">
        <w:rPr>
          <w:rFonts w:cs="Times New Roman"/>
          <w:szCs w:val="24"/>
        </w:rPr>
        <w:t xml:space="preserve">in </w:t>
      </w:r>
      <w:r w:rsidR="00BA35CB">
        <w:rPr>
          <w:rFonts w:eastAsia="MinionPro-Regular" w:cs="Times New Roman"/>
          <w:szCs w:val="24"/>
        </w:rPr>
        <w:t xml:space="preserve">the </w:t>
      </w:r>
      <w:r w:rsidR="00540825">
        <w:rPr>
          <w:rFonts w:eastAsia="MinionPro-Regular" w:cs="Times New Roman"/>
          <w:szCs w:val="24"/>
        </w:rPr>
        <w:t>“</w:t>
      </w:r>
      <w:r w:rsidR="00BA35CB" w:rsidRPr="00540825">
        <w:rPr>
          <w:rFonts w:eastAsia="MinionPro-Regular" w:cs="Times New Roman"/>
          <w:szCs w:val="24"/>
        </w:rPr>
        <w:t>Discourse</w:t>
      </w:r>
      <w:r w:rsidR="00540825">
        <w:rPr>
          <w:rFonts w:eastAsia="MinionPro-Regular" w:cs="Times New Roman"/>
          <w:szCs w:val="24"/>
        </w:rPr>
        <w:t>”</w:t>
      </w:r>
      <w:r w:rsidR="00BA35CB">
        <w:rPr>
          <w:rFonts w:eastAsia="MinionPro-Regular" w:cs="Times New Roman"/>
          <w:szCs w:val="24"/>
        </w:rPr>
        <w:t xml:space="preserve"> Leibniz does not claim that bodies </w:t>
      </w:r>
      <w:r w:rsidR="00BA35CB" w:rsidRPr="00A957E4">
        <w:rPr>
          <w:rFonts w:eastAsia="MinionPro-Regular" w:cs="Times New Roman"/>
          <w:i/>
          <w:szCs w:val="24"/>
        </w:rPr>
        <w:t>are</w:t>
      </w:r>
      <w:r w:rsidR="00BA35CB">
        <w:rPr>
          <w:rFonts w:eastAsia="MinionPro-Regular" w:cs="Times New Roman"/>
          <w:szCs w:val="24"/>
        </w:rPr>
        <w:t xml:space="preserve"> substances but merely </w:t>
      </w:r>
      <w:r w:rsidR="00BA35CB" w:rsidRPr="00DD16CB">
        <w:rPr>
          <w:rFonts w:eastAsia="MinionPro-Regular" w:cs="Times New Roman"/>
          <w:i/>
          <w:szCs w:val="24"/>
        </w:rPr>
        <w:t>supposes</w:t>
      </w:r>
      <w:r w:rsidR="00BA35CB">
        <w:rPr>
          <w:rFonts w:eastAsia="MinionPro-Regular" w:cs="Times New Roman"/>
          <w:i/>
          <w:szCs w:val="24"/>
        </w:rPr>
        <w:t xml:space="preserve"> </w:t>
      </w:r>
      <w:r w:rsidR="00BA35CB">
        <w:rPr>
          <w:rFonts w:eastAsia="MinionPro-Regular" w:cs="Times New Roman"/>
          <w:szCs w:val="24"/>
        </w:rPr>
        <w:t>that they are, without further commitment.</w:t>
      </w:r>
      <w:r w:rsidR="008B20D1">
        <w:rPr>
          <w:rFonts w:eastAsia="MinionPro-Regular" w:cs="Times New Roman"/>
          <w:szCs w:val="24"/>
        </w:rPr>
        <w:t xml:space="preserve"> </w:t>
      </w:r>
      <w:r w:rsidR="00567746">
        <w:rPr>
          <w:rFonts w:eastAsia="MinionPro-Regular" w:cs="Times New Roman"/>
          <w:szCs w:val="24"/>
        </w:rPr>
        <w:t xml:space="preserve">Nowhere is this clearer than in </w:t>
      </w:r>
      <w:r w:rsidR="00A15382">
        <w:rPr>
          <w:rFonts w:eastAsia="MinionPro-Regular" w:cs="Times New Roman"/>
          <w:szCs w:val="24"/>
        </w:rPr>
        <w:t>two</w:t>
      </w:r>
      <w:r w:rsidR="00567746">
        <w:rPr>
          <w:rFonts w:eastAsia="MinionPro-Regular" w:cs="Times New Roman"/>
          <w:szCs w:val="24"/>
        </w:rPr>
        <w:t xml:space="preserve"> passages </w:t>
      </w:r>
      <w:r w:rsidR="00263491">
        <w:rPr>
          <w:rFonts w:eastAsia="MinionPro-Regular" w:cs="Times New Roman"/>
          <w:szCs w:val="24"/>
        </w:rPr>
        <w:t>he</w:t>
      </w:r>
      <w:r w:rsidR="00567746">
        <w:rPr>
          <w:rFonts w:eastAsia="MinionPro-Regular" w:cs="Times New Roman"/>
          <w:szCs w:val="24"/>
        </w:rPr>
        <w:t xml:space="preserve"> deleted from the fair copy</w:t>
      </w:r>
      <w:r w:rsidR="006C65C1">
        <w:rPr>
          <w:rFonts w:eastAsia="MinionPro-Regular" w:cs="Times New Roman"/>
          <w:szCs w:val="24"/>
        </w:rPr>
        <w:t xml:space="preserve"> of the text</w:t>
      </w:r>
      <w:r w:rsidR="00567746">
        <w:rPr>
          <w:rFonts w:eastAsia="MinionPro-Regular" w:cs="Times New Roman"/>
          <w:szCs w:val="24"/>
        </w:rPr>
        <w:t>; the first, from</w:t>
      </w:r>
      <w:r w:rsidR="0023259D">
        <w:rPr>
          <w:rFonts w:eastAsia="MinionPro-Regular" w:cs="Times New Roman"/>
          <w:szCs w:val="24"/>
        </w:rPr>
        <w:t xml:space="preserve"> §11</w:t>
      </w:r>
      <w:r w:rsidR="00567746">
        <w:rPr>
          <w:rFonts w:eastAsia="MinionPro-Regular" w:cs="Times New Roman"/>
          <w:szCs w:val="24"/>
        </w:rPr>
        <w:t>,</w:t>
      </w:r>
      <w:r w:rsidR="0023259D">
        <w:rPr>
          <w:rFonts w:eastAsia="MinionPro-Regular" w:cs="Times New Roman"/>
          <w:szCs w:val="24"/>
        </w:rPr>
        <w:t xml:space="preserve"> comes immediately after an acknowledgement that others may find his restoration of substantial forms paradoxical, </w:t>
      </w:r>
      <w:r w:rsidR="00567746">
        <w:rPr>
          <w:rFonts w:eastAsia="MinionPro-Regular" w:cs="Times New Roman"/>
          <w:szCs w:val="24"/>
        </w:rPr>
        <w:t xml:space="preserve">to which </w:t>
      </w:r>
      <w:r w:rsidR="00076CF8">
        <w:rPr>
          <w:rFonts w:eastAsia="MinionPro-Regular" w:cs="Times New Roman"/>
          <w:szCs w:val="24"/>
        </w:rPr>
        <w:t>he</w:t>
      </w:r>
      <w:r w:rsidR="0023259D">
        <w:rPr>
          <w:rFonts w:eastAsia="MinionPro-Regular" w:cs="Times New Roman"/>
          <w:szCs w:val="24"/>
        </w:rPr>
        <w:t xml:space="preserve"> wrote: </w:t>
      </w:r>
      <w:r w:rsidR="000A6E5B">
        <w:rPr>
          <w:rFonts w:eastAsia="MinionPro-Regular" w:cs="Times New Roman"/>
          <w:szCs w:val="24"/>
        </w:rPr>
        <w:t>“</w:t>
      </w:r>
      <w:r w:rsidR="0023259D">
        <w:rPr>
          <w:rFonts w:eastAsia="MinionPro-Regular" w:cs="Times New Roman"/>
          <w:szCs w:val="24"/>
        </w:rPr>
        <w:t>I do this [i.e. restore substantial forms] only on the supposition that one may speak of bodies as substances</w:t>
      </w:r>
      <w:r w:rsidR="000A6E5B">
        <w:rPr>
          <w:rFonts w:eastAsia="MinionPro-Regular" w:cs="Times New Roman"/>
          <w:szCs w:val="24"/>
        </w:rPr>
        <w:t>”</w:t>
      </w:r>
      <w:r w:rsidR="0023259D">
        <w:rPr>
          <w:rFonts w:eastAsia="MinionPro-Regular" w:cs="Times New Roman"/>
          <w:szCs w:val="24"/>
        </w:rPr>
        <w:t xml:space="preserve"> (A VI 4</w:t>
      </w:r>
      <w:r>
        <w:rPr>
          <w:rFonts w:eastAsia="MinionPro-Regular" w:cs="Times New Roman"/>
          <w:szCs w:val="24"/>
        </w:rPr>
        <w:t>:</w:t>
      </w:r>
      <w:r w:rsidR="0023259D">
        <w:rPr>
          <w:rFonts w:eastAsia="MinionPro-Regular" w:cs="Times New Roman"/>
          <w:szCs w:val="24"/>
        </w:rPr>
        <w:t xml:space="preserve"> 1544).</w:t>
      </w:r>
      <w:r w:rsidR="00DD16CB">
        <w:rPr>
          <w:rFonts w:eastAsia="MinionPro-Regular" w:cs="Times New Roman"/>
          <w:szCs w:val="24"/>
        </w:rPr>
        <w:t xml:space="preserve"> </w:t>
      </w:r>
      <w:r w:rsidR="004573B3">
        <w:rPr>
          <w:rFonts w:eastAsia="MinionPro-Regular" w:cs="Times New Roman"/>
          <w:szCs w:val="24"/>
        </w:rPr>
        <w:t>The second,</w:t>
      </w:r>
      <w:r w:rsidR="00567746">
        <w:rPr>
          <w:rFonts w:eastAsia="MinionPro-Regular" w:cs="Times New Roman"/>
          <w:szCs w:val="24"/>
        </w:rPr>
        <w:t xml:space="preserve"> a passage removed from the start of §34, </w:t>
      </w:r>
      <w:r w:rsidR="00A15382">
        <w:rPr>
          <w:rFonts w:eastAsia="MinionPro-Regular" w:cs="Times New Roman"/>
          <w:szCs w:val="24"/>
        </w:rPr>
        <w:t>states</w:t>
      </w:r>
      <w:r w:rsidR="00567746">
        <w:rPr>
          <w:rFonts w:eastAsia="MinionPro-Regular" w:cs="Times New Roman"/>
          <w:szCs w:val="24"/>
        </w:rPr>
        <w:t xml:space="preserve">: </w:t>
      </w:r>
      <w:r w:rsidR="000A6E5B">
        <w:rPr>
          <w:rFonts w:eastAsia="MinionPro-Regular" w:cs="Times New Roman"/>
          <w:szCs w:val="24"/>
        </w:rPr>
        <w:t>“</w:t>
      </w:r>
      <w:r w:rsidR="00567746">
        <w:rPr>
          <w:rFonts w:eastAsia="MinionPro-Regular" w:cs="Times New Roman"/>
          <w:szCs w:val="24"/>
        </w:rPr>
        <w:t xml:space="preserve">One thing I do not propose to decide is whether in metaphysical rigour bodies are substances or are no more than </w:t>
      </w:r>
      <w:r w:rsidR="00567746" w:rsidRPr="006C65C1">
        <w:rPr>
          <w:rFonts w:eastAsia="MinionPro-Regular" w:cs="Times New Roman"/>
          <w:szCs w:val="24"/>
        </w:rPr>
        <w:t>true</w:t>
      </w:r>
      <w:r w:rsidR="00567746">
        <w:rPr>
          <w:rFonts w:eastAsia="MinionPro-Regular" w:cs="Times New Roman"/>
          <w:szCs w:val="24"/>
        </w:rPr>
        <w:t xml:space="preserve"> phenomena like the rainbow</w:t>
      </w:r>
      <w:r w:rsidR="000A6E5B">
        <w:rPr>
          <w:rFonts w:eastAsia="MinionPro-Regular" w:cs="Times New Roman"/>
          <w:szCs w:val="24"/>
        </w:rPr>
        <w:t>”</w:t>
      </w:r>
      <w:r w:rsidR="00567746">
        <w:rPr>
          <w:rFonts w:eastAsia="MinionPro-Regular" w:cs="Times New Roman"/>
          <w:szCs w:val="24"/>
        </w:rPr>
        <w:t xml:space="preserve"> (A VI 4</w:t>
      </w:r>
      <w:r>
        <w:rPr>
          <w:rFonts w:eastAsia="MinionPro-Regular" w:cs="Times New Roman"/>
          <w:szCs w:val="24"/>
        </w:rPr>
        <w:t>:</w:t>
      </w:r>
      <w:r w:rsidR="00567746">
        <w:rPr>
          <w:rFonts w:eastAsia="MinionPro-Regular" w:cs="Times New Roman"/>
          <w:szCs w:val="24"/>
        </w:rPr>
        <w:t xml:space="preserve"> 1583).</w:t>
      </w:r>
      <w:r w:rsidR="00A15382">
        <w:rPr>
          <w:rStyle w:val="FootnoteReference"/>
          <w:rFonts w:eastAsia="MinionPro-Regular" w:cs="Times New Roman"/>
          <w:szCs w:val="24"/>
        </w:rPr>
        <w:footnoteReference w:id="42"/>
      </w:r>
      <w:r w:rsidR="0088497F">
        <w:rPr>
          <w:rFonts w:eastAsia="MinionPro-Regular" w:cs="Times New Roman"/>
          <w:szCs w:val="24"/>
        </w:rPr>
        <w:t xml:space="preserve"> It should not be thought that in removing these passages Leibniz was distancing himself from the </w:t>
      </w:r>
      <w:r w:rsidR="008E71DA">
        <w:rPr>
          <w:rFonts w:eastAsia="MinionPro-Regular" w:cs="Times New Roman"/>
          <w:szCs w:val="24"/>
        </w:rPr>
        <w:t>hesitation expressed</w:t>
      </w:r>
      <w:r w:rsidR="0088497F">
        <w:rPr>
          <w:rFonts w:eastAsia="MinionPro-Regular" w:cs="Times New Roman"/>
          <w:szCs w:val="24"/>
        </w:rPr>
        <w:t xml:space="preserve"> therein, for after excising the latter passage, for example, he began </w:t>
      </w:r>
      <w:r w:rsidR="00567746">
        <w:rPr>
          <w:rFonts w:eastAsia="MinionPro-Regular" w:cs="Times New Roman"/>
          <w:szCs w:val="24"/>
        </w:rPr>
        <w:t>§34</w:t>
      </w:r>
      <w:r w:rsidR="0088497F">
        <w:rPr>
          <w:rFonts w:eastAsia="MinionPro-Regular" w:cs="Times New Roman"/>
          <w:szCs w:val="24"/>
        </w:rPr>
        <w:t xml:space="preserve"> as follows:</w:t>
      </w:r>
      <w:r w:rsidR="00567746">
        <w:rPr>
          <w:rFonts w:eastAsia="MinionPro-Regular" w:cs="Times New Roman"/>
          <w:szCs w:val="24"/>
        </w:rPr>
        <w:t xml:space="preserve"> </w:t>
      </w:r>
      <w:r w:rsidR="000A6E5B">
        <w:rPr>
          <w:rFonts w:eastAsia="MinionPro-Regular" w:cs="Times New Roman"/>
          <w:szCs w:val="24"/>
        </w:rPr>
        <w:t>“</w:t>
      </w:r>
      <w:r w:rsidR="00086250">
        <w:rPr>
          <w:rFonts w:eastAsia="MinionPro-Regular" w:cs="Times New Roman"/>
          <w:szCs w:val="24"/>
        </w:rPr>
        <w:t>Suppos</w:t>
      </w:r>
      <w:r w:rsidR="00567746" w:rsidRPr="00567746">
        <w:rPr>
          <w:rFonts w:eastAsia="MinionPro-Regular" w:cs="Times New Roman"/>
          <w:szCs w:val="24"/>
        </w:rPr>
        <w:t xml:space="preserve">ing that the bodies which make up a </w:t>
      </w:r>
      <w:r w:rsidR="00567746" w:rsidRPr="00567746">
        <w:rPr>
          <w:rFonts w:eastAsia="MinionPro-Regular" w:cs="Times New Roman"/>
          <w:i/>
          <w:szCs w:val="24"/>
        </w:rPr>
        <w:t>unum per se</w:t>
      </w:r>
      <w:r w:rsidR="00567746" w:rsidRPr="00567746">
        <w:rPr>
          <w:rFonts w:eastAsia="MinionPro-Regular" w:cs="Times New Roman"/>
          <w:szCs w:val="24"/>
        </w:rPr>
        <w:t>, for example man, are substances and that they have substantial forms</w:t>
      </w:r>
      <w:r>
        <w:rPr>
          <w:rFonts w:eastAsia="MinionPro-Regular" w:cs="Times New Roman"/>
          <w:szCs w:val="24"/>
        </w:rPr>
        <w:t xml:space="preserve"> . . . </w:t>
      </w:r>
      <w:r w:rsidR="000A6E5B">
        <w:rPr>
          <w:rFonts w:eastAsia="MinionPro-Regular" w:cs="Times New Roman"/>
          <w:szCs w:val="24"/>
        </w:rPr>
        <w:t>”</w:t>
      </w:r>
      <w:r w:rsidR="00567746">
        <w:rPr>
          <w:rFonts w:eastAsia="MinionPro-Regular" w:cs="Times New Roman"/>
          <w:szCs w:val="24"/>
        </w:rPr>
        <w:t xml:space="preserve"> </w:t>
      </w:r>
      <w:r w:rsidR="0088497F">
        <w:rPr>
          <w:rFonts w:eastAsia="MinionPro-Regular" w:cs="Times New Roman"/>
          <w:szCs w:val="24"/>
        </w:rPr>
        <w:t>(A VI 4</w:t>
      </w:r>
      <w:r>
        <w:rPr>
          <w:rFonts w:eastAsia="MinionPro-Regular" w:cs="Times New Roman"/>
          <w:szCs w:val="24"/>
        </w:rPr>
        <w:t>:</w:t>
      </w:r>
      <w:r w:rsidR="0088497F">
        <w:rPr>
          <w:rFonts w:eastAsia="MinionPro-Regular" w:cs="Times New Roman"/>
          <w:szCs w:val="24"/>
        </w:rPr>
        <w:t xml:space="preserve"> 1583/PPL 325).</w:t>
      </w:r>
      <w:r w:rsidR="00516CD7">
        <w:rPr>
          <w:rStyle w:val="FootnoteReference"/>
          <w:rFonts w:eastAsia="MinionPro-Regular" w:cs="Times New Roman"/>
          <w:szCs w:val="24"/>
        </w:rPr>
        <w:footnoteReference w:id="43"/>
      </w:r>
      <w:r w:rsidR="0088497F">
        <w:rPr>
          <w:rFonts w:eastAsia="MinionPro-Regular" w:cs="Times New Roman"/>
          <w:szCs w:val="24"/>
        </w:rPr>
        <w:t xml:space="preserve"> </w:t>
      </w:r>
      <w:r w:rsidR="00DD16CB">
        <w:rPr>
          <w:rFonts w:eastAsia="MinionPro-Regular" w:cs="Times New Roman"/>
          <w:szCs w:val="24"/>
        </w:rPr>
        <w:t>Leibniz</w:t>
      </w:r>
      <w:r w:rsidR="00970A13">
        <w:rPr>
          <w:rFonts w:eastAsia="MinionPro-Regular" w:cs="Times New Roman"/>
          <w:szCs w:val="24"/>
        </w:rPr>
        <w:t>’s decision</w:t>
      </w:r>
      <w:r w:rsidR="004F1FCB">
        <w:rPr>
          <w:rFonts w:eastAsia="MinionPro-Regular" w:cs="Times New Roman"/>
          <w:szCs w:val="24"/>
        </w:rPr>
        <w:t xml:space="preserve"> to </w:t>
      </w:r>
      <w:r w:rsidR="00741521">
        <w:rPr>
          <w:rFonts w:eastAsia="MinionPro-Regular" w:cs="Times New Roman"/>
          <w:szCs w:val="24"/>
        </w:rPr>
        <w:t xml:space="preserve">merely </w:t>
      </w:r>
      <w:r w:rsidR="0088497F">
        <w:rPr>
          <w:rFonts w:eastAsia="MinionPro-Regular" w:cs="Times New Roman"/>
          <w:szCs w:val="24"/>
        </w:rPr>
        <w:t xml:space="preserve">suppose bodies were substances in </w:t>
      </w:r>
      <w:r w:rsidR="004F1FCB">
        <w:rPr>
          <w:rFonts w:eastAsia="MinionPro-Regular" w:cs="Times New Roman"/>
          <w:szCs w:val="24"/>
        </w:rPr>
        <w:t xml:space="preserve">the </w:t>
      </w:r>
      <w:r w:rsidR="00540825">
        <w:rPr>
          <w:rFonts w:eastAsia="MinionPro-Regular" w:cs="Times New Roman"/>
          <w:szCs w:val="24"/>
        </w:rPr>
        <w:t>“</w:t>
      </w:r>
      <w:r w:rsidR="004F1FCB" w:rsidRPr="00540825">
        <w:rPr>
          <w:rFonts w:eastAsia="MinionPro-Regular" w:cs="Times New Roman"/>
          <w:szCs w:val="24"/>
        </w:rPr>
        <w:t>Discourse</w:t>
      </w:r>
      <w:r w:rsidR="00540825">
        <w:rPr>
          <w:rFonts w:eastAsia="MinionPro-Regular" w:cs="Times New Roman"/>
          <w:szCs w:val="24"/>
        </w:rPr>
        <w:t>”</w:t>
      </w:r>
      <w:r w:rsidR="004F1FCB">
        <w:rPr>
          <w:rFonts w:eastAsia="MinionPro-Regular" w:cs="Times New Roman"/>
          <w:szCs w:val="24"/>
        </w:rPr>
        <w:t xml:space="preserve"> </w:t>
      </w:r>
      <w:r w:rsidR="00970A13">
        <w:rPr>
          <w:rFonts w:eastAsia="MinionPro-Regular" w:cs="Times New Roman"/>
          <w:szCs w:val="24"/>
        </w:rPr>
        <w:t xml:space="preserve">stands in contrast to what we find in other texts written </w:t>
      </w:r>
      <w:r w:rsidR="00DD16CB">
        <w:rPr>
          <w:rFonts w:eastAsia="MinionPro-Regular" w:cs="Times New Roman"/>
          <w:szCs w:val="24"/>
        </w:rPr>
        <w:t>in the years beforehand</w:t>
      </w:r>
      <w:r w:rsidR="00970A13">
        <w:rPr>
          <w:rFonts w:eastAsia="MinionPro-Regular" w:cs="Times New Roman"/>
          <w:szCs w:val="24"/>
        </w:rPr>
        <w:t>. In some texts from the first half of the 1680s he is adamant that bodies are substances</w:t>
      </w:r>
      <w:r>
        <w:rPr>
          <w:rFonts w:eastAsia="MinionPro-Regular" w:cs="Times New Roman"/>
          <w:szCs w:val="24"/>
        </w:rPr>
        <w:t>,</w:t>
      </w:r>
      <w:r>
        <w:rPr>
          <w:rStyle w:val="FootnoteReference"/>
          <w:rFonts w:eastAsia="MinionPro-Regular" w:cs="Times New Roman"/>
          <w:szCs w:val="24"/>
        </w:rPr>
        <w:footnoteReference w:id="44"/>
      </w:r>
      <w:r w:rsidR="00970A13">
        <w:rPr>
          <w:rFonts w:eastAsia="MinionPro-Regular" w:cs="Times New Roman"/>
          <w:szCs w:val="24"/>
        </w:rPr>
        <w:t xml:space="preserve"> while in others he argues for an entirely different explanation</w:t>
      </w:r>
      <w:r w:rsidR="004F1FCB">
        <w:rPr>
          <w:rFonts w:eastAsia="MinionPro-Regular" w:cs="Times New Roman"/>
          <w:szCs w:val="24"/>
        </w:rPr>
        <w:t>. F</w:t>
      </w:r>
      <w:r w:rsidR="003B3F27">
        <w:rPr>
          <w:rFonts w:eastAsia="MinionPro-Regular" w:cs="Times New Roman"/>
          <w:szCs w:val="24"/>
        </w:rPr>
        <w:t>or example</w:t>
      </w:r>
      <w:r w:rsidR="004F1FCB">
        <w:rPr>
          <w:rFonts w:eastAsia="MinionPro-Regular" w:cs="Times New Roman"/>
          <w:szCs w:val="24"/>
        </w:rPr>
        <w:t>,</w:t>
      </w:r>
      <w:r w:rsidR="003B3F27">
        <w:rPr>
          <w:rFonts w:eastAsia="MinionPro-Regular" w:cs="Times New Roman"/>
          <w:szCs w:val="24"/>
        </w:rPr>
        <w:t xml:space="preserve"> in </w:t>
      </w:r>
      <w:r w:rsidR="00CC1ADB">
        <w:rPr>
          <w:rFonts w:eastAsia="MinionPro-Regular" w:cs="Times New Roman"/>
          <w:szCs w:val="24"/>
        </w:rPr>
        <w:t>one</w:t>
      </w:r>
      <w:r w:rsidR="003B3F27">
        <w:rPr>
          <w:rFonts w:eastAsia="MinionPro-Regular" w:cs="Times New Roman"/>
          <w:szCs w:val="24"/>
        </w:rPr>
        <w:t xml:space="preserve"> short text written between 1683-5</w:t>
      </w:r>
      <w:r w:rsidR="004F1FCB">
        <w:rPr>
          <w:rFonts w:eastAsia="MinionPro-Regular" w:cs="Times New Roman"/>
          <w:szCs w:val="24"/>
        </w:rPr>
        <w:t>, he claimed</w:t>
      </w:r>
      <w:r w:rsidR="003B3F27">
        <w:rPr>
          <w:rFonts w:eastAsia="MinionPro-Regular" w:cs="Times New Roman"/>
          <w:szCs w:val="24"/>
        </w:rPr>
        <w:t xml:space="preserve"> that while Descartes </w:t>
      </w:r>
      <w:r w:rsidR="000A6E5B">
        <w:rPr>
          <w:rFonts w:eastAsia="MinionPro-Regular" w:cs="Times New Roman"/>
          <w:szCs w:val="24"/>
        </w:rPr>
        <w:t>“</w:t>
      </w:r>
      <w:r w:rsidR="003B3F27">
        <w:t>considered bodies as substances,</w:t>
      </w:r>
      <w:r>
        <w:t xml:space="preserve"> . . . </w:t>
      </w:r>
      <w:r w:rsidR="003B3F27">
        <w:t xml:space="preserve"> I consider them as modes of the mind</w:t>
      </w:r>
      <w:r w:rsidR="00CC1ADB">
        <w:t>’</w:t>
      </w:r>
      <w:r w:rsidR="000A6E5B">
        <w:t>”</w:t>
      </w:r>
      <w:r w:rsidR="00CC1ADB">
        <w:t xml:space="preserve"> or </w:t>
      </w:r>
      <w:r w:rsidR="000A6E5B">
        <w:t>“</w:t>
      </w:r>
      <w:r w:rsidR="00CC1ADB">
        <w:t>nothing other than our sens</w:t>
      </w:r>
      <w:r w:rsidR="000A6E5B">
        <w:t>ations”</w:t>
      </w:r>
      <w:r w:rsidR="00CC1ADB">
        <w:t xml:space="preserve">. </w:t>
      </w:r>
      <w:r w:rsidR="004F1FCB">
        <w:t xml:space="preserve">Leibniz goes on to note that </w:t>
      </w:r>
      <w:r w:rsidR="00C21B5F">
        <w:t>this does not mean</w:t>
      </w:r>
      <w:r w:rsidR="00CC1ADB">
        <w:t xml:space="preserve"> bodies </w:t>
      </w:r>
      <w:r w:rsidR="00C21B5F">
        <w:t>a</w:t>
      </w:r>
      <w:r w:rsidR="00CC1ADB">
        <w:t xml:space="preserve">re unreal: </w:t>
      </w:r>
      <w:r w:rsidR="000A6E5B">
        <w:t>“</w:t>
      </w:r>
      <w:r w:rsidR="003B3F27">
        <w:t>the reality of bodies is no different from the reality of dreams except that bodies are in agreement and depend upon a certain rule, and that rule originates from God</w:t>
      </w:r>
      <w:r w:rsidR="00CC1ADB">
        <w:t>’</w:t>
      </w:r>
      <w:r w:rsidR="003B3F27">
        <w:t>s will, that</w:t>
      </w:r>
      <w:r w:rsidR="000A6E5B">
        <w:t xml:space="preserve"> is, from a higher intellect”</w:t>
      </w:r>
      <w:r w:rsidR="003B3F27">
        <w:t xml:space="preserve"> (A VI 4</w:t>
      </w:r>
      <w:r>
        <w:t>:</w:t>
      </w:r>
      <w:r w:rsidR="003B3F27">
        <w:t xml:space="preserve"> 1467)</w:t>
      </w:r>
      <w:r w:rsidR="004133B4">
        <w:t>.</w:t>
      </w:r>
      <w:r w:rsidR="004133B4">
        <w:rPr>
          <w:rStyle w:val="FootnoteReference"/>
        </w:rPr>
        <w:footnoteReference w:id="45"/>
      </w:r>
      <w:r w:rsidR="003B3F27">
        <w:rPr>
          <w:rFonts w:eastAsia="MinionPro-Regular" w:cs="Times New Roman"/>
          <w:szCs w:val="24"/>
        </w:rPr>
        <w:t xml:space="preserve"> Leibniz would </w:t>
      </w:r>
      <w:r w:rsidR="00B26AF4">
        <w:rPr>
          <w:rFonts w:eastAsia="MinionPro-Regular" w:cs="Times New Roman"/>
          <w:szCs w:val="24"/>
        </w:rPr>
        <w:t xml:space="preserve">go on to </w:t>
      </w:r>
      <w:r w:rsidR="003B3F27">
        <w:rPr>
          <w:rFonts w:eastAsia="MinionPro-Regular" w:cs="Times New Roman"/>
          <w:szCs w:val="24"/>
        </w:rPr>
        <w:t xml:space="preserve">develop these ideas </w:t>
      </w:r>
      <w:r w:rsidR="00CC1ADB">
        <w:rPr>
          <w:rFonts w:eastAsia="MinionPro-Regular" w:cs="Times New Roman"/>
          <w:szCs w:val="24"/>
        </w:rPr>
        <w:t>in later writings</w:t>
      </w:r>
      <w:r>
        <w:rPr>
          <w:rFonts w:eastAsia="MinionPro-Regular" w:cs="Times New Roman"/>
          <w:szCs w:val="24"/>
        </w:rPr>
        <w:t>.</w:t>
      </w:r>
      <w:r>
        <w:rPr>
          <w:rStyle w:val="FootnoteReference"/>
          <w:rFonts w:eastAsia="MinionPro-Regular" w:cs="Times New Roman"/>
          <w:szCs w:val="24"/>
        </w:rPr>
        <w:footnoteReference w:id="46"/>
      </w:r>
      <w:r w:rsidR="006A2338">
        <w:rPr>
          <w:rFonts w:eastAsia="MinionPro-Regular" w:cs="Times New Roman"/>
          <w:szCs w:val="24"/>
        </w:rPr>
        <w:t xml:space="preserve"> </w:t>
      </w:r>
    </w:p>
    <w:p w:rsidR="00B72D27" w:rsidRDefault="00B72D27" w:rsidP="0035632B">
      <w:pPr>
        <w:autoSpaceDE w:val="0"/>
        <w:autoSpaceDN w:val="0"/>
        <w:adjustRightInd w:val="0"/>
        <w:spacing w:line="480" w:lineRule="auto"/>
        <w:rPr>
          <w:rFonts w:cs="Times New Roman"/>
          <w:b/>
          <w:szCs w:val="24"/>
        </w:rPr>
      </w:pPr>
    </w:p>
    <w:p w:rsidR="00CE22D0" w:rsidRPr="006572EB" w:rsidRDefault="00AB0504" w:rsidP="007327D2">
      <w:pPr>
        <w:autoSpaceDE w:val="0"/>
        <w:autoSpaceDN w:val="0"/>
        <w:adjustRightInd w:val="0"/>
        <w:spacing w:line="480" w:lineRule="auto"/>
        <w:rPr>
          <w:rFonts w:cs="Times New Roman"/>
          <w:b/>
          <w:szCs w:val="24"/>
        </w:rPr>
      </w:pPr>
      <w:r w:rsidRPr="006572EB">
        <w:rPr>
          <w:rFonts w:cs="Times New Roman"/>
          <w:b/>
          <w:szCs w:val="24"/>
        </w:rPr>
        <w:t xml:space="preserve">3. </w:t>
      </w:r>
      <w:r w:rsidR="00CE22D0" w:rsidRPr="006572EB">
        <w:rPr>
          <w:rFonts w:cs="Times New Roman"/>
          <w:b/>
          <w:szCs w:val="24"/>
        </w:rPr>
        <w:t>Physics (§§17-22)</w:t>
      </w:r>
    </w:p>
    <w:p w:rsidR="00346BDA" w:rsidRDefault="00921B21" w:rsidP="007327D2">
      <w:pPr>
        <w:autoSpaceDE w:val="0"/>
        <w:autoSpaceDN w:val="0"/>
        <w:adjustRightInd w:val="0"/>
        <w:spacing w:line="480" w:lineRule="auto"/>
        <w:rPr>
          <w:rFonts w:cs="Times New Roman"/>
          <w:szCs w:val="24"/>
        </w:rPr>
      </w:pPr>
      <w:r>
        <w:rPr>
          <w:rFonts w:cs="Times New Roman"/>
          <w:szCs w:val="24"/>
        </w:rPr>
        <w:t xml:space="preserve">From metaphysics, the </w:t>
      </w:r>
      <w:r w:rsidR="00540825">
        <w:rPr>
          <w:rFonts w:cs="Times New Roman"/>
          <w:szCs w:val="24"/>
        </w:rPr>
        <w:t>“</w:t>
      </w:r>
      <w:r w:rsidRPr="00540825">
        <w:rPr>
          <w:rFonts w:cs="Times New Roman"/>
          <w:szCs w:val="24"/>
        </w:rPr>
        <w:t>Discourse</w:t>
      </w:r>
      <w:r w:rsidR="00540825">
        <w:rPr>
          <w:rFonts w:cs="Times New Roman"/>
          <w:szCs w:val="24"/>
        </w:rPr>
        <w:t>”</w:t>
      </w:r>
      <w:r>
        <w:rPr>
          <w:rFonts w:cs="Times New Roman"/>
          <w:szCs w:val="24"/>
        </w:rPr>
        <w:t xml:space="preserve"> now turns to physics, though metaphysics is never far away, as we shall see. The pretext for Leibniz’s switch to physics is to give an example of a </w:t>
      </w:r>
      <w:r w:rsidR="000A6E5B">
        <w:rPr>
          <w:rFonts w:cs="Times New Roman"/>
          <w:szCs w:val="24"/>
        </w:rPr>
        <w:t>“subordinate maxim”</w:t>
      </w:r>
      <w:r>
        <w:rPr>
          <w:rFonts w:cs="Times New Roman"/>
          <w:szCs w:val="24"/>
        </w:rPr>
        <w:t xml:space="preserve"> or natural law, but the subtext is </w:t>
      </w:r>
      <w:r w:rsidR="00016AA0">
        <w:rPr>
          <w:rFonts w:cs="Times New Roman"/>
          <w:szCs w:val="24"/>
        </w:rPr>
        <w:t xml:space="preserve">to </w:t>
      </w:r>
      <w:r w:rsidR="005B348B">
        <w:rPr>
          <w:rFonts w:cs="Times New Roman"/>
          <w:szCs w:val="24"/>
        </w:rPr>
        <w:t>confront</w:t>
      </w:r>
      <w:r w:rsidR="00C80CF4">
        <w:rPr>
          <w:rFonts w:cs="Times New Roman"/>
          <w:szCs w:val="24"/>
        </w:rPr>
        <w:t xml:space="preserve"> two of</w:t>
      </w:r>
      <w:r>
        <w:rPr>
          <w:rFonts w:cs="Times New Roman"/>
          <w:szCs w:val="24"/>
        </w:rPr>
        <w:t xml:space="preserve"> Descartes</w:t>
      </w:r>
      <w:r w:rsidR="00C80CF4">
        <w:rPr>
          <w:rFonts w:cs="Times New Roman"/>
          <w:szCs w:val="24"/>
        </w:rPr>
        <w:t>’ claims regarding physics or natural philosophy</w:t>
      </w:r>
      <w:r w:rsidR="00346BDA">
        <w:rPr>
          <w:rFonts w:cs="Times New Roman"/>
          <w:szCs w:val="24"/>
        </w:rPr>
        <w:t>, namely that God always conserves the same quantity of motion in the universe and that appeal to final causes should be banished from physics</w:t>
      </w:r>
      <w:r>
        <w:rPr>
          <w:rFonts w:cs="Times New Roman"/>
          <w:szCs w:val="24"/>
        </w:rPr>
        <w:t>.</w:t>
      </w:r>
      <w:r w:rsidR="005B348B">
        <w:rPr>
          <w:rFonts w:cs="Times New Roman"/>
          <w:szCs w:val="24"/>
        </w:rPr>
        <w:t xml:space="preserve"> In overturning the first of these, Leibniz also finds support for his reintroduction of substantial forms.</w:t>
      </w:r>
    </w:p>
    <w:p w:rsidR="0040406B" w:rsidRDefault="005B348B" w:rsidP="007327D2">
      <w:pPr>
        <w:autoSpaceDE w:val="0"/>
        <w:autoSpaceDN w:val="0"/>
        <w:adjustRightInd w:val="0"/>
        <w:spacing w:line="480" w:lineRule="auto"/>
        <w:ind w:firstLine="720"/>
        <w:rPr>
          <w:rFonts w:cs="Times New Roman"/>
          <w:szCs w:val="24"/>
        </w:rPr>
      </w:pPr>
      <w:r>
        <w:rPr>
          <w:rFonts w:cs="Times New Roman"/>
          <w:szCs w:val="24"/>
        </w:rPr>
        <w:t>Let us first consider what Leibniz says about</w:t>
      </w:r>
      <w:r w:rsidR="00A841EB">
        <w:rPr>
          <w:rFonts w:cs="Times New Roman"/>
          <w:szCs w:val="24"/>
        </w:rPr>
        <w:t xml:space="preserve"> Descartes’ conservation law. </w:t>
      </w:r>
      <w:r w:rsidR="00A841EB" w:rsidRPr="00231836">
        <w:rPr>
          <w:rFonts w:cs="Times New Roman"/>
          <w:szCs w:val="24"/>
        </w:rPr>
        <w:t xml:space="preserve">In his </w:t>
      </w:r>
      <w:r w:rsidR="00A841EB" w:rsidRPr="00231836">
        <w:rPr>
          <w:rFonts w:cs="Times New Roman"/>
          <w:i/>
          <w:szCs w:val="24"/>
        </w:rPr>
        <w:t>Principles of Philosophy</w:t>
      </w:r>
      <w:r w:rsidR="00A841EB" w:rsidRPr="00231836">
        <w:rPr>
          <w:rFonts w:cs="Times New Roman"/>
          <w:szCs w:val="24"/>
        </w:rPr>
        <w:t xml:space="preserve">, Descartes had argued </w:t>
      </w:r>
      <w:r w:rsidR="00A841EB">
        <w:rPr>
          <w:rFonts w:cs="Times New Roman"/>
          <w:szCs w:val="24"/>
        </w:rPr>
        <w:t xml:space="preserve">that </w:t>
      </w:r>
      <w:r w:rsidR="00A841EB" w:rsidRPr="00231836">
        <w:rPr>
          <w:rFonts w:cs="Times New Roman"/>
          <w:szCs w:val="24"/>
        </w:rPr>
        <w:t xml:space="preserve">God, being immutable, would always </w:t>
      </w:r>
      <w:r w:rsidR="006205C1">
        <w:rPr>
          <w:rFonts w:cs="Times New Roman"/>
          <w:szCs w:val="24"/>
        </w:rPr>
        <w:t>con</w:t>
      </w:r>
      <w:r w:rsidR="00A841EB" w:rsidRPr="00231836">
        <w:rPr>
          <w:rFonts w:cs="Times New Roman"/>
          <w:szCs w:val="24"/>
        </w:rPr>
        <w:t xml:space="preserve">serve </w:t>
      </w:r>
      <w:r w:rsidR="00CB6F51" w:rsidRPr="00231836">
        <w:rPr>
          <w:rFonts w:cs="Times New Roman"/>
          <w:szCs w:val="24"/>
        </w:rPr>
        <w:t xml:space="preserve">in the universe </w:t>
      </w:r>
      <w:r w:rsidR="00A841EB" w:rsidRPr="00231836">
        <w:rPr>
          <w:rFonts w:cs="Times New Roman"/>
          <w:szCs w:val="24"/>
        </w:rPr>
        <w:t>the same quantity of motion</w:t>
      </w:r>
      <w:r w:rsidR="00CB6F51">
        <w:rPr>
          <w:rFonts w:cs="Times New Roman"/>
          <w:szCs w:val="24"/>
        </w:rPr>
        <w:t>, calculated as mass times speed (</w:t>
      </w:r>
      <w:r w:rsidR="006572EB">
        <w:rPr>
          <w:rFonts w:cs="Times New Roman"/>
          <w:i/>
          <w:szCs w:val="24"/>
        </w:rPr>
        <w:t>m</w:t>
      </w:r>
      <w:r w:rsidR="00540825">
        <w:rPr>
          <w:rFonts w:cs="Times New Roman"/>
          <w:i/>
          <w:szCs w:val="24"/>
        </w:rPr>
        <w:t>ǀ</w:t>
      </w:r>
      <w:r w:rsidR="006572EB">
        <w:rPr>
          <w:rFonts w:cs="Times New Roman"/>
          <w:i/>
          <w:szCs w:val="24"/>
        </w:rPr>
        <w:t>v</w:t>
      </w:r>
      <w:r w:rsidR="00540825">
        <w:rPr>
          <w:rFonts w:cs="Times New Roman"/>
          <w:i/>
          <w:szCs w:val="24"/>
        </w:rPr>
        <w:t>ǀ</w:t>
      </w:r>
      <w:r w:rsidR="00CB6F51">
        <w:rPr>
          <w:rFonts w:cs="Times New Roman"/>
          <w:szCs w:val="24"/>
        </w:rPr>
        <w:t>).</w:t>
      </w:r>
      <w:r w:rsidR="007F3B05">
        <w:rPr>
          <w:rStyle w:val="FootnoteReference"/>
          <w:rFonts w:cs="Times New Roman"/>
          <w:szCs w:val="24"/>
        </w:rPr>
        <w:footnoteReference w:id="47"/>
      </w:r>
      <w:r w:rsidR="00CB6F51">
        <w:rPr>
          <w:rFonts w:cs="Times New Roman"/>
          <w:szCs w:val="24"/>
        </w:rPr>
        <w:t xml:space="preserve"> Against this, </w:t>
      </w:r>
      <w:r>
        <w:rPr>
          <w:rFonts w:cs="Times New Roman"/>
          <w:szCs w:val="24"/>
        </w:rPr>
        <w:t xml:space="preserve">in §17 </w:t>
      </w:r>
      <w:r w:rsidR="00CB6F51">
        <w:rPr>
          <w:rFonts w:cs="Times New Roman"/>
          <w:szCs w:val="24"/>
        </w:rPr>
        <w:t>Leibniz maintains that what is actually conserved is quantity of force, calculated as mass times the square of the speed (</w:t>
      </w:r>
      <w:r w:rsidR="00CB6F51" w:rsidRPr="00540825">
        <w:rPr>
          <w:rFonts w:cs="Times New Roman"/>
          <w:i/>
          <w:szCs w:val="24"/>
        </w:rPr>
        <w:t>m</w:t>
      </w:r>
      <w:r w:rsidR="00540825">
        <w:rPr>
          <w:rFonts w:cs="Times New Roman"/>
          <w:i/>
          <w:szCs w:val="24"/>
        </w:rPr>
        <w:t>ǀ</w:t>
      </w:r>
      <w:r w:rsidR="00CB6F51" w:rsidRPr="00540825">
        <w:rPr>
          <w:rFonts w:cs="Times New Roman"/>
          <w:i/>
          <w:szCs w:val="24"/>
        </w:rPr>
        <w:t>v</w:t>
      </w:r>
      <w:r w:rsidR="00540825">
        <w:rPr>
          <w:rFonts w:cs="Times New Roman"/>
          <w:i/>
          <w:szCs w:val="24"/>
        </w:rPr>
        <w:t>ǀ</w:t>
      </w:r>
      <w:r w:rsidR="00CB6F51" w:rsidRPr="00540825">
        <w:rPr>
          <w:rFonts w:cs="Times New Roman"/>
          <w:szCs w:val="24"/>
          <w:vertAlign w:val="superscript"/>
        </w:rPr>
        <w:t>2</w:t>
      </w:r>
      <w:r w:rsidR="00CB6F51">
        <w:rPr>
          <w:rFonts w:cs="Times New Roman"/>
          <w:szCs w:val="24"/>
        </w:rPr>
        <w:t>).</w:t>
      </w:r>
      <w:r w:rsidR="00BC4977">
        <w:rPr>
          <w:rFonts w:cs="Times New Roman"/>
          <w:szCs w:val="24"/>
        </w:rPr>
        <w:t xml:space="preserve"> </w:t>
      </w:r>
      <w:r w:rsidR="006205C1">
        <w:rPr>
          <w:rFonts w:cs="Times New Roman"/>
          <w:szCs w:val="24"/>
        </w:rPr>
        <w:t xml:space="preserve">He shows this by considering </w:t>
      </w:r>
      <w:r w:rsidR="00207A79">
        <w:rPr>
          <w:rFonts w:cs="Times New Roman"/>
          <w:szCs w:val="24"/>
        </w:rPr>
        <w:t xml:space="preserve">(a) </w:t>
      </w:r>
      <w:r w:rsidR="006205C1" w:rsidRPr="006205C1">
        <w:rPr>
          <w:rFonts w:cs="Times New Roman"/>
          <w:szCs w:val="24"/>
        </w:rPr>
        <w:t xml:space="preserve">a mass of one pound raised four fathoms and </w:t>
      </w:r>
      <w:r w:rsidR="00207A79">
        <w:rPr>
          <w:rFonts w:cs="Times New Roman"/>
          <w:szCs w:val="24"/>
        </w:rPr>
        <w:t>(b) a second</w:t>
      </w:r>
      <w:r w:rsidR="006205C1" w:rsidRPr="006205C1">
        <w:rPr>
          <w:rFonts w:cs="Times New Roman"/>
          <w:szCs w:val="24"/>
        </w:rPr>
        <w:t xml:space="preserve"> mass of four pounds raised one fathom. When both masses are allowed to fall they each acquire the same force (a view Leibniz reaches </w:t>
      </w:r>
      <w:r w:rsidR="00207A79">
        <w:rPr>
          <w:rFonts w:cs="Times New Roman"/>
          <w:szCs w:val="24"/>
        </w:rPr>
        <w:t>by considering</w:t>
      </w:r>
      <w:r w:rsidR="006205C1" w:rsidRPr="006205C1">
        <w:rPr>
          <w:rFonts w:cs="Times New Roman"/>
          <w:szCs w:val="24"/>
        </w:rPr>
        <w:t xml:space="preserve"> a swinging pendulum, which al</w:t>
      </w:r>
      <w:r w:rsidR="00207A79">
        <w:rPr>
          <w:rFonts w:cs="Times New Roman"/>
          <w:szCs w:val="24"/>
        </w:rPr>
        <w:t>ways</w:t>
      </w:r>
      <w:r w:rsidR="006205C1" w:rsidRPr="006205C1">
        <w:rPr>
          <w:rFonts w:cs="Times New Roman"/>
          <w:szCs w:val="24"/>
        </w:rPr>
        <w:t xml:space="preserve"> acquires the force to raise it back to the height from which it began its descent).</w:t>
      </w:r>
      <w:r w:rsidR="00207A79">
        <w:rPr>
          <w:rFonts w:cs="Times New Roman"/>
          <w:szCs w:val="24"/>
        </w:rPr>
        <w:t xml:space="preserve"> Leibniz then seeks to determine the speeds of the </w:t>
      </w:r>
      <w:r>
        <w:rPr>
          <w:rFonts w:cs="Times New Roman"/>
          <w:szCs w:val="24"/>
        </w:rPr>
        <w:t xml:space="preserve">same </w:t>
      </w:r>
      <w:r w:rsidR="00207A79">
        <w:rPr>
          <w:rFonts w:cs="Times New Roman"/>
          <w:szCs w:val="24"/>
        </w:rPr>
        <w:t xml:space="preserve">two masses using Galileo’s law of falling bodies, which </w:t>
      </w:r>
      <w:r w:rsidR="00CB17CE">
        <w:rPr>
          <w:rFonts w:cs="Times New Roman"/>
          <w:szCs w:val="24"/>
        </w:rPr>
        <w:t>shows that mass (a) would fall at twice the speed of mass (b) and hence that the quantity of motion is not the same in both cases. From this he conclude</w:t>
      </w:r>
      <w:r w:rsidR="006444EA">
        <w:rPr>
          <w:rFonts w:cs="Times New Roman"/>
          <w:szCs w:val="24"/>
        </w:rPr>
        <w:t>s</w:t>
      </w:r>
      <w:r w:rsidR="008F48A3">
        <w:rPr>
          <w:rFonts w:cs="Times New Roman"/>
          <w:szCs w:val="24"/>
        </w:rPr>
        <w:t xml:space="preserve"> that </w:t>
      </w:r>
      <w:r w:rsidR="00DB76E7">
        <w:rPr>
          <w:rFonts w:cs="Times New Roman"/>
          <w:szCs w:val="24"/>
        </w:rPr>
        <w:t xml:space="preserve">as the quantity of force remains the same for the two masses but the quantity of motion does not, </w:t>
      </w:r>
      <w:r w:rsidR="008F48A3">
        <w:rPr>
          <w:rFonts w:cs="Times New Roman"/>
          <w:szCs w:val="24"/>
        </w:rPr>
        <w:t xml:space="preserve">the quantity of force </w:t>
      </w:r>
      <w:r w:rsidR="00DB76E7">
        <w:rPr>
          <w:rFonts w:cs="Times New Roman"/>
          <w:szCs w:val="24"/>
        </w:rPr>
        <w:t>cannot be</w:t>
      </w:r>
      <w:r w:rsidR="008F48A3">
        <w:rPr>
          <w:rFonts w:cs="Times New Roman"/>
          <w:szCs w:val="24"/>
        </w:rPr>
        <w:t xml:space="preserve"> the same thing as </w:t>
      </w:r>
      <w:r w:rsidR="006444EA">
        <w:rPr>
          <w:rFonts w:cs="Times New Roman"/>
          <w:szCs w:val="24"/>
        </w:rPr>
        <w:t xml:space="preserve">the </w:t>
      </w:r>
      <w:r w:rsidR="008F48A3">
        <w:rPr>
          <w:rFonts w:cs="Times New Roman"/>
          <w:szCs w:val="24"/>
        </w:rPr>
        <w:t>quantity of motion, as Descartes and his followers had supposed (A VI 4</w:t>
      </w:r>
      <w:r w:rsidR="006572EB">
        <w:rPr>
          <w:rFonts w:cs="Times New Roman"/>
          <w:szCs w:val="24"/>
        </w:rPr>
        <w:t>:</w:t>
      </w:r>
      <w:r w:rsidR="008F48A3">
        <w:rPr>
          <w:rFonts w:cs="Times New Roman"/>
          <w:szCs w:val="24"/>
        </w:rPr>
        <w:t xml:space="preserve"> 1557-8/PPL 314-15).</w:t>
      </w:r>
    </w:p>
    <w:p w:rsidR="00164340" w:rsidRDefault="008E7DE5" w:rsidP="007327D2">
      <w:pPr>
        <w:autoSpaceDE w:val="0"/>
        <w:autoSpaceDN w:val="0"/>
        <w:adjustRightInd w:val="0"/>
        <w:spacing w:line="480" w:lineRule="auto"/>
        <w:ind w:firstLine="720"/>
        <w:rPr>
          <w:rFonts w:cs="Times New Roman"/>
          <w:szCs w:val="24"/>
        </w:rPr>
      </w:pPr>
      <w:r>
        <w:rPr>
          <w:rFonts w:cs="Times New Roman"/>
          <w:szCs w:val="24"/>
        </w:rPr>
        <w:t xml:space="preserve">This </w:t>
      </w:r>
      <w:r w:rsidR="0040406B">
        <w:rPr>
          <w:rFonts w:cs="Times New Roman"/>
          <w:szCs w:val="24"/>
        </w:rPr>
        <w:t xml:space="preserve">anti-Cartesian </w:t>
      </w:r>
      <w:r>
        <w:rPr>
          <w:rFonts w:cs="Times New Roman"/>
          <w:szCs w:val="24"/>
        </w:rPr>
        <w:t>argum</w:t>
      </w:r>
      <w:r w:rsidR="00920454">
        <w:rPr>
          <w:rFonts w:cs="Times New Roman"/>
          <w:szCs w:val="24"/>
        </w:rPr>
        <w:t>ent</w:t>
      </w:r>
      <w:r>
        <w:rPr>
          <w:rFonts w:cs="Times New Roman"/>
          <w:szCs w:val="24"/>
        </w:rPr>
        <w:t xml:space="preserve"> </w:t>
      </w:r>
      <w:r w:rsidR="005B348B">
        <w:rPr>
          <w:rFonts w:cs="Times New Roman"/>
          <w:szCs w:val="24"/>
        </w:rPr>
        <w:t xml:space="preserve">from §17 </w:t>
      </w:r>
      <w:r w:rsidR="0040406B">
        <w:rPr>
          <w:rFonts w:cs="Times New Roman"/>
          <w:szCs w:val="24"/>
        </w:rPr>
        <w:t xml:space="preserve">is a summary of a paper entitled </w:t>
      </w:r>
      <w:r w:rsidR="000A6E5B">
        <w:rPr>
          <w:rFonts w:cs="Times New Roman"/>
          <w:szCs w:val="24"/>
        </w:rPr>
        <w:t>“</w:t>
      </w:r>
      <w:r w:rsidR="0040406B" w:rsidRPr="00682BA0">
        <w:rPr>
          <w:rFonts w:cs="Times New Roman"/>
          <w:szCs w:val="24"/>
        </w:rPr>
        <w:t>A brief demonstration of a notable error of Descartes and others concerning a natural law</w:t>
      </w:r>
      <w:r w:rsidR="000A6E5B">
        <w:rPr>
          <w:rFonts w:cs="Times New Roman"/>
          <w:szCs w:val="24"/>
        </w:rPr>
        <w:t>”</w:t>
      </w:r>
      <w:r w:rsidR="0040406B">
        <w:rPr>
          <w:rFonts w:cs="Times New Roman"/>
          <w:szCs w:val="24"/>
        </w:rPr>
        <w:t xml:space="preserve"> (</w:t>
      </w:r>
      <w:r w:rsidR="0040406B" w:rsidRPr="00682BA0">
        <w:rPr>
          <w:rFonts w:cs="Times New Roman"/>
          <w:szCs w:val="24"/>
        </w:rPr>
        <w:t>A VI 4</w:t>
      </w:r>
      <w:r w:rsidR="006572EB">
        <w:rPr>
          <w:rFonts w:cs="Times New Roman"/>
          <w:szCs w:val="24"/>
        </w:rPr>
        <w:t>:</w:t>
      </w:r>
      <w:r w:rsidR="0040406B" w:rsidRPr="00682BA0">
        <w:rPr>
          <w:rFonts w:cs="Times New Roman"/>
          <w:szCs w:val="24"/>
        </w:rPr>
        <w:t xml:space="preserve"> 2027-30/</w:t>
      </w:r>
      <w:r w:rsidR="0040406B">
        <w:rPr>
          <w:rFonts w:cs="Times New Roman"/>
          <w:szCs w:val="24"/>
        </w:rPr>
        <w:t>PPL 296-8) that Leibniz wrote in January 1686</w:t>
      </w:r>
      <w:r w:rsidR="006572EB" w:rsidRPr="00C10554">
        <w:rPr>
          <w:u w:color="000000"/>
        </w:rPr>
        <w:t>—</w:t>
      </w:r>
      <w:r w:rsidR="0040406B">
        <w:rPr>
          <w:rFonts w:cs="Times New Roman"/>
          <w:szCs w:val="24"/>
        </w:rPr>
        <w:t xml:space="preserve">probably before he had started work on the </w:t>
      </w:r>
      <w:r w:rsidR="0040406B">
        <w:rPr>
          <w:rFonts w:cs="Times New Roman"/>
          <w:i/>
          <w:szCs w:val="24"/>
        </w:rPr>
        <w:t>Discourse</w:t>
      </w:r>
      <w:r w:rsidR="006572EB" w:rsidRPr="00C10554">
        <w:rPr>
          <w:u w:color="000000"/>
        </w:rPr>
        <w:t>—</w:t>
      </w:r>
      <w:r w:rsidR="0040406B">
        <w:rPr>
          <w:rFonts w:cs="Times New Roman"/>
          <w:szCs w:val="24"/>
        </w:rPr>
        <w:t xml:space="preserve">and published in the March 1686 issue of the </w:t>
      </w:r>
      <w:r w:rsidR="0040406B">
        <w:rPr>
          <w:rFonts w:cs="Times New Roman"/>
          <w:i/>
          <w:szCs w:val="24"/>
        </w:rPr>
        <w:t>Acta eruditorum</w:t>
      </w:r>
      <w:r w:rsidR="0040406B">
        <w:rPr>
          <w:rFonts w:cs="Times New Roman"/>
          <w:szCs w:val="24"/>
        </w:rPr>
        <w:t xml:space="preserve"> journal. </w:t>
      </w:r>
      <w:r w:rsidR="002835CB">
        <w:rPr>
          <w:rFonts w:cs="Times New Roman"/>
          <w:szCs w:val="24"/>
        </w:rPr>
        <w:t xml:space="preserve">In this paper, Leibniz </w:t>
      </w:r>
      <w:r w:rsidR="009E1EDF">
        <w:rPr>
          <w:rFonts w:cs="Times New Roman"/>
          <w:szCs w:val="24"/>
        </w:rPr>
        <w:t>is</w:t>
      </w:r>
      <w:r w:rsidR="002835CB">
        <w:rPr>
          <w:rFonts w:cs="Times New Roman"/>
          <w:szCs w:val="24"/>
        </w:rPr>
        <w:t xml:space="preserve"> content to</w:t>
      </w:r>
      <w:r w:rsidR="00E90085">
        <w:rPr>
          <w:rFonts w:cs="Times New Roman"/>
          <w:szCs w:val="24"/>
        </w:rPr>
        <w:t xml:space="preserve"> deploy his argument</w:t>
      </w:r>
      <w:r w:rsidR="00920454">
        <w:rPr>
          <w:rFonts w:cs="Times New Roman"/>
          <w:szCs w:val="24"/>
        </w:rPr>
        <w:t xml:space="preserve"> merely </w:t>
      </w:r>
      <w:r w:rsidR="00E90085">
        <w:rPr>
          <w:rFonts w:cs="Times New Roman"/>
          <w:szCs w:val="24"/>
        </w:rPr>
        <w:t>to show</w:t>
      </w:r>
      <w:r w:rsidR="002835CB">
        <w:rPr>
          <w:rFonts w:cs="Times New Roman"/>
          <w:szCs w:val="24"/>
        </w:rPr>
        <w:t xml:space="preserve"> </w:t>
      </w:r>
      <w:r w:rsidR="009E1EDF">
        <w:rPr>
          <w:rFonts w:cs="Times New Roman"/>
          <w:szCs w:val="24"/>
        </w:rPr>
        <w:t>the</w:t>
      </w:r>
      <w:r w:rsidR="002835CB">
        <w:rPr>
          <w:rFonts w:cs="Times New Roman"/>
          <w:szCs w:val="24"/>
        </w:rPr>
        <w:t xml:space="preserve"> problem with</w:t>
      </w:r>
      <w:r w:rsidR="0040406B">
        <w:rPr>
          <w:rFonts w:cs="Times New Roman"/>
          <w:szCs w:val="24"/>
        </w:rPr>
        <w:t xml:space="preserve"> Descartes’ conservation law, </w:t>
      </w:r>
      <w:r w:rsidR="00920454">
        <w:rPr>
          <w:rFonts w:cs="Times New Roman"/>
          <w:szCs w:val="24"/>
        </w:rPr>
        <w:t xml:space="preserve">and this </w:t>
      </w:r>
      <w:r w:rsidR="005B348B">
        <w:rPr>
          <w:rFonts w:cs="Times New Roman"/>
          <w:szCs w:val="24"/>
        </w:rPr>
        <w:t xml:space="preserve">initially </w:t>
      </w:r>
      <w:r w:rsidR="00920454">
        <w:rPr>
          <w:rFonts w:cs="Times New Roman"/>
          <w:szCs w:val="24"/>
        </w:rPr>
        <w:t>appears to be his aim in §17 of</w:t>
      </w:r>
      <w:r w:rsidR="0040406B">
        <w:rPr>
          <w:rFonts w:cs="Times New Roman"/>
          <w:szCs w:val="24"/>
        </w:rPr>
        <w:t xml:space="preserve"> the </w:t>
      </w:r>
      <w:r w:rsidR="00540825">
        <w:rPr>
          <w:rFonts w:cs="Times New Roman"/>
          <w:szCs w:val="24"/>
        </w:rPr>
        <w:t>“</w:t>
      </w:r>
      <w:r w:rsidR="0040406B" w:rsidRPr="00540825">
        <w:rPr>
          <w:rFonts w:cs="Times New Roman"/>
          <w:szCs w:val="24"/>
        </w:rPr>
        <w:t>Discourse</w:t>
      </w:r>
      <w:r w:rsidR="00540825">
        <w:rPr>
          <w:rFonts w:cs="Times New Roman"/>
          <w:szCs w:val="24"/>
        </w:rPr>
        <w:t>”</w:t>
      </w:r>
      <w:r w:rsidR="00920454">
        <w:rPr>
          <w:rFonts w:cs="Times New Roman"/>
          <w:szCs w:val="24"/>
        </w:rPr>
        <w:t xml:space="preserve"> also. But in §18 </w:t>
      </w:r>
      <w:r w:rsidR="002835CB">
        <w:rPr>
          <w:rFonts w:cs="Times New Roman"/>
          <w:szCs w:val="24"/>
        </w:rPr>
        <w:t xml:space="preserve">he </w:t>
      </w:r>
      <w:r w:rsidR="00920454">
        <w:rPr>
          <w:rFonts w:cs="Times New Roman"/>
          <w:szCs w:val="24"/>
        </w:rPr>
        <w:t>goes on</w:t>
      </w:r>
      <w:r w:rsidR="00E90085">
        <w:rPr>
          <w:rFonts w:cs="Times New Roman"/>
          <w:szCs w:val="24"/>
        </w:rPr>
        <w:t xml:space="preserve"> to draw a</w:t>
      </w:r>
      <w:r w:rsidR="009E1EDF">
        <w:rPr>
          <w:rFonts w:cs="Times New Roman"/>
          <w:szCs w:val="24"/>
        </w:rPr>
        <w:t xml:space="preserve"> further conclusion</w:t>
      </w:r>
      <w:r w:rsidR="00920454">
        <w:rPr>
          <w:rFonts w:cs="Times New Roman"/>
          <w:szCs w:val="24"/>
        </w:rPr>
        <w:t xml:space="preserve"> not found in </w:t>
      </w:r>
      <w:r w:rsidR="000A6E5B">
        <w:rPr>
          <w:rFonts w:cs="Times New Roman"/>
          <w:szCs w:val="24"/>
        </w:rPr>
        <w:t>“</w:t>
      </w:r>
      <w:r w:rsidR="00920454">
        <w:rPr>
          <w:rFonts w:cs="Times New Roman"/>
          <w:szCs w:val="24"/>
        </w:rPr>
        <w:t>A brief demonstration</w:t>
      </w:r>
      <w:r w:rsidR="000A6E5B">
        <w:rPr>
          <w:rFonts w:cs="Times New Roman"/>
          <w:szCs w:val="24"/>
        </w:rPr>
        <w:t>”</w:t>
      </w:r>
      <w:r w:rsidR="00920454">
        <w:rPr>
          <w:rFonts w:cs="Times New Roman"/>
          <w:szCs w:val="24"/>
        </w:rPr>
        <w:t>, namely that, as force is</w:t>
      </w:r>
      <w:r w:rsidR="006444EA">
        <w:rPr>
          <w:rFonts w:cs="Times New Roman"/>
          <w:szCs w:val="24"/>
        </w:rPr>
        <w:t xml:space="preserve"> something </w:t>
      </w:r>
      <w:r w:rsidR="00E638A9">
        <w:rPr>
          <w:rFonts w:cs="Times New Roman"/>
          <w:szCs w:val="24"/>
        </w:rPr>
        <w:t xml:space="preserve">different from </w:t>
      </w:r>
      <w:r w:rsidR="006444EA">
        <w:rPr>
          <w:rFonts w:cs="Times New Roman"/>
          <w:szCs w:val="24"/>
        </w:rPr>
        <w:t>extension and its modifications</w:t>
      </w:r>
      <w:r w:rsidR="00920454">
        <w:rPr>
          <w:rFonts w:cs="Times New Roman"/>
          <w:szCs w:val="24"/>
        </w:rPr>
        <w:t xml:space="preserve"> (</w:t>
      </w:r>
      <w:r w:rsidR="006444EA">
        <w:rPr>
          <w:rFonts w:cs="Times New Roman"/>
          <w:szCs w:val="24"/>
        </w:rPr>
        <w:t>namely size, figure, and motion</w:t>
      </w:r>
      <w:r w:rsidR="00920454">
        <w:rPr>
          <w:rFonts w:cs="Times New Roman"/>
          <w:szCs w:val="24"/>
        </w:rPr>
        <w:t>)</w:t>
      </w:r>
      <w:r w:rsidR="006444EA">
        <w:rPr>
          <w:rFonts w:cs="Times New Roman"/>
          <w:szCs w:val="24"/>
        </w:rPr>
        <w:t>,</w:t>
      </w:r>
      <w:r w:rsidR="00E638A9">
        <w:rPr>
          <w:rFonts w:cs="Times New Roman"/>
          <w:szCs w:val="24"/>
        </w:rPr>
        <w:t xml:space="preserve"> which is all Descartes allowed i</w:t>
      </w:r>
      <w:r w:rsidR="00920454">
        <w:rPr>
          <w:rFonts w:cs="Times New Roman"/>
          <w:szCs w:val="24"/>
        </w:rPr>
        <w:t xml:space="preserve">n bodies, </w:t>
      </w:r>
      <w:r w:rsidR="00E638A9">
        <w:rPr>
          <w:rFonts w:cs="Times New Roman"/>
          <w:szCs w:val="24"/>
        </w:rPr>
        <w:t xml:space="preserve">one has to acknowledge something else in bodies besides extension. This </w:t>
      </w:r>
      <w:r w:rsidR="000A6E5B">
        <w:rPr>
          <w:rFonts w:cs="Times New Roman"/>
          <w:szCs w:val="24"/>
        </w:rPr>
        <w:t>“something else”</w:t>
      </w:r>
      <w:r w:rsidR="00E638A9">
        <w:rPr>
          <w:rFonts w:cs="Times New Roman"/>
          <w:szCs w:val="24"/>
        </w:rPr>
        <w:t xml:space="preserve"> Leibniz identifies as substantial forms (</w:t>
      </w:r>
      <w:r w:rsidR="00E638A9" w:rsidRPr="00E638A9">
        <w:rPr>
          <w:rFonts w:cs="Times New Roman"/>
          <w:szCs w:val="24"/>
        </w:rPr>
        <w:t>A VI 4</w:t>
      </w:r>
      <w:r w:rsidR="006572EB">
        <w:rPr>
          <w:rFonts w:cs="Times New Roman"/>
          <w:szCs w:val="24"/>
        </w:rPr>
        <w:t>:</w:t>
      </w:r>
      <w:r w:rsidR="00E638A9" w:rsidRPr="00E638A9">
        <w:rPr>
          <w:rFonts w:cs="Times New Roman"/>
          <w:szCs w:val="24"/>
        </w:rPr>
        <w:t xml:space="preserve"> 1559/PPL 315</w:t>
      </w:r>
      <w:r w:rsidR="00E638A9">
        <w:rPr>
          <w:rFonts w:cs="Times New Roman"/>
          <w:szCs w:val="24"/>
        </w:rPr>
        <w:t xml:space="preserve">). He stresses that although </w:t>
      </w:r>
      <w:r w:rsidR="00164340">
        <w:rPr>
          <w:rFonts w:cs="Times New Roman"/>
          <w:szCs w:val="24"/>
        </w:rPr>
        <w:t>one should not</w:t>
      </w:r>
      <w:r w:rsidR="00E638A9">
        <w:rPr>
          <w:rFonts w:cs="Times New Roman"/>
          <w:szCs w:val="24"/>
        </w:rPr>
        <w:t xml:space="preserve"> appeal to substantial forms to explain natural phenomena (which should always be explained mechanically), </w:t>
      </w:r>
      <w:r w:rsidR="00985994">
        <w:rPr>
          <w:rFonts w:cs="Times New Roman"/>
          <w:szCs w:val="24"/>
        </w:rPr>
        <w:t>they are</w:t>
      </w:r>
      <w:r w:rsidR="00920454">
        <w:rPr>
          <w:rFonts w:cs="Times New Roman"/>
          <w:szCs w:val="24"/>
        </w:rPr>
        <w:t xml:space="preserve"> nevertheless</w:t>
      </w:r>
      <w:r w:rsidR="00E638A9">
        <w:rPr>
          <w:rFonts w:cs="Times New Roman"/>
          <w:szCs w:val="24"/>
        </w:rPr>
        <w:t xml:space="preserve"> </w:t>
      </w:r>
      <w:r w:rsidR="00682BA0">
        <w:rPr>
          <w:rFonts w:cs="Times New Roman"/>
          <w:szCs w:val="24"/>
        </w:rPr>
        <w:t xml:space="preserve">indispensible </w:t>
      </w:r>
      <w:r w:rsidR="008F5239">
        <w:rPr>
          <w:rFonts w:cs="Times New Roman"/>
          <w:szCs w:val="24"/>
        </w:rPr>
        <w:t xml:space="preserve">if we are to </w:t>
      </w:r>
      <w:r w:rsidR="001E44C4">
        <w:rPr>
          <w:rFonts w:cs="Times New Roman"/>
          <w:szCs w:val="24"/>
        </w:rPr>
        <w:t xml:space="preserve">understand the principles of the corporeal world that </w:t>
      </w:r>
      <w:r w:rsidR="008F5239">
        <w:rPr>
          <w:rFonts w:cs="Times New Roman"/>
          <w:szCs w:val="24"/>
        </w:rPr>
        <w:t>the mechanical philosophy</w:t>
      </w:r>
      <w:r w:rsidR="001E44C4">
        <w:rPr>
          <w:rFonts w:cs="Times New Roman"/>
          <w:szCs w:val="24"/>
        </w:rPr>
        <w:t xml:space="preserve"> seeks to explain.</w:t>
      </w:r>
    </w:p>
    <w:p w:rsidR="00283840" w:rsidRDefault="002B5378" w:rsidP="007327D2">
      <w:pPr>
        <w:autoSpaceDE w:val="0"/>
        <w:autoSpaceDN w:val="0"/>
        <w:adjustRightInd w:val="0"/>
        <w:spacing w:line="480" w:lineRule="auto"/>
        <w:ind w:firstLine="720"/>
        <w:rPr>
          <w:rFonts w:cs="Times New Roman"/>
          <w:szCs w:val="24"/>
        </w:rPr>
      </w:pPr>
      <w:r>
        <w:rPr>
          <w:rFonts w:cs="Times New Roman"/>
          <w:szCs w:val="24"/>
        </w:rPr>
        <w:t>In §§19-21, Leibniz turns his attention to final causes, that is,</w:t>
      </w:r>
      <w:r w:rsidR="005E6F06">
        <w:rPr>
          <w:rFonts w:cs="Times New Roman"/>
          <w:szCs w:val="24"/>
        </w:rPr>
        <w:t xml:space="preserve"> ends or goals, which certain “new philosophers”</w:t>
      </w:r>
      <w:r>
        <w:rPr>
          <w:rFonts w:cs="Times New Roman"/>
          <w:szCs w:val="24"/>
        </w:rPr>
        <w:t xml:space="preserve"> had sought to banish from physics (A VI 4</w:t>
      </w:r>
      <w:r w:rsidR="006572EB">
        <w:rPr>
          <w:rFonts w:cs="Times New Roman"/>
          <w:szCs w:val="24"/>
        </w:rPr>
        <w:t>:</w:t>
      </w:r>
      <w:r>
        <w:rPr>
          <w:rFonts w:cs="Times New Roman"/>
          <w:szCs w:val="24"/>
        </w:rPr>
        <w:t xml:space="preserve"> 1560/PPL 315).</w:t>
      </w:r>
      <w:r w:rsidR="00032A33">
        <w:rPr>
          <w:rFonts w:cs="Times New Roman"/>
          <w:szCs w:val="24"/>
        </w:rPr>
        <w:t xml:space="preserve"> </w:t>
      </w:r>
      <w:r w:rsidR="00283840">
        <w:rPr>
          <w:rFonts w:cs="Times New Roman"/>
          <w:szCs w:val="24"/>
        </w:rPr>
        <w:t xml:space="preserve">Once again, Leibniz’s target is Descartes, who had </w:t>
      </w:r>
      <w:r w:rsidR="00032A33">
        <w:rPr>
          <w:rFonts w:cs="Times New Roman"/>
          <w:szCs w:val="24"/>
        </w:rPr>
        <w:t>rejected final causes from physics on the grounds that the human mind could not hope to discern God’s intentions. As he wrote</w:t>
      </w:r>
      <w:r w:rsidR="00283840">
        <w:rPr>
          <w:rFonts w:cs="Times New Roman"/>
          <w:szCs w:val="24"/>
        </w:rPr>
        <w:t xml:space="preserve"> in his </w:t>
      </w:r>
      <w:r w:rsidR="00283840">
        <w:rPr>
          <w:rFonts w:cs="Times New Roman"/>
          <w:i/>
          <w:szCs w:val="24"/>
        </w:rPr>
        <w:t>Principles of Philosophy</w:t>
      </w:r>
      <w:r w:rsidR="00283840">
        <w:rPr>
          <w:rFonts w:cs="Times New Roman"/>
          <w:szCs w:val="24"/>
        </w:rPr>
        <w:t>:</w:t>
      </w:r>
    </w:p>
    <w:p w:rsidR="00283840" w:rsidRDefault="00283840" w:rsidP="007327D2">
      <w:pPr>
        <w:autoSpaceDE w:val="0"/>
        <w:autoSpaceDN w:val="0"/>
        <w:adjustRightInd w:val="0"/>
        <w:spacing w:line="480" w:lineRule="auto"/>
        <w:rPr>
          <w:rFonts w:cs="Times New Roman"/>
          <w:szCs w:val="24"/>
        </w:rPr>
      </w:pPr>
    </w:p>
    <w:p w:rsidR="00283840" w:rsidRPr="00540825" w:rsidRDefault="00283840" w:rsidP="007327D2">
      <w:pPr>
        <w:autoSpaceDE w:val="0"/>
        <w:autoSpaceDN w:val="0"/>
        <w:adjustRightInd w:val="0"/>
        <w:spacing w:line="480" w:lineRule="auto"/>
        <w:ind w:left="720"/>
        <w:rPr>
          <w:rFonts w:cs="Times New Roman"/>
          <w:szCs w:val="24"/>
        </w:rPr>
      </w:pPr>
      <w:r w:rsidRPr="00283840">
        <w:rPr>
          <w:rFonts w:cs="Times New Roman"/>
          <w:szCs w:val="24"/>
        </w:rPr>
        <w:t xml:space="preserve">When dealing with natural </w:t>
      </w:r>
      <w:r w:rsidR="006572EB">
        <w:rPr>
          <w:rFonts w:cs="Times New Roman"/>
          <w:szCs w:val="24"/>
        </w:rPr>
        <w:t xml:space="preserve">things we will . . . </w:t>
      </w:r>
      <w:r w:rsidRPr="00283840">
        <w:rPr>
          <w:rFonts w:cs="Times New Roman"/>
          <w:szCs w:val="24"/>
        </w:rPr>
        <w:t>never derive any explanations from the purposes which God or nature may have had in view when creating them and we shall entirely banish from our philosophy the search for final causes. For we should not be so arrogant as to s</w:t>
      </w:r>
      <w:r>
        <w:rPr>
          <w:rFonts w:cs="Times New Roman"/>
          <w:szCs w:val="24"/>
        </w:rPr>
        <w:t>uppose that we can share in God’</w:t>
      </w:r>
      <w:r w:rsidRPr="00283840">
        <w:rPr>
          <w:rFonts w:cs="Times New Roman"/>
          <w:szCs w:val="24"/>
        </w:rPr>
        <w:t xml:space="preserve">s </w:t>
      </w:r>
      <w:r w:rsidRPr="00540825">
        <w:rPr>
          <w:rFonts w:cs="Times New Roman"/>
          <w:szCs w:val="24"/>
        </w:rPr>
        <w:t>plans</w:t>
      </w:r>
      <w:r w:rsidR="00540825">
        <w:rPr>
          <w:rFonts w:cs="Times New Roman"/>
          <w:szCs w:val="24"/>
        </w:rPr>
        <w:t>.</w:t>
      </w:r>
      <w:r w:rsidR="00F15709" w:rsidRPr="00540825">
        <w:rPr>
          <w:rFonts w:cs="Times New Roman"/>
          <w:szCs w:val="24"/>
        </w:rPr>
        <w:t xml:space="preserve"> (</w:t>
      </w:r>
      <w:r w:rsidR="00540825" w:rsidRPr="00540825">
        <w:rPr>
          <w:rFonts w:cs="Times New Roman"/>
          <w:szCs w:val="24"/>
        </w:rPr>
        <w:t>AT VIIIA 15/</w:t>
      </w:r>
      <w:r w:rsidR="006572EB" w:rsidRPr="00540825">
        <w:rPr>
          <w:rFonts w:cs="Times New Roman"/>
          <w:szCs w:val="24"/>
        </w:rPr>
        <w:t>CSM</w:t>
      </w:r>
      <w:r w:rsidR="00F15709" w:rsidRPr="00540825">
        <w:rPr>
          <w:rFonts w:cs="Times New Roman"/>
          <w:szCs w:val="24"/>
        </w:rPr>
        <w:t xml:space="preserve"> I</w:t>
      </w:r>
      <w:r w:rsidR="006572EB" w:rsidRPr="00540825">
        <w:rPr>
          <w:rFonts w:cs="Times New Roman"/>
          <w:szCs w:val="24"/>
        </w:rPr>
        <w:t>: 202; also see</w:t>
      </w:r>
      <w:r w:rsidR="00540825" w:rsidRPr="00540825">
        <w:rPr>
          <w:rFonts w:cs="Times New Roman"/>
          <w:szCs w:val="24"/>
        </w:rPr>
        <w:t xml:space="preserve"> AT VIIIA 80-1/</w:t>
      </w:r>
      <w:r w:rsidR="006572EB" w:rsidRPr="00540825">
        <w:rPr>
          <w:rFonts w:cs="Times New Roman"/>
          <w:szCs w:val="24"/>
        </w:rPr>
        <w:t>CSM I:</w:t>
      </w:r>
      <w:r w:rsidR="00F15709" w:rsidRPr="00540825">
        <w:rPr>
          <w:rFonts w:cs="Times New Roman"/>
          <w:szCs w:val="24"/>
        </w:rPr>
        <w:t xml:space="preserve"> 248)</w:t>
      </w:r>
      <w:r w:rsidRPr="00540825">
        <w:rPr>
          <w:rFonts w:cs="Times New Roman"/>
          <w:szCs w:val="24"/>
        </w:rPr>
        <w:t>.</w:t>
      </w:r>
    </w:p>
    <w:p w:rsidR="00283840" w:rsidRDefault="00283840" w:rsidP="007327D2">
      <w:pPr>
        <w:autoSpaceDE w:val="0"/>
        <w:autoSpaceDN w:val="0"/>
        <w:adjustRightInd w:val="0"/>
        <w:spacing w:line="480" w:lineRule="auto"/>
        <w:rPr>
          <w:rFonts w:cs="Times New Roman"/>
          <w:szCs w:val="24"/>
        </w:rPr>
      </w:pPr>
    </w:p>
    <w:p w:rsidR="00DD2A85" w:rsidRDefault="00032A33" w:rsidP="007327D2">
      <w:pPr>
        <w:autoSpaceDE w:val="0"/>
        <w:autoSpaceDN w:val="0"/>
        <w:adjustRightInd w:val="0"/>
        <w:spacing w:line="480" w:lineRule="auto"/>
        <w:rPr>
          <w:rFonts w:eastAsia="MinionPro-Regular" w:cs="Times New Roman"/>
          <w:szCs w:val="24"/>
        </w:rPr>
      </w:pPr>
      <w:r>
        <w:rPr>
          <w:rFonts w:eastAsia="MinionPro-Regular" w:cs="Times New Roman"/>
          <w:szCs w:val="24"/>
        </w:rPr>
        <w:t xml:space="preserve">Many of Descartes’ followers </w:t>
      </w:r>
      <w:r w:rsidR="006E4D53">
        <w:rPr>
          <w:rFonts w:eastAsia="MinionPro-Regular" w:cs="Times New Roman"/>
          <w:szCs w:val="24"/>
        </w:rPr>
        <w:t>took a similar line</w:t>
      </w:r>
      <w:r>
        <w:rPr>
          <w:rFonts w:eastAsia="MinionPro-Regular" w:cs="Times New Roman"/>
          <w:szCs w:val="24"/>
        </w:rPr>
        <w:t xml:space="preserve">; for example, in his </w:t>
      </w:r>
      <w:r w:rsidR="007129EB" w:rsidRPr="007129EB">
        <w:rPr>
          <w:rFonts w:cs="Times New Roman"/>
          <w:i/>
          <w:szCs w:val="24"/>
        </w:rPr>
        <w:t>Christian Conversations</w:t>
      </w:r>
      <w:r>
        <w:rPr>
          <w:rFonts w:cs="Times New Roman"/>
          <w:szCs w:val="24"/>
        </w:rPr>
        <w:t>,</w:t>
      </w:r>
      <w:r>
        <w:rPr>
          <w:rFonts w:eastAsia="MinionPro-Regular" w:cs="Times New Roman"/>
          <w:szCs w:val="24"/>
        </w:rPr>
        <w:t xml:space="preserve"> </w:t>
      </w:r>
      <w:r w:rsidR="00283840" w:rsidRPr="00773517">
        <w:rPr>
          <w:rFonts w:eastAsia="MinionPro-Regular" w:cs="Times New Roman"/>
          <w:szCs w:val="24"/>
        </w:rPr>
        <w:t xml:space="preserve">Malebranche insisted that </w:t>
      </w:r>
      <w:r w:rsidR="000A6E5B">
        <w:rPr>
          <w:rFonts w:eastAsia="MinionPro-Regular" w:cs="Times New Roman"/>
          <w:szCs w:val="24"/>
        </w:rPr>
        <w:t>“</w:t>
      </w:r>
      <w:r w:rsidR="00283840" w:rsidRPr="00773517">
        <w:rPr>
          <w:rFonts w:eastAsia="MinionPro-Regular" w:cs="Times New Roman"/>
          <w:szCs w:val="24"/>
        </w:rPr>
        <w:t>The knowledge of final causes is quite useless for physics, as Descartes claimed</w:t>
      </w:r>
      <w:r w:rsidR="000A6E5B">
        <w:rPr>
          <w:rFonts w:eastAsia="MinionPro-Regular" w:cs="Times New Roman"/>
          <w:szCs w:val="24"/>
        </w:rPr>
        <w:t>”</w:t>
      </w:r>
      <w:r w:rsidR="00283840" w:rsidRPr="00773517">
        <w:rPr>
          <w:rFonts w:eastAsia="MinionPro-Regular" w:cs="Times New Roman"/>
          <w:szCs w:val="24"/>
        </w:rPr>
        <w:t xml:space="preserve"> (1677</w:t>
      </w:r>
      <w:r w:rsidR="006572EB">
        <w:rPr>
          <w:rFonts w:eastAsia="MinionPro-Regular" w:cs="Times New Roman"/>
          <w:szCs w:val="24"/>
        </w:rPr>
        <w:t>:</w:t>
      </w:r>
      <w:r w:rsidR="00283840" w:rsidRPr="00773517">
        <w:rPr>
          <w:rFonts w:eastAsia="MinionPro-Regular" w:cs="Times New Roman"/>
          <w:szCs w:val="24"/>
        </w:rPr>
        <w:t xml:space="preserve"> 87</w:t>
      </w:r>
      <w:r w:rsidR="002500CA">
        <w:rPr>
          <w:rFonts w:eastAsia="MinionPro-Regular" w:cs="Times New Roman"/>
          <w:szCs w:val="24"/>
        </w:rPr>
        <w:t>/1695</w:t>
      </w:r>
      <w:r w:rsidR="006572EB">
        <w:rPr>
          <w:rFonts w:eastAsia="MinionPro-Regular" w:cs="Times New Roman"/>
          <w:szCs w:val="24"/>
        </w:rPr>
        <w:t>:</w:t>
      </w:r>
      <w:r w:rsidR="002500CA">
        <w:rPr>
          <w:rFonts w:eastAsia="MinionPro-Regular" w:cs="Times New Roman"/>
          <w:szCs w:val="24"/>
        </w:rPr>
        <w:t xml:space="preserve"> 45, translation modified</w:t>
      </w:r>
      <w:r w:rsidR="00283840" w:rsidRPr="00773517">
        <w:rPr>
          <w:rFonts w:eastAsia="MinionPro-Regular" w:cs="Times New Roman"/>
          <w:szCs w:val="24"/>
        </w:rPr>
        <w:t>)</w:t>
      </w:r>
      <w:r w:rsidR="00283840">
        <w:rPr>
          <w:rFonts w:eastAsia="MinionPro-Regular" w:cs="Times New Roman"/>
          <w:szCs w:val="24"/>
        </w:rPr>
        <w:t>.</w:t>
      </w:r>
      <w:r w:rsidR="00E63AC4">
        <w:rPr>
          <w:rFonts w:eastAsia="MinionPro-Regular" w:cs="Times New Roman"/>
          <w:szCs w:val="24"/>
        </w:rPr>
        <w:t xml:space="preserve"> Leibniz took a dim view of the Cartesian position, </w:t>
      </w:r>
      <w:r w:rsidR="006E4D53">
        <w:rPr>
          <w:rFonts w:eastAsia="MinionPro-Regular" w:cs="Times New Roman"/>
          <w:szCs w:val="24"/>
        </w:rPr>
        <w:t>railing against</w:t>
      </w:r>
      <w:r w:rsidR="00472729">
        <w:rPr>
          <w:rFonts w:eastAsia="MinionPro-Regular" w:cs="Times New Roman"/>
          <w:szCs w:val="24"/>
        </w:rPr>
        <w:t xml:space="preserve"> it</w:t>
      </w:r>
      <w:r w:rsidR="006E4D53">
        <w:rPr>
          <w:rFonts w:eastAsia="MinionPro-Regular" w:cs="Times New Roman"/>
          <w:szCs w:val="24"/>
        </w:rPr>
        <w:t xml:space="preserve"> in a clutch of anti-Cartesian writings from the 1670s onwards. In s</w:t>
      </w:r>
      <w:r w:rsidR="00E63AC4">
        <w:rPr>
          <w:rFonts w:eastAsia="MinionPro-Regular" w:cs="Times New Roman"/>
          <w:szCs w:val="24"/>
        </w:rPr>
        <w:t>ome</w:t>
      </w:r>
      <w:r w:rsidR="006E4D53">
        <w:rPr>
          <w:rFonts w:eastAsia="MinionPro-Regular" w:cs="Times New Roman"/>
          <w:szCs w:val="24"/>
        </w:rPr>
        <w:t xml:space="preserve"> of these, Leibniz</w:t>
      </w:r>
      <w:r w:rsidR="00E63AC4">
        <w:rPr>
          <w:rFonts w:eastAsia="MinionPro-Regular" w:cs="Times New Roman"/>
          <w:szCs w:val="24"/>
        </w:rPr>
        <w:t xml:space="preserve"> claim</w:t>
      </w:r>
      <w:r w:rsidR="006E4D53">
        <w:rPr>
          <w:rFonts w:eastAsia="MinionPro-Regular" w:cs="Times New Roman"/>
          <w:szCs w:val="24"/>
        </w:rPr>
        <w:t>s</w:t>
      </w:r>
      <w:r w:rsidR="00E63AC4">
        <w:rPr>
          <w:rFonts w:eastAsia="MinionPro-Regular" w:cs="Times New Roman"/>
          <w:szCs w:val="24"/>
        </w:rPr>
        <w:t xml:space="preserve"> that Descartes had sought to banish </w:t>
      </w:r>
      <w:r w:rsidR="000C042E">
        <w:rPr>
          <w:rFonts w:eastAsia="MinionPro-Regular" w:cs="Times New Roman"/>
          <w:szCs w:val="24"/>
        </w:rPr>
        <w:t xml:space="preserve">the search for </w:t>
      </w:r>
      <w:r w:rsidR="00E63AC4">
        <w:rPr>
          <w:rFonts w:eastAsia="MinionPro-Regular" w:cs="Times New Roman"/>
          <w:szCs w:val="24"/>
        </w:rPr>
        <w:t xml:space="preserve">final causes </w:t>
      </w:r>
      <w:r w:rsidR="000C042E">
        <w:rPr>
          <w:rFonts w:eastAsia="MinionPro-Regular" w:cs="Times New Roman"/>
          <w:szCs w:val="24"/>
        </w:rPr>
        <w:t xml:space="preserve">only </w:t>
      </w:r>
      <w:r w:rsidR="00E63AC4">
        <w:rPr>
          <w:rFonts w:eastAsia="MinionPro-Regular" w:cs="Times New Roman"/>
          <w:szCs w:val="24"/>
        </w:rPr>
        <w:t>because</w:t>
      </w:r>
      <w:r w:rsidR="003826E4">
        <w:rPr>
          <w:rFonts w:eastAsia="MinionPro-Regular" w:cs="Times New Roman"/>
          <w:szCs w:val="24"/>
        </w:rPr>
        <w:t>, not believing there were any objective rules of goodness,</w:t>
      </w:r>
      <w:r w:rsidR="00E63AC4">
        <w:rPr>
          <w:rFonts w:eastAsia="MinionPro-Regular" w:cs="Times New Roman"/>
          <w:szCs w:val="24"/>
        </w:rPr>
        <w:t xml:space="preserve"> he didn’t think God </w:t>
      </w:r>
      <w:r w:rsidR="003826E4">
        <w:rPr>
          <w:rFonts w:eastAsia="MinionPro-Regular" w:cs="Times New Roman"/>
          <w:szCs w:val="24"/>
        </w:rPr>
        <w:t xml:space="preserve">had </w:t>
      </w:r>
      <w:r w:rsidR="00472729">
        <w:rPr>
          <w:rFonts w:eastAsia="MinionPro-Regular" w:cs="Times New Roman"/>
          <w:szCs w:val="24"/>
        </w:rPr>
        <w:t xml:space="preserve">actually </w:t>
      </w:r>
      <w:r w:rsidR="00E63AC4">
        <w:rPr>
          <w:rFonts w:eastAsia="MinionPro-Regular" w:cs="Times New Roman"/>
          <w:szCs w:val="24"/>
        </w:rPr>
        <w:t>acted in accordance with an end</w:t>
      </w:r>
      <w:r w:rsidR="006E4D53">
        <w:rPr>
          <w:rFonts w:eastAsia="MinionPro-Regular" w:cs="Times New Roman"/>
          <w:szCs w:val="24"/>
        </w:rPr>
        <w:t>;</w:t>
      </w:r>
      <w:r w:rsidR="00B61973">
        <w:rPr>
          <w:rStyle w:val="FootnoteReference"/>
          <w:rFonts w:eastAsia="MinionPro-Regular" w:cs="Times New Roman"/>
          <w:szCs w:val="24"/>
        </w:rPr>
        <w:footnoteReference w:id="48"/>
      </w:r>
      <w:r w:rsidR="006E4D53">
        <w:rPr>
          <w:rFonts w:eastAsia="MinionPro-Regular" w:cs="Times New Roman"/>
          <w:szCs w:val="24"/>
        </w:rPr>
        <w:t xml:space="preserve"> in others, that banishing final causes from physics would make it pointless to posit a supreme intelligence at all</w:t>
      </w:r>
      <w:r w:rsidR="006572EB">
        <w:rPr>
          <w:rFonts w:eastAsia="MinionPro-Regular" w:cs="Times New Roman"/>
          <w:szCs w:val="24"/>
        </w:rPr>
        <w:t>.</w:t>
      </w:r>
      <w:r w:rsidR="006572EB">
        <w:rPr>
          <w:rStyle w:val="FootnoteReference"/>
          <w:rFonts w:eastAsia="MinionPro-Regular" w:cs="Times New Roman"/>
          <w:szCs w:val="24"/>
        </w:rPr>
        <w:footnoteReference w:id="49"/>
      </w:r>
      <w:r w:rsidR="006E4D53">
        <w:rPr>
          <w:rFonts w:eastAsia="MinionPro-Regular" w:cs="Times New Roman"/>
          <w:szCs w:val="24"/>
        </w:rPr>
        <w:t xml:space="preserve"> </w:t>
      </w:r>
      <w:r w:rsidR="003826E4">
        <w:rPr>
          <w:rFonts w:eastAsia="MinionPro-Regular" w:cs="Times New Roman"/>
          <w:szCs w:val="24"/>
        </w:rPr>
        <w:t>Leibniz levels similar complaints i</w:t>
      </w:r>
      <w:r w:rsidR="000958EC">
        <w:rPr>
          <w:rFonts w:eastAsia="MinionPro-Regular" w:cs="Times New Roman"/>
          <w:szCs w:val="24"/>
        </w:rPr>
        <w:t xml:space="preserve">n the </w:t>
      </w:r>
      <w:r w:rsidR="00540825">
        <w:rPr>
          <w:rFonts w:eastAsia="MinionPro-Regular" w:cs="Times New Roman"/>
          <w:szCs w:val="24"/>
        </w:rPr>
        <w:t>“</w:t>
      </w:r>
      <w:r w:rsidR="000958EC" w:rsidRPr="00540825">
        <w:rPr>
          <w:rFonts w:eastAsia="MinionPro-Regular" w:cs="Times New Roman"/>
          <w:szCs w:val="24"/>
        </w:rPr>
        <w:t>Discourse</w:t>
      </w:r>
      <w:r w:rsidR="00540825">
        <w:rPr>
          <w:rFonts w:eastAsia="MinionPro-Regular" w:cs="Times New Roman"/>
          <w:szCs w:val="24"/>
        </w:rPr>
        <w:t>”</w:t>
      </w:r>
      <w:r w:rsidR="003826E4">
        <w:rPr>
          <w:rFonts w:eastAsia="MinionPro-Regular" w:cs="Times New Roman"/>
          <w:szCs w:val="24"/>
        </w:rPr>
        <w:t xml:space="preserve">. </w:t>
      </w:r>
      <w:r w:rsidR="00777C41">
        <w:rPr>
          <w:rFonts w:eastAsia="MinionPro-Regular" w:cs="Times New Roman"/>
          <w:szCs w:val="24"/>
        </w:rPr>
        <w:t>Most notably,</w:t>
      </w:r>
      <w:r w:rsidR="006F700C">
        <w:rPr>
          <w:rFonts w:eastAsia="MinionPro-Regular" w:cs="Times New Roman"/>
          <w:szCs w:val="24"/>
        </w:rPr>
        <w:t xml:space="preserve"> h</w:t>
      </w:r>
      <w:r w:rsidR="003826E4">
        <w:rPr>
          <w:rFonts w:eastAsia="MinionPro-Regular" w:cs="Times New Roman"/>
          <w:szCs w:val="24"/>
        </w:rPr>
        <w:t>e</w:t>
      </w:r>
      <w:r w:rsidR="000958EC" w:rsidRPr="000958EC">
        <w:rPr>
          <w:rFonts w:eastAsia="MinionPro-Regular" w:cs="Times New Roman"/>
          <w:szCs w:val="24"/>
        </w:rPr>
        <w:t xml:space="preserve"> argues that the banishment of final causes has dangerous consequences when combined with Descartes</w:t>
      </w:r>
      <w:r w:rsidR="00472729">
        <w:rPr>
          <w:rFonts w:eastAsia="MinionPro-Regular" w:cs="Times New Roman"/>
          <w:szCs w:val="24"/>
        </w:rPr>
        <w:t>’</w:t>
      </w:r>
      <w:r w:rsidR="000958EC" w:rsidRPr="000958EC">
        <w:rPr>
          <w:rFonts w:eastAsia="MinionPro-Regular" w:cs="Times New Roman"/>
          <w:szCs w:val="24"/>
        </w:rPr>
        <w:t xml:space="preserve"> view that God </w:t>
      </w:r>
      <w:r w:rsidR="000958EC">
        <w:rPr>
          <w:rFonts w:eastAsia="MinionPro-Regular" w:cs="Times New Roman"/>
          <w:szCs w:val="24"/>
        </w:rPr>
        <w:t>i</w:t>
      </w:r>
      <w:r w:rsidR="000958EC" w:rsidRPr="000958EC">
        <w:rPr>
          <w:rFonts w:eastAsia="MinionPro-Regular" w:cs="Times New Roman"/>
          <w:szCs w:val="24"/>
        </w:rPr>
        <w:t>s subject to no objective rule of goodness</w:t>
      </w:r>
      <w:r w:rsidR="003826E4">
        <w:rPr>
          <w:rFonts w:eastAsia="MinionPro-Regular" w:cs="Times New Roman"/>
          <w:szCs w:val="24"/>
        </w:rPr>
        <w:t>, complaining</w:t>
      </w:r>
      <w:r w:rsidR="000958EC" w:rsidRPr="000958EC">
        <w:rPr>
          <w:rFonts w:eastAsia="MinionPro-Regular" w:cs="Times New Roman"/>
          <w:szCs w:val="24"/>
        </w:rPr>
        <w:t xml:space="preserve"> that, when taken together, the </w:t>
      </w:r>
      <w:r w:rsidR="000958EC">
        <w:rPr>
          <w:rFonts w:eastAsia="MinionPro-Regular" w:cs="Times New Roman"/>
          <w:szCs w:val="24"/>
        </w:rPr>
        <w:t xml:space="preserve">two </w:t>
      </w:r>
      <w:r w:rsidR="000958EC" w:rsidRPr="000958EC">
        <w:rPr>
          <w:rFonts w:eastAsia="MinionPro-Regular" w:cs="Times New Roman"/>
          <w:szCs w:val="24"/>
        </w:rPr>
        <w:t xml:space="preserve">views are tantamount to denying final causes altogether, </w:t>
      </w:r>
      <w:r w:rsidR="000A6E5B">
        <w:rPr>
          <w:rFonts w:eastAsia="MinionPro-Regular" w:cs="Times New Roman"/>
          <w:szCs w:val="24"/>
        </w:rPr>
        <w:t>“</w:t>
      </w:r>
      <w:r w:rsidR="000958EC" w:rsidRPr="000958EC">
        <w:rPr>
          <w:rFonts w:eastAsia="MinionPro-Regular" w:cs="Times New Roman"/>
          <w:szCs w:val="24"/>
        </w:rPr>
        <w:t>as if God in acting had proposed no end or good</w:t>
      </w:r>
      <w:r w:rsidR="000A6E5B">
        <w:rPr>
          <w:rFonts w:eastAsia="MinionPro-Regular" w:cs="Times New Roman"/>
          <w:szCs w:val="24"/>
        </w:rPr>
        <w:t>”</w:t>
      </w:r>
      <w:r w:rsidR="000958EC" w:rsidRPr="000958EC">
        <w:rPr>
          <w:rFonts w:eastAsia="MinionPro-Regular" w:cs="Times New Roman"/>
          <w:szCs w:val="24"/>
        </w:rPr>
        <w:t xml:space="preserve"> (</w:t>
      </w:r>
      <w:r w:rsidR="000958EC">
        <w:rPr>
          <w:rFonts w:eastAsia="MinionPro-Regular" w:cs="Times New Roman"/>
          <w:szCs w:val="24"/>
        </w:rPr>
        <w:t>A VI 4</w:t>
      </w:r>
      <w:r w:rsidR="006572EB">
        <w:rPr>
          <w:rFonts w:eastAsia="MinionPro-Regular" w:cs="Times New Roman"/>
          <w:szCs w:val="24"/>
        </w:rPr>
        <w:t>:</w:t>
      </w:r>
      <w:r w:rsidR="000958EC">
        <w:rPr>
          <w:rFonts w:eastAsia="MinionPro-Regular" w:cs="Times New Roman"/>
          <w:szCs w:val="24"/>
        </w:rPr>
        <w:t xml:space="preserve"> 1560/</w:t>
      </w:r>
      <w:r w:rsidR="000958EC" w:rsidRPr="000958EC">
        <w:rPr>
          <w:rFonts w:eastAsia="MinionPro-Regular" w:cs="Times New Roman"/>
          <w:szCs w:val="24"/>
        </w:rPr>
        <w:t>PPL 315).</w:t>
      </w:r>
    </w:p>
    <w:p w:rsidR="00384D67" w:rsidRDefault="00E56B03" w:rsidP="007327D2">
      <w:pPr>
        <w:autoSpaceDE w:val="0"/>
        <w:autoSpaceDN w:val="0"/>
        <w:adjustRightInd w:val="0"/>
        <w:spacing w:line="480" w:lineRule="auto"/>
        <w:ind w:firstLine="720"/>
        <w:rPr>
          <w:rFonts w:cs="Times New Roman"/>
          <w:szCs w:val="24"/>
        </w:rPr>
      </w:pPr>
      <w:r>
        <w:rPr>
          <w:rFonts w:eastAsia="MinionPro-Regular" w:cs="Times New Roman"/>
          <w:szCs w:val="24"/>
        </w:rPr>
        <w:t>Despite Descartes’ rejection of any objective standards of goodness</w:t>
      </w:r>
      <w:r w:rsidR="00EE6D70">
        <w:rPr>
          <w:rFonts w:eastAsia="MinionPro-Regular" w:cs="Times New Roman"/>
          <w:szCs w:val="24"/>
        </w:rPr>
        <w:t xml:space="preserve">, neither </w:t>
      </w:r>
      <w:r>
        <w:rPr>
          <w:rFonts w:eastAsia="MinionPro-Regular" w:cs="Times New Roman"/>
          <w:szCs w:val="24"/>
        </w:rPr>
        <w:t>he</w:t>
      </w:r>
      <w:r w:rsidR="00EE6D70">
        <w:rPr>
          <w:rFonts w:eastAsia="MinionPro-Regular" w:cs="Times New Roman"/>
          <w:szCs w:val="24"/>
        </w:rPr>
        <w:t xml:space="preserve"> nor his followers denied that God </w:t>
      </w:r>
      <w:r w:rsidR="00CD3791">
        <w:rPr>
          <w:rFonts w:eastAsia="MinionPro-Regular" w:cs="Times New Roman"/>
          <w:szCs w:val="24"/>
        </w:rPr>
        <w:t>had</w:t>
      </w:r>
      <w:r w:rsidR="00EE6D70">
        <w:rPr>
          <w:rFonts w:eastAsia="MinionPro-Regular" w:cs="Times New Roman"/>
          <w:szCs w:val="24"/>
        </w:rPr>
        <w:t xml:space="preserve"> designs or that the things of his creation </w:t>
      </w:r>
      <w:r w:rsidR="00CD3791">
        <w:rPr>
          <w:rFonts w:eastAsia="MinionPro-Regular" w:cs="Times New Roman"/>
          <w:szCs w:val="24"/>
        </w:rPr>
        <w:t>were devoid of final causes</w:t>
      </w:r>
      <w:r w:rsidR="00EE6D70">
        <w:rPr>
          <w:rFonts w:eastAsia="MinionPro-Regular" w:cs="Times New Roman"/>
          <w:szCs w:val="24"/>
        </w:rPr>
        <w:t xml:space="preserve">, only that it would be presumptuous for limited beings such as ourselves to suppose that we could discern what these were. As it happens, Leibniz wasn’t unsympathetic to this line of thinking, at least to a certain extent, for he cautions </w:t>
      </w:r>
      <w:r w:rsidR="00DC23AD">
        <w:rPr>
          <w:rFonts w:cs="Times New Roman"/>
          <w:szCs w:val="24"/>
        </w:rPr>
        <w:t xml:space="preserve">against thinking that we can </w:t>
      </w:r>
      <w:r>
        <w:rPr>
          <w:rFonts w:cs="Times New Roman"/>
          <w:szCs w:val="24"/>
        </w:rPr>
        <w:t>attain an adequate grasp</w:t>
      </w:r>
      <w:r w:rsidR="00DC23AD">
        <w:rPr>
          <w:rFonts w:cs="Times New Roman"/>
          <w:szCs w:val="24"/>
        </w:rPr>
        <w:t xml:space="preserve"> of God’s designs.</w:t>
      </w:r>
      <w:r w:rsidR="00EE6D70">
        <w:rPr>
          <w:rFonts w:cs="Times New Roman"/>
          <w:szCs w:val="24"/>
        </w:rPr>
        <w:t xml:space="preserve"> After all, God’s sights extend to the whole of the universe whereas ours do not, </w:t>
      </w:r>
      <w:r w:rsidR="007572D9">
        <w:rPr>
          <w:rFonts w:cs="Times New Roman"/>
          <w:szCs w:val="24"/>
        </w:rPr>
        <w:t xml:space="preserve">which makes it </w:t>
      </w:r>
      <w:r w:rsidR="007016BD">
        <w:rPr>
          <w:rFonts w:cs="Times New Roman"/>
          <w:szCs w:val="24"/>
        </w:rPr>
        <w:t>impossible for us to grasp all of</w:t>
      </w:r>
      <w:r w:rsidR="00016AA0">
        <w:rPr>
          <w:rFonts w:cs="Times New Roman"/>
          <w:szCs w:val="24"/>
        </w:rPr>
        <w:t xml:space="preserve"> </w:t>
      </w:r>
      <w:r w:rsidR="007572D9">
        <w:rPr>
          <w:rFonts w:cs="Times New Roman"/>
          <w:szCs w:val="24"/>
        </w:rPr>
        <w:t xml:space="preserve">God’s ends. </w:t>
      </w:r>
      <w:r w:rsidR="00CD3791">
        <w:rPr>
          <w:rFonts w:cs="Times New Roman"/>
          <w:szCs w:val="24"/>
        </w:rPr>
        <w:t xml:space="preserve">However, </w:t>
      </w:r>
      <w:r w:rsidR="001E2974">
        <w:rPr>
          <w:rFonts w:cs="Times New Roman"/>
          <w:szCs w:val="24"/>
        </w:rPr>
        <w:t xml:space="preserve">in §19 </w:t>
      </w:r>
      <w:r w:rsidR="00CD3791">
        <w:rPr>
          <w:rFonts w:cs="Times New Roman"/>
          <w:szCs w:val="24"/>
        </w:rPr>
        <w:t xml:space="preserve">Leibniz proposes a rule that will lessen the chances of our </w:t>
      </w:r>
      <w:r w:rsidR="007572D9">
        <w:rPr>
          <w:rFonts w:cs="Times New Roman"/>
          <w:szCs w:val="24"/>
        </w:rPr>
        <w:t>making mistakes</w:t>
      </w:r>
      <w:r w:rsidR="00CD3791">
        <w:rPr>
          <w:rFonts w:cs="Times New Roman"/>
          <w:szCs w:val="24"/>
        </w:rPr>
        <w:t xml:space="preserve"> on this matter:</w:t>
      </w:r>
      <w:r w:rsidR="00925974">
        <w:rPr>
          <w:rFonts w:cs="Times New Roman"/>
          <w:szCs w:val="24"/>
        </w:rPr>
        <w:t xml:space="preserve"> </w:t>
      </w:r>
      <w:r w:rsidR="000A6E5B">
        <w:rPr>
          <w:rFonts w:cs="Times New Roman"/>
          <w:szCs w:val="24"/>
        </w:rPr>
        <w:t>“</w:t>
      </w:r>
      <w:r w:rsidR="00925974" w:rsidRPr="00925974">
        <w:rPr>
          <w:rFonts w:cs="Times New Roman"/>
          <w:szCs w:val="24"/>
        </w:rPr>
        <w:t>when we see some good effect or some perfection which occurs or which ensues from the works of God, we can safely say that God intended it, for he does nothing by chance</w:t>
      </w:r>
      <w:r w:rsidR="000A6E5B">
        <w:rPr>
          <w:rFonts w:cs="Times New Roman"/>
          <w:szCs w:val="24"/>
        </w:rPr>
        <w:t>”</w:t>
      </w:r>
      <w:r w:rsidR="00925974">
        <w:rPr>
          <w:rFonts w:cs="Times New Roman"/>
          <w:szCs w:val="24"/>
        </w:rPr>
        <w:t xml:space="preserve"> </w:t>
      </w:r>
      <w:r w:rsidR="00CD3791">
        <w:rPr>
          <w:rFonts w:cs="Times New Roman"/>
          <w:szCs w:val="24"/>
        </w:rPr>
        <w:t>(</w:t>
      </w:r>
      <w:r w:rsidR="00EF102A">
        <w:rPr>
          <w:rFonts w:cs="Times New Roman"/>
          <w:szCs w:val="24"/>
        </w:rPr>
        <w:t>A VI 4</w:t>
      </w:r>
      <w:r w:rsidR="006572EB">
        <w:rPr>
          <w:rFonts w:cs="Times New Roman"/>
          <w:szCs w:val="24"/>
        </w:rPr>
        <w:t>:</w:t>
      </w:r>
      <w:r w:rsidR="00EF102A">
        <w:rPr>
          <w:rFonts w:cs="Times New Roman"/>
          <w:szCs w:val="24"/>
        </w:rPr>
        <w:t xml:space="preserve"> 1560/</w:t>
      </w:r>
      <w:r w:rsidR="00CD3791">
        <w:rPr>
          <w:rFonts w:cs="Times New Roman"/>
          <w:szCs w:val="24"/>
        </w:rPr>
        <w:t>PPL 316).</w:t>
      </w:r>
      <w:r w:rsidR="001B1BCF">
        <w:rPr>
          <w:rFonts w:cs="Times New Roman"/>
          <w:szCs w:val="24"/>
        </w:rPr>
        <w:t xml:space="preserve"> </w:t>
      </w:r>
      <w:r w:rsidR="0016738F">
        <w:rPr>
          <w:rFonts w:cs="Times New Roman"/>
          <w:szCs w:val="24"/>
        </w:rPr>
        <w:t xml:space="preserve">In §21, Leibniz develops the point to argue that if God’s wisdom is recognizable in </w:t>
      </w:r>
      <w:r w:rsidR="000A6E5B">
        <w:rPr>
          <w:rFonts w:cs="Times New Roman"/>
          <w:szCs w:val="24"/>
        </w:rPr>
        <w:t>“</w:t>
      </w:r>
      <w:r w:rsidR="0016738F">
        <w:rPr>
          <w:rFonts w:cs="Times New Roman"/>
          <w:szCs w:val="24"/>
        </w:rPr>
        <w:t>the mechanical</w:t>
      </w:r>
      <w:r w:rsidR="000A6E5B">
        <w:rPr>
          <w:rFonts w:cs="Times New Roman"/>
          <w:szCs w:val="24"/>
        </w:rPr>
        <w:t xml:space="preserve"> structure of particular bodies”</w:t>
      </w:r>
      <w:r w:rsidR="0016738F">
        <w:rPr>
          <w:rFonts w:cs="Times New Roman"/>
          <w:szCs w:val="24"/>
        </w:rPr>
        <w:t xml:space="preserve">, then it will also be recognizable </w:t>
      </w:r>
      <w:r w:rsidR="000A6E5B">
        <w:rPr>
          <w:rFonts w:cs="Times New Roman"/>
          <w:szCs w:val="24"/>
        </w:rPr>
        <w:t>“</w:t>
      </w:r>
      <w:r w:rsidR="0016738F" w:rsidRPr="0016738F">
        <w:rPr>
          <w:rFonts w:cs="Times New Roman"/>
          <w:szCs w:val="24"/>
        </w:rPr>
        <w:t>in the general economy of the world and in the constitution of the laws of nature</w:t>
      </w:r>
      <w:r w:rsidR="000A6E5B">
        <w:rPr>
          <w:rFonts w:cs="Times New Roman"/>
          <w:szCs w:val="24"/>
        </w:rPr>
        <w:t>”</w:t>
      </w:r>
      <w:r w:rsidR="0016738F" w:rsidRPr="0016738F">
        <w:rPr>
          <w:rFonts w:cs="Times New Roman"/>
          <w:szCs w:val="24"/>
        </w:rPr>
        <w:t xml:space="preserve"> (A VI 4</w:t>
      </w:r>
      <w:r w:rsidR="006572EB">
        <w:rPr>
          <w:rFonts w:cs="Times New Roman"/>
          <w:szCs w:val="24"/>
        </w:rPr>
        <w:t>:</w:t>
      </w:r>
      <w:r w:rsidR="0016738F" w:rsidRPr="0016738F">
        <w:rPr>
          <w:rFonts w:cs="Times New Roman"/>
          <w:szCs w:val="24"/>
        </w:rPr>
        <w:t xml:space="preserve"> 1563/PPL 316-17)</w:t>
      </w:r>
      <w:r w:rsidR="0016738F">
        <w:rPr>
          <w:rFonts w:cs="Times New Roman"/>
          <w:szCs w:val="24"/>
        </w:rPr>
        <w:t>.</w:t>
      </w:r>
      <w:r w:rsidR="00A2467B">
        <w:rPr>
          <w:rFonts w:cs="Times New Roman"/>
          <w:szCs w:val="24"/>
        </w:rPr>
        <w:t xml:space="preserve"> To establish the point, he </w:t>
      </w:r>
      <w:r w:rsidR="004C289D">
        <w:rPr>
          <w:rFonts w:cs="Times New Roman"/>
          <w:szCs w:val="24"/>
        </w:rPr>
        <w:t>points the reader</w:t>
      </w:r>
      <w:r w:rsidR="00A2467B">
        <w:rPr>
          <w:rFonts w:cs="Times New Roman"/>
          <w:szCs w:val="24"/>
        </w:rPr>
        <w:t xml:space="preserve"> to an essay </w:t>
      </w:r>
      <w:r w:rsidR="00EE41E4">
        <w:rPr>
          <w:rFonts w:cs="Times New Roman"/>
          <w:szCs w:val="24"/>
        </w:rPr>
        <w:t xml:space="preserve">on optics </w:t>
      </w:r>
      <w:r w:rsidR="00A2467B">
        <w:rPr>
          <w:rFonts w:cs="Times New Roman"/>
          <w:szCs w:val="24"/>
        </w:rPr>
        <w:t xml:space="preserve">he had published in the </w:t>
      </w:r>
      <w:r w:rsidR="00A2467B">
        <w:rPr>
          <w:rFonts w:cs="Times New Roman"/>
          <w:i/>
          <w:szCs w:val="24"/>
        </w:rPr>
        <w:t>Acta eruditorum</w:t>
      </w:r>
      <w:r w:rsidR="00A2467B">
        <w:rPr>
          <w:rFonts w:cs="Times New Roman"/>
          <w:szCs w:val="24"/>
        </w:rPr>
        <w:t xml:space="preserve"> journal in 1682, i</w:t>
      </w:r>
      <w:r w:rsidR="00384D67">
        <w:rPr>
          <w:rFonts w:cs="Times New Roman"/>
          <w:szCs w:val="24"/>
        </w:rPr>
        <w:t xml:space="preserve">n which </w:t>
      </w:r>
      <w:r w:rsidR="00A2467B">
        <w:rPr>
          <w:rFonts w:cs="Times New Roman"/>
          <w:szCs w:val="24"/>
        </w:rPr>
        <w:t>he</w:t>
      </w:r>
      <w:r w:rsidR="00384D67">
        <w:rPr>
          <w:rFonts w:cs="Times New Roman"/>
          <w:szCs w:val="24"/>
        </w:rPr>
        <w:t xml:space="preserve"> deduce</w:t>
      </w:r>
      <w:r w:rsidR="004C289D">
        <w:rPr>
          <w:rFonts w:cs="Times New Roman"/>
          <w:szCs w:val="24"/>
        </w:rPr>
        <w:t>d</w:t>
      </w:r>
      <w:r w:rsidR="00384D67">
        <w:rPr>
          <w:rFonts w:cs="Times New Roman"/>
          <w:szCs w:val="24"/>
        </w:rPr>
        <w:t xml:space="preserve"> the laws of refraction and reflection from the principle that light always travels by the </w:t>
      </w:r>
      <w:r w:rsidR="00A24A8B">
        <w:rPr>
          <w:rFonts w:cs="Times New Roman"/>
          <w:szCs w:val="24"/>
        </w:rPr>
        <w:t>easiest</w:t>
      </w:r>
      <w:r w:rsidR="005B348B">
        <w:rPr>
          <w:rFonts w:cs="Times New Roman"/>
          <w:szCs w:val="24"/>
        </w:rPr>
        <w:t xml:space="preserve"> path. Leibniz </w:t>
      </w:r>
      <w:r w:rsidR="00A24A8B">
        <w:rPr>
          <w:rFonts w:cs="Times New Roman"/>
          <w:szCs w:val="24"/>
        </w:rPr>
        <w:t xml:space="preserve">took </w:t>
      </w:r>
      <w:r w:rsidR="005B348B">
        <w:rPr>
          <w:rFonts w:cs="Times New Roman"/>
          <w:szCs w:val="24"/>
        </w:rPr>
        <w:t xml:space="preserve">this </w:t>
      </w:r>
      <w:r w:rsidR="00A24A8B">
        <w:rPr>
          <w:rFonts w:cs="Times New Roman"/>
          <w:szCs w:val="24"/>
        </w:rPr>
        <w:t xml:space="preserve">to be a clear example of final causes, </w:t>
      </w:r>
      <w:r w:rsidR="005B348B">
        <w:rPr>
          <w:rFonts w:cs="Times New Roman"/>
          <w:szCs w:val="24"/>
        </w:rPr>
        <w:t xml:space="preserve">with </w:t>
      </w:r>
      <w:r w:rsidR="00A24A8B" w:rsidRPr="00A24A8B">
        <w:rPr>
          <w:rFonts w:cs="Times New Roman"/>
          <w:szCs w:val="24"/>
        </w:rPr>
        <w:t xml:space="preserve">God </w:t>
      </w:r>
      <w:r w:rsidR="005B348B">
        <w:rPr>
          <w:rFonts w:cs="Times New Roman"/>
          <w:szCs w:val="24"/>
        </w:rPr>
        <w:t xml:space="preserve">evidently </w:t>
      </w:r>
      <w:r w:rsidR="00A24A8B" w:rsidRPr="00A24A8B">
        <w:rPr>
          <w:rFonts w:cs="Times New Roman"/>
          <w:szCs w:val="24"/>
        </w:rPr>
        <w:t xml:space="preserve">having </w:t>
      </w:r>
      <w:r w:rsidR="000A6E5B">
        <w:rPr>
          <w:rFonts w:cs="Times New Roman"/>
          <w:szCs w:val="24"/>
        </w:rPr>
        <w:t>“</w:t>
      </w:r>
      <w:r w:rsidR="00A24A8B" w:rsidRPr="00A24A8B">
        <w:rPr>
          <w:rFonts w:cs="Times New Roman"/>
          <w:szCs w:val="24"/>
        </w:rPr>
        <w:t>created light in such a way that from its nature that most beautiful outcome would arise</w:t>
      </w:r>
      <w:r w:rsidR="000A6E5B">
        <w:rPr>
          <w:rFonts w:cs="Times New Roman"/>
          <w:szCs w:val="24"/>
        </w:rPr>
        <w:t>”</w:t>
      </w:r>
      <w:r w:rsidR="003A75CF">
        <w:rPr>
          <w:rFonts w:cs="Times New Roman"/>
          <w:szCs w:val="24"/>
        </w:rPr>
        <w:t xml:space="preserve"> (</w:t>
      </w:r>
      <w:r w:rsidR="006572EB">
        <w:rPr>
          <w:rFonts w:cs="Times New Roman"/>
          <w:szCs w:val="24"/>
        </w:rPr>
        <w:t xml:space="preserve">Leibniz </w:t>
      </w:r>
      <w:r w:rsidR="003A75CF">
        <w:rPr>
          <w:rFonts w:cs="Times New Roman"/>
          <w:szCs w:val="24"/>
        </w:rPr>
        <w:t>1682</w:t>
      </w:r>
      <w:r w:rsidR="006572EB">
        <w:rPr>
          <w:rFonts w:cs="Times New Roman"/>
          <w:szCs w:val="24"/>
        </w:rPr>
        <w:t>:</w:t>
      </w:r>
      <w:r w:rsidR="003A75CF">
        <w:rPr>
          <w:rFonts w:cs="Times New Roman"/>
          <w:szCs w:val="24"/>
        </w:rPr>
        <w:t xml:space="preserve"> 186).</w:t>
      </w:r>
    </w:p>
    <w:p w:rsidR="00384D67" w:rsidRDefault="00384D67" w:rsidP="007327D2">
      <w:pPr>
        <w:spacing w:line="480" w:lineRule="auto"/>
        <w:rPr>
          <w:rFonts w:cs="Times New Roman"/>
          <w:szCs w:val="24"/>
        </w:rPr>
      </w:pPr>
    </w:p>
    <w:p w:rsidR="00CE22D0" w:rsidRPr="00CF54C4" w:rsidRDefault="00AB0504" w:rsidP="007327D2">
      <w:pPr>
        <w:autoSpaceDE w:val="0"/>
        <w:autoSpaceDN w:val="0"/>
        <w:adjustRightInd w:val="0"/>
        <w:spacing w:line="480" w:lineRule="auto"/>
        <w:rPr>
          <w:b/>
        </w:rPr>
      </w:pPr>
      <w:r>
        <w:rPr>
          <w:b/>
        </w:rPr>
        <w:t xml:space="preserve">4. </w:t>
      </w:r>
      <w:r w:rsidR="00CF54C4" w:rsidRPr="00CF54C4">
        <w:rPr>
          <w:b/>
        </w:rPr>
        <w:t>The relationship between God and minds (</w:t>
      </w:r>
      <w:r w:rsidR="00CF54C4" w:rsidRPr="00CF54C4">
        <w:rPr>
          <w:rFonts w:cs="Times New Roman"/>
          <w:b/>
        </w:rPr>
        <w:t>§§</w:t>
      </w:r>
      <w:r w:rsidR="009D2E85">
        <w:rPr>
          <w:rFonts w:cs="Times New Roman"/>
          <w:b/>
        </w:rPr>
        <w:t>2</w:t>
      </w:r>
      <w:r w:rsidR="00CF54C4" w:rsidRPr="00CF54C4">
        <w:rPr>
          <w:b/>
        </w:rPr>
        <w:t>3-37)</w:t>
      </w:r>
    </w:p>
    <w:p w:rsidR="003F7032" w:rsidRPr="006572EB" w:rsidRDefault="009D2E85" w:rsidP="006572EB">
      <w:pPr>
        <w:spacing w:line="480" w:lineRule="auto"/>
      </w:pPr>
      <w:r>
        <w:rPr>
          <w:rFonts w:cs="Times New Roman"/>
          <w:szCs w:val="24"/>
        </w:rPr>
        <w:t xml:space="preserve">From physics, Leibniz turns to the topic of minds, </w:t>
      </w:r>
      <w:r w:rsidR="00FD330A">
        <w:rPr>
          <w:rFonts w:cs="Times New Roman"/>
          <w:szCs w:val="24"/>
        </w:rPr>
        <w:t xml:space="preserve">which </w:t>
      </w:r>
      <w:r>
        <w:rPr>
          <w:rFonts w:cs="Times New Roman"/>
          <w:szCs w:val="24"/>
        </w:rPr>
        <w:t>remains his</w:t>
      </w:r>
      <w:r w:rsidR="00FD330A">
        <w:rPr>
          <w:rFonts w:cs="Times New Roman"/>
          <w:szCs w:val="24"/>
        </w:rPr>
        <w:t xml:space="preserve"> focus </w:t>
      </w:r>
      <w:r>
        <w:rPr>
          <w:rFonts w:cs="Times New Roman"/>
          <w:szCs w:val="24"/>
        </w:rPr>
        <w:t>for</w:t>
      </w:r>
      <w:r w:rsidR="00FD330A">
        <w:rPr>
          <w:rFonts w:cs="Times New Roman"/>
          <w:szCs w:val="24"/>
        </w:rPr>
        <w:t xml:space="preserve"> the </w:t>
      </w:r>
      <w:r w:rsidR="001B1BCF">
        <w:rPr>
          <w:rFonts w:cs="Times New Roman"/>
          <w:szCs w:val="24"/>
        </w:rPr>
        <w:t>rest</w:t>
      </w:r>
      <w:r w:rsidR="00FD330A">
        <w:rPr>
          <w:rFonts w:cs="Times New Roman"/>
          <w:szCs w:val="24"/>
        </w:rPr>
        <w:t xml:space="preserve"> of the </w:t>
      </w:r>
      <w:r w:rsidR="00FD330A">
        <w:rPr>
          <w:rFonts w:cs="Times New Roman"/>
          <w:i/>
          <w:szCs w:val="24"/>
        </w:rPr>
        <w:t>Discourse</w:t>
      </w:r>
      <w:r w:rsidR="00FD330A">
        <w:rPr>
          <w:rFonts w:cs="Times New Roman"/>
          <w:szCs w:val="24"/>
        </w:rPr>
        <w:t xml:space="preserve">. </w:t>
      </w:r>
      <w:r w:rsidR="003F7032">
        <w:rPr>
          <w:rFonts w:cs="Times New Roman"/>
          <w:szCs w:val="24"/>
        </w:rPr>
        <w:t>In so doing, he picks up a number of threads left hanging from earlier in the text, namely those concerned with God’s action on minds and the</w:t>
      </w:r>
      <w:r w:rsidR="004133D6">
        <w:rPr>
          <w:rFonts w:cs="Times New Roman"/>
          <w:szCs w:val="24"/>
        </w:rPr>
        <w:t xml:space="preserve"> relationship between God and minds</w:t>
      </w:r>
      <w:r w:rsidR="003F7032">
        <w:rPr>
          <w:rFonts w:cs="Times New Roman"/>
          <w:szCs w:val="24"/>
        </w:rPr>
        <w:t xml:space="preserve">, </w:t>
      </w:r>
      <w:r w:rsidR="00181F97">
        <w:rPr>
          <w:rFonts w:cs="Times New Roman"/>
          <w:szCs w:val="24"/>
        </w:rPr>
        <w:t xml:space="preserve">and by developing his </w:t>
      </w:r>
      <w:r w:rsidR="003F7032">
        <w:rPr>
          <w:rFonts w:cs="Times New Roman"/>
          <w:szCs w:val="24"/>
        </w:rPr>
        <w:t>though</w:t>
      </w:r>
      <w:r w:rsidR="00181F97">
        <w:rPr>
          <w:rFonts w:cs="Times New Roman"/>
          <w:szCs w:val="24"/>
        </w:rPr>
        <w:t>ts on the latter he seeks to establish</w:t>
      </w:r>
      <w:r w:rsidR="003F7032">
        <w:rPr>
          <w:rFonts w:cs="Times New Roman"/>
          <w:szCs w:val="24"/>
        </w:rPr>
        <w:t xml:space="preserve"> in the final sections of the </w:t>
      </w:r>
      <w:r w:rsidR="00540825">
        <w:rPr>
          <w:rFonts w:cs="Times New Roman"/>
          <w:szCs w:val="24"/>
        </w:rPr>
        <w:t>“</w:t>
      </w:r>
      <w:r w:rsidR="003F7032" w:rsidRPr="00540825">
        <w:rPr>
          <w:rFonts w:cs="Times New Roman"/>
          <w:szCs w:val="24"/>
        </w:rPr>
        <w:t>Discourse</w:t>
      </w:r>
      <w:r w:rsidR="00540825">
        <w:rPr>
          <w:rFonts w:cs="Times New Roman"/>
          <w:szCs w:val="24"/>
        </w:rPr>
        <w:t>”</w:t>
      </w:r>
      <w:r w:rsidR="003F7032">
        <w:rPr>
          <w:rFonts w:cs="Times New Roman"/>
          <w:szCs w:val="24"/>
        </w:rPr>
        <w:t xml:space="preserve"> </w:t>
      </w:r>
      <w:r w:rsidR="00D55C76">
        <w:rPr>
          <w:rFonts w:cs="Times New Roman"/>
          <w:szCs w:val="24"/>
        </w:rPr>
        <w:t xml:space="preserve">the </w:t>
      </w:r>
      <w:r w:rsidR="00C63B6A">
        <w:rPr>
          <w:rFonts w:cs="Times New Roman"/>
          <w:szCs w:val="24"/>
        </w:rPr>
        <w:t xml:space="preserve">exalted </w:t>
      </w:r>
      <w:r w:rsidR="00D55C76">
        <w:rPr>
          <w:rFonts w:cs="Times New Roman"/>
          <w:szCs w:val="24"/>
        </w:rPr>
        <w:t>place of minds in creation</w:t>
      </w:r>
      <w:r w:rsidR="00181F97">
        <w:rPr>
          <w:rFonts w:cs="Times New Roman"/>
          <w:szCs w:val="24"/>
        </w:rPr>
        <w:t>.</w:t>
      </w:r>
      <w:r w:rsidR="00E30889">
        <w:rPr>
          <w:rFonts w:cs="Times New Roman"/>
          <w:szCs w:val="24"/>
        </w:rPr>
        <w:t xml:space="preserve"> </w:t>
      </w:r>
      <w:r w:rsidR="004133D6">
        <w:rPr>
          <w:rFonts w:cs="Times New Roman"/>
          <w:szCs w:val="24"/>
        </w:rPr>
        <w:t xml:space="preserve">We already </w:t>
      </w:r>
      <w:r w:rsidR="009004BE">
        <w:rPr>
          <w:rFonts w:cs="Times New Roman"/>
          <w:szCs w:val="24"/>
        </w:rPr>
        <w:t xml:space="preserve">know from </w:t>
      </w:r>
      <w:r w:rsidR="001B1BCF">
        <w:rPr>
          <w:rFonts w:cs="Times New Roman"/>
          <w:szCs w:val="24"/>
        </w:rPr>
        <w:t xml:space="preserve">§14 </w:t>
      </w:r>
      <w:r w:rsidR="004133D6">
        <w:rPr>
          <w:rFonts w:cs="Times New Roman"/>
          <w:szCs w:val="24"/>
        </w:rPr>
        <w:t>that God conserves all substances</w:t>
      </w:r>
      <w:r w:rsidR="006572EB">
        <w:rPr>
          <w:rFonts w:cs="Times New Roman"/>
          <w:szCs w:val="24"/>
        </w:rPr>
        <w:t xml:space="preserve"> in existence but that</w:t>
      </w:r>
      <w:r w:rsidR="006572EB" w:rsidRPr="00C10554">
        <w:rPr>
          <w:u w:color="000000"/>
        </w:rPr>
        <w:t>—</w:t>
      </w:r>
      <w:r w:rsidR="00865FE8">
        <w:rPr>
          <w:rFonts w:cs="Times New Roman"/>
          <w:szCs w:val="24"/>
        </w:rPr>
        <w:t xml:space="preserve">except in cases of </w:t>
      </w:r>
      <w:r w:rsidR="006572EB">
        <w:rPr>
          <w:rFonts w:cs="Times New Roman"/>
          <w:szCs w:val="24"/>
        </w:rPr>
        <w:t>miracles</w:t>
      </w:r>
      <w:r w:rsidR="006572EB" w:rsidRPr="00C10554">
        <w:rPr>
          <w:u w:color="000000"/>
        </w:rPr>
        <w:t>—</w:t>
      </w:r>
      <w:r w:rsidR="009036BB">
        <w:rPr>
          <w:rFonts w:cs="Times New Roman"/>
          <w:szCs w:val="24"/>
        </w:rPr>
        <w:t xml:space="preserve">he does not act upon them, with each substance instead causing its own states. </w:t>
      </w:r>
      <w:r w:rsidR="009004BE">
        <w:rPr>
          <w:rFonts w:cs="Times New Roman"/>
          <w:szCs w:val="24"/>
        </w:rPr>
        <w:t>While Leibniz does not amend this account, he does seek to finesse it, this time in response to one of Malebranche’s most famous doctrines, that we see all things in God.</w:t>
      </w:r>
    </w:p>
    <w:p w:rsidR="006E3374" w:rsidRDefault="00275F44" w:rsidP="006572EB">
      <w:pPr>
        <w:autoSpaceDE w:val="0"/>
        <w:autoSpaceDN w:val="0"/>
        <w:adjustRightInd w:val="0"/>
        <w:spacing w:line="480" w:lineRule="auto"/>
        <w:rPr>
          <w:rFonts w:cs="Times New Roman"/>
          <w:szCs w:val="24"/>
        </w:rPr>
      </w:pPr>
      <w:r>
        <w:rPr>
          <w:rFonts w:cs="Times New Roman"/>
          <w:szCs w:val="24"/>
        </w:rPr>
        <w:tab/>
      </w:r>
      <w:r w:rsidRPr="00275F44">
        <w:rPr>
          <w:rFonts w:cs="Times New Roman"/>
          <w:szCs w:val="24"/>
        </w:rPr>
        <w:t xml:space="preserve">Taking inspiration </w:t>
      </w:r>
      <w:r w:rsidR="008064AC">
        <w:rPr>
          <w:rFonts w:cs="Times New Roman"/>
          <w:szCs w:val="24"/>
        </w:rPr>
        <w:t>both from</w:t>
      </w:r>
      <w:r w:rsidRPr="00275F44">
        <w:rPr>
          <w:rFonts w:cs="Times New Roman"/>
          <w:szCs w:val="24"/>
        </w:rPr>
        <w:t xml:space="preserve"> John 1.9</w:t>
      </w:r>
      <w:r w:rsidR="008064AC">
        <w:rPr>
          <w:rFonts w:cs="Times New Roman"/>
          <w:szCs w:val="24"/>
        </w:rPr>
        <w:t>, which states</w:t>
      </w:r>
      <w:r w:rsidRPr="00275F44">
        <w:rPr>
          <w:rFonts w:cs="Times New Roman"/>
          <w:szCs w:val="24"/>
        </w:rPr>
        <w:t xml:space="preserve"> that God gives light to everyone, </w:t>
      </w:r>
      <w:r w:rsidR="008064AC">
        <w:rPr>
          <w:rFonts w:cs="Times New Roman"/>
          <w:szCs w:val="24"/>
        </w:rPr>
        <w:t>and Augustine,</w:t>
      </w:r>
      <w:r w:rsidR="00540825">
        <w:rPr>
          <w:rStyle w:val="FootnoteReference"/>
          <w:rFonts w:cs="Times New Roman"/>
          <w:szCs w:val="24"/>
        </w:rPr>
        <w:footnoteReference w:id="50"/>
      </w:r>
      <w:r w:rsidR="008064AC">
        <w:rPr>
          <w:rFonts w:cs="Times New Roman"/>
          <w:szCs w:val="24"/>
        </w:rPr>
        <w:t xml:space="preserve"> who held that the human mind had to be illuminated by the divine,</w:t>
      </w:r>
      <w:r w:rsidR="008064AC" w:rsidRPr="008064AC">
        <w:rPr>
          <w:rFonts w:cs="Times New Roman"/>
          <w:szCs w:val="24"/>
        </w:rPr>
        <w:t xml:space="preserve"> </w:t>
      </w:r>
      <w:r w:rsidRPr="00275F44">
        <w:rPr>
          <w:rFonts w:cs="Times New Roman"/>
          <w:szCs w:val="24"/>
        </w:rPr>
        <w:t>Malebranche held that God is the only true light of our minds and that, accordingly, our perception of physical objects is mediated not via the physical objects themselves but by</w:t>
      </w:r>
      <w:r w:rsidR="008F13E9">
        <w:rPr>
          <w:rFonts w:cs="Times New Roman"/>
          <w:szCs w:val="24"/>
        </w:rPr>
        <w:t xml:space="preserve"> God</w:t>
      </w:r>
      <w:r w:rsidRPr="00275F44">
        <w:rPr>
          <w:rFonts w:cs="Times New Roman"/>
          <w:szCs w:val="24"/>
        </w:rPr>
        <w:t>.</w:t>
      </w:r>
      <w:r w:rsidR="008F13E9">
        <w:rPr>
          <w:rFonts w:cs="Times New Roman"/>
          <w:szCs w:val="24"/>
        </w:rPr>
        <w:t xml:space="preserve"> In perceiving a body, Malebranche holds that </w:t>
      </w:r>
      <w:r w:rsidR="00D97B47">
        <w:rPr>
          <w:rFonts w:cs="Times New Roman"/>
          <w:szCs w:val="24"/>
        </w:rPr>
        <w:t xml:space="preserve">what happens is this: </w:t>
      </w:r>
      <w:r w:rsidR="008F13E9">
        <w:rPr>
          <w:rFonts w:cs="Times New Roman"/>
          <w:szCs w:val="24"/>
        </w:rPr>
        <w:t xml:space="preserve">the ideas (in the sense of </w:t>
      </w:r>
      <w:r w:rsidR="00ED4BF8">
        <w:rPr>
          <w:rFonts w:cs="Times New Roman"/>
          <w:szCs w:val="24"/>
        </w:rPr>
        <w:t xml:space="preserve">abstract </w:t>
      </w:r>
      <w:r w:rsidR="008F13E9">
        <w:rPr>
          <w:rFonts w:cs="Times New Roman"/>
          <w:szCs w:val="24"/>
        </w:rPr>
        <w:t xml:space="preserve">concepts) of </w:t>
      </w:r>
      <w:r w:rsidR="00D97B47">
        <w:rPr>
          <w:rFonts w:cs="Times New Roman"/>
          <w:szCs w:val="24"/>
        </w:rPr>
        <w:t>the body’s primary qualities, being themselves immutable and necessary, exist in the immutable and necessary mind of God</w:t>
      </w:r>
      <w:r w:rsidR="008F13E9">
        <w:rPr>
          <w:rFonts w:cs="Times New Roman"/>
          <w:szCs w:val="24"/>
        </w:rPr>
        <w:t xml:space="preserve">, with which we unite in order to </w:t>
      </w:r>
      <w:r w:rsidR="00D97B47">
        <w:rPr>
          <w:rFonts w:cs="Times New Roman"/>
          <w:szCs w:val="24"/>
        </w:rPr>
        <w:t xml:space="preserve">share the ideas and thus perceive the body. </w:t>
      </w:r>
      <w:r w:rsidR="00410B65">
        <w:rPr>
          <w:rFonts w:cs="Times New Roman"/>
          <w:szCs w:val="24"/>
        </w:rPr>
        <w:t xml:space="preserve">To this, </w:t>
      </w:r>
      <w:r w:rsidR="00210519">
        <w:rPr>
          <w:rFonts w:cs="Times New Roman"/>
          <w:szCs w:val="24"/>
        </w:rPr>
        <w:t xml:space="preserve">in §28 </w:t>
      </w:r>
      <w:r w:rsidR="00F37D5C">
        <w:rPr>
          <w:rFonts w:cs="Times New Roman"/>
          <w:szCs w:val="24"/>
        </w:rPr>
        <w:t>Leibniz</w:t>
      </w:r>
      <w:r w:rsidR="00A629B9">
        <w:rPr>
          <w:rFonts w:cs="Times New Roman"/>
          <w:szCs w:val="24"/>
        </w:rPr>
        <w:t xml:space="preserve"> </w:t>
      </w:r>
      <w:r w:rsidR="00410B65">
        <w:rPr>
          <w:rFonts w:cs="Times New Roman"/>
          <w:szCs w:val="24"/>
        </w:rPr>
        <w:t xml:space="preserve">offers what he takes to be a more correct </w:t>
      </w:r>
      <w:r w:rsidR="001B1BCF">
        <w:rPr>
          <w:rFonts w:cs="Times New Roman"/>
          <w:szCs w:val="24"/>
        </w:rPr>
        <w:t>account</w:t>
      </w:r>
      <w:r w:rsidR="00410B65">
        <w:rPr>
          <w:rFonts w:cs="Times New Roman"/>
          <w:szCs w:val="24"/>
        </w:rPr>
        <w:t xml:space="preserve">. He holds that there is a sense in which </w:t>
      </w:r>
      <w:r w:rsidR="000A6E5B">
        <w:rPr>
          <w:rFonts w:cs="Times New Roman"/>
          <w:szCs w:val="24"/>
        </w:rPr>
        <w:t>“</w:t>
      </w:r>
      <w:r w:rsidR="00410B65" w:rsidRPr="006E3468">
        <w:rPr>
          <w:rFonts w:cs="Times New Roman"/>
          <w:szCs w:val="24"/>
        </w:rPr>
        <w:t>it can be said that God alone is our immediate object outside of us and that we see all things through him</w:t>
      </w:r>
      <w:r w:rsidR="000A6E5B">
        <w:rPr>
          <w:rFonts w:cs="Times New Roman"/>
          <w:szCs w:val="24"/>
        </w:rPr>
        <w:t>”</w:t>
      </w:r>
      <w:r w:rsidR="00410B65" w:rsidRPr="006E3468">
        <w:rPr>
          <w:rFonts w:cs="Times New Roman"/>
          <w:szCs w:val="24"/>
        </w:rPr>
        <w:t xml:space="preserve"> (</w:t>
      </w:r>
      <w:r w:rsidR="00410B65">
        <w:rPr>
          <w:rFonts w:cs="Times New Roman"/>
          <w:szCs w:val="24"/>
        </w:rPr>
        <w:t>A VI 4</w:t>
      </w:r>
      <w:r w:rsidR="006572EB">
        <w:rPr>
          <w:rFonts w:cs="Times New Roman"/>
          <w:szCs w:val="24"/>
        </w:rPr>
        <w:t>:</w:t>
      </w:r>
      <w:r w:rsidR="00410B65">
        <w:rPr>
          <w:rFonts w:cs="Times New Roman"/>
          <w:szCs w:val="24"/>
        </w:rPr>
        <w:t xml:space="preserve"> 1573/</w:t>
      </w:r>
      <w:r w:rsidR="00410B65" w:rsidRPr="006E3468">
        <w:rPr>
          <w:rFonts w:cs="Times New Roman"/>
          <w:szCs w:val="24"/>
        </w:rPr>
        <w:t>PPL 321)</w:t>
      </w:r>
      <w:r w:rsidR="00410B65">
        <w:rPr>
          <w:rFonts w:cs="Times New Roman"/>
          <w:szCs w:val="24"/>
        </w:rPr>
        <w:t xml:space="preserve"> in that, although no created thing can act on us, </w:t>
      </w:r>
      <w:r w:rsidR="00410B65" w:rsidRPr="006E3468">
        <w:rPr>
          <w:rFonts w:cs="Times New Roman"/>
          <w:szCs w:val="24"/>
        </w:rPr>
        <w:t xml:space="preserve">we </w:t>
      </w:r>
      <w:r w:rsidR="00410B65">
        <w:rPr>
          <w:rFonts w:cs="Times New Roman"/>
          <w:szCs w:val="24"/>
        </w:rPr>
        <w:t xml:space="preserve">nevertheless </w:t>
      </w:r>
      <w:r w:rsidR="00410B65" w:rsidRPr="006E3468">
        <w:rPr>
          <w:rFonts w:cs="Times New Roman"/>
          <w:szCs w:val="24"/>
        </w:rPr>
        <w:t>express the created world because we express God, who contains within himself the ideas of all actual and possible beings</w:t>
      </w:r>
      <w:r w:rsidR="00410B65">
        <w:rPr>
          <w:rFonts w:cs="Times New Roman"/>
          <w:szCs w:val="24"/>
        </w:rPr>
        <w:t>.</w:t>
      </w:r>
      <w:r w:rsidR="00713C81">
        <w:rPr>
          <w:rFonts w:cs="Times New Roman"/>
          <w:szCs w:val="24"/>
        </w:rPr>
        <w:t xml:space="preserve"> Of course we are not always thinking of all these things, but since we are always expressing them it is true to say </w:t>
      </w:r>
      <w:r w:rsidR="006E3468" w:rsidRPr="006E3468">
        <w:rPr>
          <w:rFonts w:cs="Times New Roman"/>
          <w:szCs w:val="24"/>
        </w:rPr>
        <w:t xml:space="preserve">that </w:t>
      </w:r>
      <w:r w:rsidR="000A6E5B">
        <w:rPr>
          <w:rFonts w:cs="Times New Roman"/>
          <w:szCs w:val="24"/>
        </w:rPr>
        <w:t>“</w:t>
      </w:r>
      <w:r w:rsidR="006E3468" w:rsidRPr="006E3468">
        <w:rPr>
          <w:rFonts w:cs="Times New Roman"/>
          <w:szCs w:val="24"/>
        </w:rPr>
        <w:t>we have in our soul the ideas of all things</w:t>
      </w:r>
      <w:r w:rsidR="000A6E5B">
        <w:rPr>
          <w:rFonts w:cs="Times New Roman"/>
          <w:szCs w:val="24"/>
        </w:rPr>
        <w:t>”</w:t>
      </w:r>
      <w:r w:rsidR="006E3468" w:rsidRPr="006E3468">
        <w:rPr>
          <w:rFonts w:cs="Times New Roman"/>
          <w:szCs w:val="24"/>
        </w:rPr>
        <w:t xml:space="preserve"> (</w:t>
      </w:r>
      <w:r w:rsidR="006572EB">
        <w:rPr>
          <w:rFonts w:cs="Times New Roman"/>
          <w:szCs w:val="24"/>
        </w:rPr>
        <w:t>ibid.</w:t>
      </w:r>
      <w:r w:rsidR="006E3468" w:rsidRPr="006E3468">
        <w:rPr>
          <w:rFonts w:cs="Times New Roman"/>
          <w:szCs w:val="24"/>
        </w:rPr>
        <w:t xml:space="preserve">). </w:t>
      </w:r>
      <w:r w:rsidR="00AF1D4F">
        <w:rPr>
          <w:rFonts w:cs="Times New Roman"/>
          <w:szCs w:val="24"/>
        </w:rPr>
        <w:t xml:space="preserve">Here it should be noted that Leibniz offers a different understanding of </w:t>
      </w:r>
      <w:r w:rsidR="000A6E5B">
        <w:rPr>
          <w:rFonts w:cs="Times New Roman"/>
          <w:szCs w:val="24"/>
        </w:rPr>
        <w:t>“ideas”</w:t>
      </w:r>
      <w:r w:rsidR="00AF1D4F">
        <w:rPr>
          <w:rFonts w:cs="Times New Roman"/>
          <w:szCs w:val="24"/>
        </w:rPr>
        <w:t xml:space="preserve"> from Malebranche, </w:t>
      </w:r>
      <w:r w:rsidR="00210519">
        <w:rPr>
          <w:rFonts w:cs="Times New Roman"/>
          <w:szCs w:val="24"/>
        </w:rPr>
        <w:t>characterizing</w:t>
      </w:r>
      <w:r w:rsidR="00AF1D4F">
        <w:rPr>
          <w:rFonts w:cs="Times New Roman"/>
          <w:szCs w:val="24"/>
        </w:rPr>
        <w:t xml:space="preserve"> them </w:t>
      </w:r>
      <w:r w:rsidR="00210519">
        <w:rPr>
          <w:rFonts w:cs="Times New Roman"/>
          <w:szCs w:val="24"/>
        </w:rPr>
        <w:t>in §26 as</w:t>
      </w:r>
      <w:r w:rsidR="00AF1D4F">
        <w:rPr>
          <w:rFonts w:cs="Times New Roman"/>
          <w:szCs w:val="24"/>
        </w:rPr>
        <w:t xml:space="preserve"> dispositions to think of and express particular things rather than </w:t>
      </w:r>
      <w:r w:rsidR="00B203E4">
        <w:rPr>
          <w:rFonts w:cs="Times New Roman"/>
          <w:szCs w:val="24"/>
        </w:rPr>
        <w:t xml:space="preserve">as </w:t>
      </w:r>
      <w:r w:rsidR="00AF1D4F">
        <w:rPr>
          <w:rFonts w:cs="Times New Roman"/>
          <w:szCs w:val="24"/>
        </w:rPr>
        <w:t xml:space="preserve">abstract concepts </w:t>
      </w:r>
      <w:r w:rsidR="006572EB">
        <w:rPr>
          <w:rFonts w:cs="Times New Roman"/>
          <w:szCs w:val="24"/>
        </w:rPr>
        <w:t xml:space="preserve">(A VI 4: </w:t>
      </w:r>
      <w:r w:rsidR="00AF1D4F" w:rsidRPr="00806310">
        <w:rPr>
          <w:rFonts w:cs="Times New Roman"/>
          <w:szCs w:val="24"/>
        </w:rPr>
        <w:t>1570/PPL 320)</w:t>
      </w:r>
      <w:r w:rsidR="00AF1D4F">
        <w:rPr>
          <w:rFonts w:cs="Times New Roman"/>
          <w:szCs w:val="24"/>
        </w:rPr>
        <w:t xml:space="preserve">. </w:t>
      </w:r>
      <w:r w:rsidR="00713C81">
        <w:rPr>
          <w:rFonts w:cs="Times New Roman"/>
          <w:szCs w:val="24"/>
        </w:rPr>
        <w:t xml:space="preserve">For </w:t>
      </w:r>
      <w:r w:rsidR="00AF1D4F">
        <w:rPr>
          <w:rFonts w:cs="Times New Roman"/>
          <w:szCs w:val="24"/>
        </w:rPr>
        <w:t>these dispositions or ideas</w:t>
      </w:r>
      <w:r w:rsidR="00713C81">
        <w:rPr>
          <w:rFonts w:cs="Times New Roman"/>
          <w:szCs w:val="24"/>
        </w:rPr>
        <w:t xml:space="preserve"> we have God to thank, for </w:t>
      </w:r>
      <w:r w:rsidR="006E3468">
        <w:rPr>
          <w:rFonts w:cs="Times New Roman"/>
          <w:szCs w:val="24"/>
        </w:rPr>
        <w:t>God</w:t>
      </w:r>
      <w:r w:rsidR="00713C81">
        <w:rPr>
          <w:rFonts w:cs="Times New Roman"/>
          <w:szCs w:val="24"/>
        </w:rPr>
        <w:t xml:space="preserve"> gave</w:t>
      </w:r>
      <w:r w:rsidR="00AF1D4F">
        <w:rPr>
          <w:rFonts w:cs="Times New Roman"/>
          <w:szCs w:val="24"/>
        </w:rPr>
        <w:t xml:space="preserve"> them to</w:t>
      </w:r>
      <w:r w:rsidR="00713C81">
        <w:rPr>
          <w:rFonts w:cs="Times New Roman"/>
          <w:szCs w:val="24"/>
        </w:rPr>
        <w:t xml:space="preserve"> us </w:t>
      </w:r>
      <w:r w:rsidR="006E3468" w:rsidRPr="006E3468">
        <w:rPr>
          <w:rFonts w:cs="Times New Roman"/>
          <w:szCs w:val="24"/>
        </w:rPr>
        <w:t xml:space="preserve">at creation and </w:t>
      </w:r>
      <w:r w:rsidR="00713C81">
        <w:rPr>
          <w:rFonts w:cs="Times New Roman"/>
          <w:szCs w:val="24"/>
        </w:rPr>
        <w:t xml:space="preserve">he </w:t>
      </w:r>
      <w:r w:rsidR="006E3468" w:rsidRPr="006E3468">
        <w:rPr>
          <w:rFonts w:cs="Times New Roman"/>
          <w:szCs w:val="24"/>
        </w:rPr>
        <w:t xml:space="preserve">conserves them in us when he conserves us; moreover, by virtue of conserving us he also determines us to think of </w:t>
      </w:r>
      <w:r w:rsidR="00AF1D4F">
        <w:rPr>
          <w:rFonts w:cs="Times New Roman"/>
          <w:szCs w:val="24"/>
        </w:rPr>
        <w:t>thin</w:t>
      </w:r>
      <w:r w:rsidR="001B1BCF">
        <w:rPr>
          <w:rFonts w:cs="Times New Roman"/>
          <w:szCs w:val="24"/>
        </w:rPr>
        <w:t>g</w:t>
      </w:r>
      <w:r w:rsidR="00AF1D4F">
        <w:rPr>
          <w:rFonts w:cs="Times New Roman"/>
          <w:szCs w:val="24"/>
        </w:rPr>
        <w:t>s</w:t>
      </w:r>
      <w:r w:rsidR="006E3468" w:rsidRPr="006E3468">
        <w:rPr>
          <w:rFonts w:cs="Times New Roman"/>
          <w:szCs w:val="24"/>
        </w:rPr>
        <w:t xml:space="preserve"> at the very moment our bodily senses </w:t>
      </w:r>
      <w:r w:rsidR="00713C81">
        <w:rPr>
          <w:rFonts w:cs="Times New Roman"/>
          <w:szCs w:val="24"/>
        </w:rPr>
        <w:t>are appropriately disposed</w:t>
      </w:r>
      <w:r w:rsidR="006E3468" w:rsidRPr="006E3468">
        <w:rPr>
          <w:rFonts w:cs="Times New Roman"/>
          <w:szCs w:val="24"/>
        </w:rPr>
        <w:t xml:space="preserve">, </w:t>
      </w:r>
      <w:r w:rsidR="00713C81">
        <w:rPr>
          <w:rFonts w:cs="Times New Roman"/>
          <w:szCs w:val="24"/>
        </w:rPr>
        <w:t>such that we think of the Sun when our eyes are looking at the Sun</w:t>
      </w:r>
      <w:r w:rsidR="000E1294">
        <w:rPr>
          <w:rFonts w:cs="Times New Roman"/>
          <w:szCs w:val="24"/>
        </w:rPr>
        <w:t>, for example</w:t>
      </w:r>
      <w:r w:rsidR="00713C81">
        <w:rPr>
          <w:rFonts w:cs="Times New Roman"/>
          <w:szCs w:val="24"/>
        </w:rPr>
        <w:t>. But Leibniz is adamant</w:t>
      </w:r>
      <w:r w:rsidR="000E1294">
        <w:rPr>
          <w:rFonts w:cs="Times New Roman"/>
          <w:szCs w:val="24"/>
        </w:rPr>
        <w:t xml:space="preserve"> that this does not require any direct action of God upon us beyond that of creation and conservation. The ideas we have are genuinely in us and </w:t>
      </w:r>
      <w:r w:rsidR="00AF1D4F">
        <w:rPr>
          <w:rFonts w:cs="Times New Roman"/>
          <w:szCs w:val="24"/>
        </w:rPr>
        <w:t xml:space="preserve">the </w:t>
      </w:r>
      <w:r w:rsidR="001B1BCF">
        <w:rPr>
          <w:rFonts w:cs="Times New Roman"/>
          <w:szCs w:val="24"/>
        </w:rPr>
        <w:t>perceptions</w:t>
      </w:r>
      <w:r w:rsidR="00AF1D4F">
        <w:rPr>
          <w:rFonts w:cs="Times New Roman"/>
          <w:szCs w:val="24"/>
        </w:rPr>
        <w:t xml:space="preserve"> we have are </w:t>
      </w:r>
      <w:r w:rsidR="000E1294">
        <w:rPr>
          <w:rFonts w:cs="Times New Roman"/>
          <w:szCs w:val="24"/>
        </w:rPr>
        <w:t xml:space="preserve">produced by us, and therefore there is no need for us to perceive </w:t>
      </w:r>
      <w:r w:rsidR="00AF1D4F">
        <w:rPr>
          <w:rFonts w:cs="Times New Roman"/>
          <w:szCs w:val="24"/>
        </w:rPr>
        <w:t>anything</w:t>
      </w:r>
      <w:r w:rsidR="000E1294">
        <w:rPr>
          <w:rFonts w:cs="Times New Roman"/>
          <w:szCs w:val="24"/>
        </w:rPr>
        <w:t xml:space="preserve"> via God in the sense Malebranche thought.</w:t>
      </w:r>
    </w:p>
    <w:p w:rsidR="00AF1D4F" w:rsidRDefault="000E1294" w:rsidP="006572EB">
      <w:pPr>
        <w:autoSpaceDE w:val="0"/>
        <w:autoSpaceDN w:val="0"/>
        <w:adjustRightInd w:val="0"/>
        <w:spacing w:line="480" w:lineRule="auto"/>
        <w:rPr>
          <w:rFonts w:cs="Times New Roman"/>
          <w:szCs w:val="24"/>
        </w:rPr>
      </w:pPr>
      <w:r>
        <w:rPr>
          <w:rFonts w:cs="Times New Roman"/>
          <w:szCs w:val="24"/>
        </w:rPr>
        <w:tab/>
        <w:t xml:space="preserve">In </w:t>
      </w:r>
      <w:r w:rsidR="009036BB">
        <w:rPr>
          <w:rFonts w:cs="Times New Roman"/>
          <w:szCs w:val="24"/>
        </w:rPr>
        <w:t xml:space="preserve">§30 Leibniz </w:t>
      </w:r>
      <w:r>
        <w:rPr>
          <w:rFonts w:cs="Times New Roman"/>
          <w:szCs w:val="24"/>
        </w:rPr>
        <w:t xml:space="preserve">turns to the </w:t>
      </w:r>
      <w:r w:rsidR="00AF1D4F">
        <w:rPr>
          <w:rFonts w:cs="Times New Roman"/>
          <w:szCs w:val="24"/>
        </w:rPr>
        <w:t>topic</w:t>
      </w:r>
      <w:r>
        <w:rPr>
          <w:rFonts w:cs="Times New Roman"/>
          <w:szCs w:val="24"/>
        </w:rPr>
        <w:t xml:space="preserve"> of God’s action </w:t>
      </w:r>
      <w:r w:rsidR="00AF1D4F">
        <w:rPr>
          <w:rFonts w:cs="Times New Roman"/>
          <w:szCs w:val="24"/>
        </w:rPr>
        <w:t>up</w:t>
      </w:r>
      <w:r>
        <w:rPr>
          <w:rFonts w:cs="Times New Roman"/>
          <w:szCs w:val="24"/>
        </w:rPr>
        <w:t>on our wills</w:t>
      </w:r>
      <w:r w:rsidR="00AF1D4F">
        <w:rPr>
          <w:rFonts w:cs="Times New Roman"/>
          <w:szCs w:val="24"/>
        </w:rPr>
        <w:t>. Although he declines to go deeply into the topic, he does identify</w:t>
      </w:r>
      <w:r w:rsidR="009036BB">
        <w:rPr>
          <w:rFonts w:cs="Times New Roman"/>
          <w:szCs w:val="24"/>
        </w:rPr>
        <w:t xml:space="preserve"> a way in which God can be said to have </w:t>
      </w:r>
      <w:r w:rsidR="000A6E5B">
        <w:rPr>
          <w:rFonts w:cs="Times New Roman"/>
          <w:szCs w:val="24"/>
        </w:rPr>
        <w:t>“inclined”</w:t>
      </w:r>
      <w:r w:rsidR="009036BB">
        <w:rPr>
          <w:rFonts w:cs="Times New Roman"/>
          <w:szCs w:val="24"/>
        </w:rPr>
        <w:t xml:space="preserve"> </w:t>
      </w:r>
      <w:r w:rsidR="00A75506">
        <w:rPr>
          <w:rFonts w:cs="Times New Roman"/>
          <w:szCs w:val="24"/>
        </w:rPr>
        <w:t>minds</w:t>
      </w:r>
      <w:r w:rsidR="009036BB">
        <w:rPr>
          <w:rFonts w:cs="Times New Roman"/>
          <w:szCs w:val="24"/>
        </w:rPr>
        <w:t xml:space="preserve">, namely by decreeing that our wills </w:t>
      </w:r>
      <w:r w:rsidR="000A6E5B">
        <w:rPr>
          <w:rFonts w:cs="Times New Roman"/>
          <w:szCs w:val="24"/>
        </w:rPr>
        <w:t>“</w:t>
      </w:r>
      <w:r w:rsidR="004133D6" w:rsidRPr="00DA3BD6">
        <w:rPr>
          <w:rFonts w:cs="Times New Roman"/>
          <w:szCs w:val="24"/>
        </w:rPr>
        <w:t>always strive toward the apparent good</w:t>
      </w:r>
      <w:r w:rsidR="000A6E5B">
        <w:rPr>
          <w:rFonts w:cs="Times New Roman"/>
          <w:szCs w:val="24"/>
        </w:rPr>
        <w:t>”</w:t>
      </w:r>
      <w:r w:rsidR="004133D6" w:rsidRPr="00DA3BD6">
        <w:rPr>
          <w:rFonts w:cs="Times New Roman"/>
          <w:szCs w:val="24"/>
        </w:rPr>
        <w:t xml:space="preserve"> (</w:t>
      </w:r>
      <w:r w:rsidR="009036BB">
        <w:rPr>
          <w:rFonts w:cs="Times New Roman"/>
          <w:szCs w:val="24"/>
        </w:rPr>
        <w:t>A VI 4</w:t>
      </w:r>
      <w:r w:rsidR="006572EB">
        <w:rPr>
          <w:rFonts w:cs="Times New Roman"/>
          <w:szCs w:val="24"/>
        </w:rPr>
        <w:t>:</w:t>
      </w:r>
      <w:r w:rsidR="009036BB">
        <w:rPr>
          <w:rFonts w:cs="Times New Roman"/>
          <w:szCs w:val="24"/>
        </w:rPr>
        <w:t xml:space="preserve"> 1575/</w:t>
      </w:r>
      <w:r w:rsidR="004133D6" w:rsidRPr="00DA3BD6">
        <w:rPr>
          <w:rFonts w:cs="Times New Roman"/>
          <w:szCs w:val="24"/>
        </w:rPr>
        <w:t>PPL 322)</w:t>
      </w:r>
      <w:r w:rsidR="009036BB">
        <w:rPr>
          <w:rFonts w:cs="Times New Roman"/>
          <w:szCs w:val="24"/>
        </w:rPr>
        <w:t xml:space="preserve">. </w:t>
      </w:r>
      <w:r w:rsidR="00297786">
        <w:rPr>
          <w:rFonts w:cs="Times New Roman"/>
          <w:szCs w:val="24"/>
        </w:rPr>
        <w:t xml:space="preserve">Far from this robbing us of free will, </w:t>
      </w:r>
      <w:r w:rsidR="00247E48" w:rsidRPr="00247E48">
        <w:rPr>
          <w:rFonts w:cs="Times New Roman"/>
          <w:szCs w:val="24"/>
        </w:rPr>
        <w:t xml:space="preserve">Leibniz claims that this striving towards the good is what </w:t>
      </w:r>
      <w:r w:rsidR="00247E48" w:rsidRPr="00247E48">
        <w:rPr>
          <w:rFonts w:cs="Times New Roman"/>
          <w:i/>
          <w:szCs w:val="24"/>
        </w:rPr>
        <w:t>constitutes</w:t>
      </w:r>
      <w:r w:rsidR="00247E48" w:rsidRPr="00247E48">
        <w:rPr>
          <w:rFonts w:cs="Times New Roman"/>
          <w:szCs w:val="24"/>
        </w:rPr>
        <w:t xml:space="preserve"> free will. As he puts it in a text </w:t>
      </w:r>
      <w:r w:rsidR="00247E48">
        <w:rPr>
          <w:rFonts w:cs="Times New Roman"/>
          <w:szCs w:val="24"/>
        </w:rPr>
        <w:t xml:space="preserve">written a few years before the </w:t>
      </w:r>
      <w:r w:rsidR="00540825">
        <w:rPr>
          <w:rFonts w:cs="Times New Roman"/>
          <w:szCs w:val="24"/>
        </w:rPr>
        <w:t>“</w:t>
      </w:r>
      <w:r w:rsidR="00247E48" w:rsidRPr="00540825">
        <w:rPr>
          <w:rFonts w:cs="Times New Roman"/>
          <w:szCs w:val="24"/>
        </w:rPr>
        <w:t>Discourse</w:t>
      </w:r>
      <w:r w:rsidR="00540825">
        <w:rPr>
          <w:rFonts w:cs="Times New Roman"/>
          <w:szCs w:val="24"/>
        </w:rPr>
        <w:t>”</w:t>
      </w:r>
      <w:r w:rsidR="00247E48" w:rsidRPr="00247E48">
        <w:rPr>
          <w:rFonts w:cs="Times New Roman"/>
          <w:szCs w:val="24"/>
        </w:rPr>
        <w:t xml:space="preserve">, </w:t>
      </w:r>
      <w:r w:rsidR="000A6E5B">
        <w:rPr>
          <w:rFonts w:cs="Times New Roman"/>
          <w:szCs w:val="24"/>
        </w:rPr>
        <w:t>“</w:t>
      </w:r>
      <w:r w:rsidR="00247E48" w:rsidRPr="00247E48">
        <w:rPr>
          <w:rFonts w:cs="Times New Roman"/>
          <w:szCs w:val="24"/>
        </w:rPr>
        <w:t>true freedom of the mind consists in recognizing and choosing the best</w:t>
      </w:r>
      <w:r w:rsidR="000A6E5B">
        <w:rPr>
          <w:rFonts w:cs="Times New Roman"/>
          <w:szCs w:val="24"/>
        </w:rPr>
        <w:t>”</w:t>
      </w:r>
      <w:r w:rsidR="00247E48" w:rsidRPr="00247E48">
        <w:rPr>
          <w:rFonts w:cs="Times New Roman"/>
          <w:szCs w:val="24"/>
        </w:rPr>
        <w:t xml:space="preserve"> (A VI 4</w:t>
      </w:r>
      <w:r w:rsidR="006572EB">
        <w:rPr>
          <w:rFonts w:cs="Times New Roman"/>
          <w:szCs w:val="24"/>
        </w:rPr>
        <w:t>:</w:t>
      </w:r>
      <w:r w:rsidR="00247E48" w:rsidRPr="00247E48">
        <w:rPr>
          <w:rFonts w:cs="Times New Roman"/>
          <w:szCs w:val="24"/>
        </w:rPr>
        <w:t xml:space="preserve"> </w:t>
      </w:r>
      <w:r w:rsidR="00247E48">
        <w:rPr>
          <w:rFonts w:cs="Times New Roman"/>
          <w:szCs w:val="24"/>
        </w:rPr>
        <w:t>1409</w:t>
      </w:r>
      <w:r w:rsidR="00247E48" w:rsidRPr="00247E48">
        <w:rPr>
          <w:rFonts w:cs="Times New Roman"/>
          <w:szCs w:val="24"/>
        </w:rPr>
        <w:t>/SLT 93).</w:t>
      </w:r>
      <w:r w:rsidR="00247E48">
        <w:rPr>
          <w:rFonts w:cs="Times New Roman"/>
          <w:szCs w:val="24"/>
        </w:rPr>
        <w:t xml:space="preserve"> Freedom thus involves us using our intellect to determine the best course and then acting in accordance with what we have determined. Leibniz insist</w:t>
      </w:r>
      <w:r w:rsidR="00135763">
        <w:rPr>
          <w:rFonts w:cs="Times New Roman"/>
          <w:szCs w:val="24"/>
        </w:rPr>
        <w:t>s</w:t>
      </w:r>
      <w:r w:rsidR="00247E48">
        <w:rPr>
          <w:rFonts w:cs="Times New Roman"/>
          <w:szCs w:val="24"/>
        </w:rPr>
        <w:t xml:space="preserve"> </w:t>
      </w:r>
      <w:r w:rsidR="00135763">
        <w:rPr>
          <w:rFonts w:cs="Times New Roman"/>
          <w:szCs w:val="24"/>
        </w:rPr>
        <w:t xml:space="preserve">that our doing this does not mean </w:t>
      </w:r>
      <w:r w:rsidR="00247E48">
        <w:rPr>
          <w:rFonts w:cs="Times New Roman"/>
          <w:szCs w:val="24"/>
        </w:rPr>
        <w:t xml:space="preserve">that </w:t>
      </w:r>
      <w:r w:rsidR="00183442">
        <w:rPr>
          <w:rFonts w:cs="Times New Roman"/>
          <w:szCs w:val="24"/>
        </w:rPr>
        <w:t xml:space="preserve">our will is </w:t>
      </w:r>
      <w:r w:rsidR="00DA3BD6" w:rsidRPr="00DA3BD6">
        <w:rPr>
          <w:rFonts w:cs="Times New Roman"/>
          <w:szCs w:val="24"/>
        </w:rPr>
        <w:t>necessitated</w:t>
      </w:r>
      <w:r w:rsidR="00F17BAD">
        <w:rPr>
          <w:rFonts w:cs="Times New Roman"/>
          <w:szCs w:val="24"/>
        </w:rPr>
        <w:t>,</w:t>
      </w:r>
      <w:r w:rsidR="00DA3BD6" w:rsidRPr="00DA3BD6">
        <w:rPr>
          <w:rFonts w:cs="Times New Roman"/>
          <w:szCs w:val="24"/>
        </w:rPr>
        <w:t xml:space="preserve"> </w:t>
      </w:r>
      <w:r w:rsidR="00A75506">
        <w:rPr>
          <w:rFonts w:cs="Times New Roman"/>
          <w:szCs w:val="24"/>
        </w:rPr>
        <w:t>given that</w:t>
      </w:r>
      <w:r w:rsidR="00DA3BD6" w:rsidRPr="00DA3BD6">
        <w:rPr>
          <w:rFonts w:cs="Times New Roman"/>
          <w:szCs w:val="24"/>
        </w:rPr>
        <w:t xml:space="preserve"> </w:t>
      </w:r>
      <w:r w:rsidR="000A6E5B">
        <w:rPr>
          <w:rFonts w:cs="Times New Roman"/>
          <w:szCs w:val="24"/>
        </w:rPr>
        <w:t>“</w:t>
      </w:r>
      <w:r w:rsidR="00DA3BD6" w:rsidRPr="00DA3BD6">
        <w:rPr>
          <w:rFonts w:cs="Times New Roman"/>
          <w:szCs w:val="24"/>
        </w:rPr>
        <w:t xml:space="preserve">it has the power to act otherwise or </w:t>
      </w:r>
      <w:r w:rsidR="00A46E78">
        <w:rPr>
          <w:rFonts w:cs="Times New Roman"/>
          <w:szCs w:val="24"/>
        </w:rPr>
        <w:t>even</w:t>
      </w:r>
      <w:r w:rsidR="00DA3BD6" w:rsidRPr="00DA3BD6">
        <w:rPr>
          <w:rFonts w:cs="Times New Roman"/>
          <w:szCs w:val="24"/>
        </w:rPr>
        <w:t xml:space="preserve"> to suspend its action entirely, </w:t>
      </w:r>
      <w:r w:rsidR="00A46E78">
        <w:rPr>
          <w:rFonts w:cs="Times New Roman"/>
          <w:szCs w:val="24"/>
        </w:rPr>
        <w:t xml:space="preserve">since </w:t>
      </w:r>
      <w:r w:rsidR="00DA3BD6" w:rsidRPr="00DA3BD6">
        <w:rPr>
          <w:rFonts w:cs="Times New Roman"/>
          <w:szCs w:val="24"/>
        </w:rPr>
        <w:t>both are and remain possible</w:t>
      </w:r>
      <w:r w:rsidR="000A6E5B">
        <w:rPr>
          <w:rFonts w:cs="Times New Roman"/>
          <w:szCs w:val="24"/>
        </w:rPr>
        <w:t>”</w:t>
      </w:r>
      <w:r w:rsidR="00DA3BD6" w:rsidRPr="00DA3BD6">
        <w:rPr>
          <w:rFonts w:cs="Times New Roman"/>
          <w:szCs w:val="24"/>
        </w:rPr>
        <w:t xml:space="preserve"> (</w:t>
      </w:r>
      <w:r w:rsidR="00A46E78">
        <w:rPr>
          <w:rFonts w:cs="Times New Roman"/>
          <w:szCs w:val="24"/>
        </w:rPr>
        <w:t>A VI 4</w:t>
      </w:r>
      <w:r w:rsidR="006572EB">
        <w:rPr>
          <w:rFonts w:cs="Times New Roman"/>
          <w:szCs w:val="24"/>
        </w:rPr>
        <w:t>:</w:t>
      </w:r>
      <w:r w:rsidR="00A46E78">
        <w:rPr>
          <w:rFonts w:cs="Times New Roman"/>
          <w:szCs w:val="24"/>
        </w:rPr>
        <w:t xml:space="preserve"> 1576/</w:t>
      </w:r>
      <w:r w:rsidR="00135763">
        <w:rPr>
          <w:rFonts w:cs="Times New Roman"/>
          <w:szCs w:val="24"/>
        </w:rPr>
        <w:t>PPL 322),</w:t>
      </w:r>
      <w:r w:rsidR="00DA3BD6" w:rsidRPr="00DA3BD6">
        <w:rPr>
          <w:rFonts w:cs="Times New Roman"/>
          <w:szCs w:val="24"/>
        </w:rPr>
        <w:t xml:space="preserve"> in the sense that </w:t>
      </w:r>
      <w:r w:rsidR="00135763">
        <w:rPr>
          <w:rFonts w:cs="Times New Roman"/>
          <w:szCs w:val="24"/>
        </w:rPr>
        <w:t>acting otherwise or suspending action</w:t>
      </w:r>
      <w:r w:rsidR="009902CB">
        <w:rPr>
          <w:rFonts w:cs="Times New Roman"/>
          <w:szCs w:val="24"/>
        </w:rPr>
        <w:t xml:space="preserve"> are</w:t>
      </w:r>
      <w:r w:rsidR="0040643E">
        <w:rPr>
          <w:rFonts w:cs="Times New Roman"/>
          <w:szCs w:val="24"/>
        </w:rPr>
        <w:t xml:space="preserve"> </w:t>
      </w:r>
      <w:r w:rsidR="0040643E" w:rsidRPr="00DA3BD6">
        <w:rPr>
          <w:rFonts w:cs="Times New Roman"/>
          <w:szCs w:val="24"/>
        </w:rPr>
        <w:t>not in any way contradictory</w:t>
      </w:r>
      <w:r w:rsidR="00DA3BD6" w:rsidRPr="00DA3BD6">
        <w:rPr>
          <w:rFonts w:cs="Times New Roman"/>
          <w:szCs w:val="24"/>
        </w:rPr>
        <w:t>. However, Leibniz notes that failure to exercise this power lies with the individual concerned and not with God</w:t>
      </w:r>
      <w:r w:rsidR="00A46E78">
        <w:rPr>
          <w:rFonts w:cs="Times New Roman"/>
          <w:szCs w:val="24"/>
        </w:rPr>
        <w:t>.</w:t>
      </w:r>
    </w:p>
    <w:p w:rsidR="00DA3BD6" w:rsidRPr="006572EB" w:rsidRDefault="00540825" w:rsidP="006572EB">
      <w:pPr>
        <w:spacing w:line="480" w:lineRule="auto"/>
      </w:pPr>
      <w:r>
        <w:rPr>
          <w:rFonts w:cs="Times New Roman"/>
          <w:szCs w:val="24"/>
        </w:rPr>
        <w:tab/>
      </w:r>
      <w:r w:rsidR="00AF1D4F">
        <w:rPr>
          <w:rFonts w:cs="Times New Roman"/>
          <w:szCs w:val="24"/>
        </w:rPr>
        <w:t xml:space="preserve">This leads to a brief discussion of the cause of evil. Leibniz denies that </w:t>
      </w:r>
      <w:r w:rsidR="005067DB">
        <w:rPr>
          <w:rFonts w:cs="Times New Roman"/>
          <w:szCs w:val="24"/>
        </w:rPr>
        <w:t>God</w:t>
      </w:r>
      <w:r w:rsidR="00AF1D4F">
        <w:rPr>
          <w:rFonts w:cs="Times New Roman"/>
          <w:szCs w:val="24"/>
        </w:rPr>
        <w:t xml:space="preserve"> </w:t>
      </w:r>
      <w:r w:rsidR="001B1BCF">
        <w:rPr>
          <w:rFonts w:cs="Times New Roman"/>
          <w:szCs w:val="24"/>
        </w:rPr>
        <w:t xml:space="preserve">causes evil </w:t>
      </w:r>
      <w:r w:rsidR="00AF1D4F">
        <w:rPr>
          <w:rFonts w:cs="Times New Roman"/>
          <w:szCs w:val="24"/>
        </w:rPr>
        <w:t xml:space="preserve">and instead puts the blame for it squarely on human beings. </w:t>
      </w:r>
      <w:r w:rsidR="005067DB">
        <w:rPr>
          <w:rFonts w:cs="Times New Roman"/>
          <w:szCs w:val="24"/>
        </w:rPr>
        <w:t xml:space="preserve">While </w:t>
      </w:r>
      <w:r w:rsidR="00AF1D4F">
        <w:rPr>
          <w:rFonts w:cs="Times New Roman"/>
          <w:szCs w:val="24"/>
        </w:rPr>
        <w:t>he</w:t>
      </w:r>
      <w:r w:rsidR="005067DB">
        <w:rPr>
          <w:rFonts w:cs="Times New Roman"/>
          <w:szCs w:val="24"/>
        </w:rPr>
        <w:t xml:space="preserve"> pays lip service to the traditional idea that evil entered the world through the fall of Adam, he identifies </w:t>
      </w:r>
      <w:r w:rsidR="003C3E57">
        <w:rPr>
          <w:rFonts w:cs="Times New Roman"/>
          <w:szCs w:val="24"/>
        </w:rPr>
        <w:t>a more fundamental cause, namely human limitation</w:t>
      </w:r>
      <w:r w:rsidR="00136683">
        <w:rPr>
          <w:rFonts w:cs="Times New Roman"/>
          <w:szCs w:val="24"/>
        </w:rPr>
        <w:t>.</w:t>
      </w:r>
      <w:r w:rsidR="005067DB">
        <w:rPr>
          <w:rFonts w:cs="Times New Roman"/>
          <w:szCs w:val="24"/>
        </w:rPr>
        <w:t xml:space="preserve"> </w:t>
      </w:r>
      <w:r w:rsidR="003B5A1F" w:rsidRPr="003B5A1F">
        <w:rPr>
          <w:rFonts w:cs="Times New Roman"/>
          <w:szCs w:val="24"/>
        </w:rPr>
        <w:t xml:space="preserve">For </w:t>
      </w:r>
      <w:r w:rsidR="000A6E5B">
        <w:rPr>
          <w:rFonts w:cs="Times New Roman"/>
          <w:szCs w:val="24"/>
        </w:rPr>
        <w:t>“</w:t>
      </w:r>
      <w:r w:rsidR="003B5A1F" w:rsidRPr="003B5A1F">
        <w:rPr>
          <w:rFonts w:cs="Times New Roman"/>
          <w:szCs w:val="24"/>
        </w:rPr>
        <w:t xml:space="preserve">even before that </w:t>
      </w:r>
      <w:r w:rsidR="001B1BCF">
        <w:rPr>
          <w:rFonts w:cs="Times New Roman"/>
          <w:szCs w:val="24"/>
        </w:rPr>
        <w:t xml:space="preserve">[the fall] </w:t>
      </w:r>
      <w:r w:rsidR="003B5A1F" w:rsidRPr="003B5A1F">
        <w:rPr>
          <w:rFonts w:cs="Times New Roman"/>
          <w:szCs w:val="24"/>
        </w:rPr>
        <w:t>there was an original limitation or imperfection naturally belonging to all creatures, which makes them liable to sin or capable of failing</w:t>
      </w:r>
      <w:r w:rsidR="000A6E5B">
        <w:rPr>
          <w:rFonts w:cs="Times New Roman"/>
          <w:szCs w:val="24"/>
        </w:rPr>
        <w:t>”</w:t>
      </w:r>
      <w:r w:rsidR="003B5A1F">
        <w:rPr>
          <w:rFonts w:cs="Times New Roman"/>
          <w:szCs w:val="24"/>
        </w:rPr>
        <w:t xml:space="preserve"> (A VI 4</w:t>
      </w:r>
      <w:r w:rsidR="006572EB">
        <w:rPr>
          <w:rFonts w:cs="Times New Roman"/>
          <w:szCs w:val="24"/>
        </w:rPr>
        <w:t>:</w:t>
      </w:r>
      <w:r w:rsidR="003B5A1F">
        <w:rPr>
          <w:rFonts w:cs="Times New Roman"/>
          <w:szCs w:val="24"/>
        </w:rPr>
        <w:t xml:space="preserve"> 1577/PPL 322). Hence because creatures are essentially </w:t>
      </w:r>
      <w:r w:rsidR="005067DB">
        <w:rPr>
          <w:rFonts w:cs="Times New Roman"/>
          <w:szCs w:val="24"/>
        </w:rPr>
        <w:t xml:space="preserve">limited and </w:t>
      </w:r>
      <w:r w:rsidR="005067DB" w:rsidRPr="00121C20">
        <w:rPr>
          <w:rFonts w:cs="Times New Roman"/>
          <w:szCs w:val="24"/>
        </w:rPr>
        <w:t xml:space="preserve">have insufficient wisdom to know </w:t>
      </w:r>
      <w:r w:rsidR="00837ECD" w:rsidRPr="00121C20">
        <w:rPr>
          <w:rFonts w:cs="Times New Roman"/>
          <w:szCs w:val="24"/>
        </w:rPr>
        <w:t xml:space="preserve">always </w:t>
      </w:r>
      <w:r w:rsidR="005067DB" w:rsidRPr="00121C20">
        <w:rPr>
          <w:rFonts w:cs="Times New Roman"/>
          <w:szCs w:val="24"/>
        </w:rPr>
        <w:t xml:space="preserve">what the </w:t>
      </w:r>
      <w:r w:rsidR="00A53F3C">
        <w:rPr>
          <w:rFonts w:cs="Times New Roman"/>
          <w:szCs w:val="24"/>
        </w:rPr>
        <w:t xml:space="preserve">best or </w:t>
      </w:r>
      <w:r w:rsidR="005067DB" w:rsidRPr="00121C20">
        <w:rPr>
          <w:rFonts w:cs="Times New Roman"/>
          <w:szCs w:val="24"/>
        </w:rPr>
        <w:t>right actions are</w:t>
      </w:r>
      <w:r w:rsidR="005067DB">
        <w:rPr>
          <w:rFonts w:cs="Times New Roman"/>
          <w:szCs w:val="24"/>
        </w:rPr>
        <w:t>, they easily fall into sin</w:t>
      </w:r>
      <w:r w:rsidR="00136683">
        <w:rPr>
          <w:rFonts w:cs="Times New Roman"/>
          <w:szCs w:val="24"/>
        </w:rPr>
        <w:t>.</w:t>
      </w:r>
      <w:r w:rsidR="00985637">
        <w:rPr>
          <w:rFonts w:cs="Times New Roman"/>
          <w:szCs w:val="24"/>
        </w:rPr>
        <w:t xml:space="preserve"> </w:t>
      </w:r>
      <w:r w:rsidR="00EB0685">
        <w:rPr>
          <w:rFonts w:cs="Times New Roman"/>
          <w:szCs w:val="24"/>
        </w:rPr>
        <w:t>Although God</w:t>
      </w:r>
      <w:r w:rsidR="00A94586">
        <w:rPr>
          <w:rFonts w:cs="Times New Roman"/>
          <w:szCs w:val="24"/>
        </w:rPr>
        <w:t>, on this account, cann</w:t>
      </w:r>
      <w:r w:rsidR="00EB0685">
        <w:rPr>
          <w:rFonts w:cs="Times New Roman"/>
          <w:szCs w:val="24"/>
        </w:rPr>
        <w:t xml:space="preserve">ot </w:t>
      </w:r>
      <w:r w:rsidR="00A94586">
        <w:rPr>
          <w:rFonts w:cs="Times New Roman"/>
          <w:szCs w:val="24"/>
        </w:rPr>
        <w:t xml:space="preserve">be </w:t>
      </w:r>
      <w:r w:rsidR="00EB0685">
        <w:rPr>
          <w:rFonts w:cs="Times New Roman"/>
          <w:szCs w:val="24"/>
        </w:rPr>
        <w:t xml:space="preserve">to blame for the fact that humans </w:t>
      </w:r>
      <w:r w:rsidR="00A94586">
        <w:rPr>
          <w:rFonts w:cs="Times New Roman"/>
          <w:szCs w:val="24"/>
        </w:rPr>
        <w:t xml:space="preserve">will inevitably fall into </w:t>
      </w:r>
      <w:r w:rsidR="00EB0685">
        <w:rPr>
          <w:rFonts w:cs="Times New Roman"/>
          <w:szCs w:val="24"/>
        </w:rPr>
        <w:t>sin</w:t>
      </w:r>
      <w:r w:rsidR="00A94586">
        <w:rPr>
          <w:rFonts w:cs="Times New Roman"/>
          <w:szCs w:val="24"/>
        </w:rPr>
        <w:t xml:space="preserve"> if created</w:t>
      </w:r>
      <w:r w:rsidR="00EB0685">
        <w:rPr>
          <w:rFonts w:cs="Times New Roman"/>
          <w:szCs w:val="24"/>
        </w:rPr>
        <w:t xml:space="preserve">, there still remains the question of why </w:t>
      </w:r>
      <w:r w:rsidR="00A94586">
        <w:rPr>
          <w:rFonts w:cs="Times New Roman"/>
          <w:szCs w:val="24"/>
        </w:rPr>
        <w:t>God</w:t>
      </w:r>
      <w:r w:rsidR="00EB0685">
        <w:rPr>
          <w:rFonts w:cs="Times New Roman"/>
          <w:szCs w:val="24"/>
        </w:rPr>
        <w:t xml:space="preserve"> created them knowing that they would</w:t>
      </w:r>
      <w:r w:rsidR="00A94586">
        <w:rPr>
          <w:rFonts w:cs="Times New Roman"/>
          <w:szCs w:val="24"/>
        </w:rPr>
        <w:t xml:space="preserve"> sin</w:t>
      </w:r>
      <w:r w:rsidR="00EB0685">
        <w:rPr>
          <w:rFonts w:cs="Times New Roman"/>
          <w:szCs w:val="24"/>
        </w:rPr>
        <w:t>, and the further question of why he favours some with his grace</w:t>
      </w:r>
      <w:r w:rsidR="006572EB" w:rsidRPr="00C10554">
        <w:rPr>
          <w:u w:color="000000"/>
        </w:rPr>
        <w:t>—</w:t>
      </w:r>
      <w:r w:rsidR="00092E0D">
        <w:rPr>
          <w:rFonts w:cs="Times New Roman"/>
          <w:szCs w:val="24"/>
        </w:rPr>
        <w:t xml:space="preserve">understood as the </w:t>
      </w:r>
      <w:r w:rsidR="000A6E5B">
        <w:rPr>
          <w:rFonts w:cs="Times New Roman"/>
          <w:szCs w:val="24"/>
        </w:rPr>
        <w:t>“</w:t>
      </w:r>
      <w:r w:rsidR="00092E0D">
        <w:rPr>
          <w:rFonts w:cs="Times New Roman"/>
          <w:szCs w:val="24"/>
        </w:rPr>
        <w:t>first active principle of pious actions</w:t>
      </w:r>
      <w:r w:rsidR="000A6E5B">
        <w:rPr>
          <w:rFonts w:cs="Times New Roman"/>
          <w:szCs w:val="24"/>
        </w:rPr>
        <w:t>”</w:t>
      </w:r>
      <w:r w:rsidR="00092E0D">
        <w:rPr>
          <w:rFonts w:cs="Times New Roman"/>
          <w:szCs w:val="24"/>
        </w:rPr>
        <w:t xml:space="preserve"> (A VI 4</w:t>
      </w:r>
      <w:r w:rsidR="006572EB">
        <w:rPr>
          <w:rFonts w:cs="Times New Roman"/>
          <w:szCs w:val="24"/>
        </w:rPr>
        <w:t>:</w:t>
      </w:r>
      <w:r w:rsidR="00092E0D">
        <w:rPr>
          <w:rFonts w:cs="Times New Roman"/>
          <w:szCs w:val="24"/>
        </w:rPr>
        <w:t xml:space="preserve"> 1459)</w:t>
      </w:r>
      <w:r w:rsidR="00B61973">
        <w:rPr>
          <w:rStyle w:val="FootnoteReference"/>
          <w:rFonts w:cs="Times New Roman"/>
          <w:szCs w:val="24"/>
        </w:rPr>
        <w:footnoteReference w:id="51"/>
      </w:r>
      <w:r w:rsidR="006572EB" w:rsidRPr="006572EB">
        <w:rPr>
          <w:u w:color="000000"/>
        </w:rPr>
        <w:t xml:space="preserve"> </w:t>
      </w:r>
      <w:r w:rsidR="006572EB" w:rsidRPr="00C10554">
        <w:rPr>
          <w:u w:color="000000"/>
        </w:rPr>
        <w:t>—</w:t>
      </w:r>
      <w:r w:rsidR="00EB0685">
        <w:rPr>
          <w:rFonts w:cs="Times New Roman"/>
          <w:szCs w:val="24"/>
        </w:rPr>
        <w:t>more</w:t>
      </w:r>
      <w:r w:rsidR="00092E0D">
        <w:rPr>
          <w:rFonts w:cs="Times New Roman"/>
          <w:szCs w:val="24"/>
        </w:rPr>
        <w:t xml:space="preserve"> </w:t>
      </w:r>
      <w:r w:rsidR="00EB0685">
        <w:rPr>
          <w:rFonts w:cs="Times New Roman"/>
          <w:szCs w:val="24"/>
        </w:rPr>
        <w:t xml:space="preserve">than others? </w:t>
      </w:r>
      <w:r w:rsidR="00A46E78">
        <w:rPr>
          <w:rFonts w:cs="Times New Roman"/>
          <w:szCs w:val="24"/>
        </w:rPr>
        <w:t xml:space="preserve">To the first, </w:t>
      </w:r>
      <w:r w:rsidR="00DA3BD6" w:rsidRPr="00DA3BD6">
        <w:rPr>
          <w:rFonts w:cs="Times New Roman"/>
          <w:szCs w:val="24"/>
        </w:rPr>
        <w:t xml:space="preserve">Leibniz responds by saying that the only answer </w:t>
      </w:r>
      <w:r w:rsidR="00A46E78">
        <w:rPr>
          <w:rFonts w:cs="Times New Roman"/>
          <w:szCs w:val="24"/>
        </w:rPr>
        <w:t>that</w:t>
      </w:r>
      <w:r w:rsidR="00DA3BD6" w:rsidRPr="00DA3BD6">
        <w:rPr>
          <w:rFonts w:cs="Times New Roman"/>
          <w:szCs w:val="24"/>
        </w:rPr>
        <w:t xml:space="preserve"> can </w:t>
      </w:r>
      <w:r w:rsidR="00A46E78">
        <w:rPr>
          <w:rFonts w:cs="Times New Roman"/>
          <w:szCs w:val="24"/>
        </w:rPr>
        <w:t xml:space="preserve">be </w:t>
      </w:r>
      <w:r w:rsidR="00DA3BD6" w:rsidRPr="00DA3BD6">
        <w:rPr>
          <w:rFonts w:cs="Times New Roman"/>
          <w:szCs w:val="24"/>
        </w:rPr>
        <w:t>give</w:t>
      </w:r>
      <w:r w:rsidR="00A46E78">
        <w:rPr>
          <w:rFonts w:cs="Times New Roman"/>
          <w:szCs w:val="24"/>
        </w:rPr>
        <w:t>n</w:t>
      </w:r>
      <w:r w:rsidR="00DA3BD6" w:rsidRPr="00DA3BD6">
        <w:rPr>
          <w:rFonts w:cs="Times New Roman"/>
          <w:szCs w:val="24"/>
        </w:rPr>
        <w:t xml:space="preserve"> is </w:t>
      </w:r>
      <w:r w:rsidR="00A46E78">
        <w:rPr>
          <w:rFonts w:cs="Times New Roman"/>
          <w:szCs w:val="24"/>
        </w:rPr>
        <w:t xml:space="preserve">the general </w:t>
      </w:r>
      <w:r w:rsidR="00B72D27">
        <w:rPr>
          <w:rFonts w:cs="Times New Roman"/>
          <w:szCs w:val="24"/>
        </w:rPr>
        <w:t>one</w:t>
      </w:r>
      <w:r w:rsidR="00A46E78">
        <w:rPr>
          <w:rFonts w:cs="Times New Roman"/>
          <w:szCs w:val="24"/>
        </w:rPr>
        <w:t xml:space="preserve"> </w:t>
      </w:r>
      <w:r w:rsidR="00DA3BD6" w:rsidRPr="00DA3BD6">
        <w:rPr>
          <w:rFonts w:cs="Times New Roman"/>
          <w:szCs w:val="24"/>
        </w:rPr>
        <w:t xml:space="preserve">that since God found it good that </w:t>
      </w:r>
      <w:r w:rsidR="00A94586">
        <w:rPr>
          <w:rFonts w:cs="Times New Roman"/>
          <w:szCs w:val="24"/>
        </w:rPr>
        <w:t>sinners like Judas</w:t>
      </w:r>
      <w:r w:rsidR="00A46E78">
        <w:rPr>
          <w:rFonts w:cs="Times New Roman"/>
          <w:szCs w:val="24"/>
        </w:rPr>
        <w:t xml:space="preserve"> </w:t>
      </w:r>
      <w:r w:rsidR="00DA3BD6" w:rsidRPr="00DA3BD6">
        <w:rPr>
          <w:rFonts w:cs="Times New Roman"/>
          <w:szCs w:val="24"/>
        </w:rPr>
        <w:t xml:space="preserve">should exist </w:t>
      </w:r>
      <w:r w:rsidR="000A6E5B">
        <w:rPr>
          <w:rFonts w:cs="Times New Roman"/>
          <w:szCs w:val="24"/>
        </w:rPr>
        <w:t>“</w:t>
      </w:r>
      <w:r w:rsidR="00DA3BD6" w:rsidRPr="00DA3BD6">
        <w:rPr>
          <w:rFonts w:cs="Times New Roman"/>
          <w:szCs w:val="24"/>
        </w:rPr>
        <w:t xml:space="preserve">in spite of the sin which God foresaw, </w:t>
      </w:r>
      <w:r w:rsidR="00613055">
        <w:rPr>
          <w:rFonts w:cs="Times New Roman"/>
          <w:szCs w:val="24"/>
        </w:rPr>
        <w:t xml:space="preserve">it must be that </w:t>
      </w:r>
      <w:r w:rsidR="00DA3BD6" w:rsidRPr="00DA3BD6">
        <w:rPr>
          <w:rFonts w:cs="Times New Roman"/>
          <w:szCs w:val="24"/>
        </w:rPr>
        <w:t xml:space="preserve">this evil </w:t>
      </w:r>
      <w:r w:rsidR="00613055">
        <w:rPr>
          <w:rFonts w:cs="Times New Roman"/>
          <w:szCs w:val="24"/>
        </w:rPr>
        <w:t>is</w:t>
      </w:r>
      <w:r w:rsidR="00DA3BD6" w:rsidRPr="00DA3BD6">
        <w:rPr>
          <w:rFonts w:cs="Times New Roman"/>
          <w:szCs w:val="24"/>
        </w:rPr>
        <w:t xml:space="preserve"> compensated for with interest in the universe and that God w</w:t>
      </w:r>
      <w:r w:rsidR="00473045">
        <w:rPr>
          <w:rFonts w:cs="Times New Roman"/>
          <w:szCs w:val="24"/>
        </w:rPr>
        <w:t>ill draw a greater good from it</w:t>
      </w:r>
      <w:r w:rsidR="000A6E5B">
        <w:rPr>
          <w:rFonts w:cs="Times New Roman"/>
          <w:szCs w:val="24"/>
        </w:rPr>
        <w:t>”</w:t>
      </w:r>
      <w:r w:rsidR="00DA3BD6" w:rsidRPr="00DA3BD6">
        <w:rPr>
          <w:rFonts w:cs="Times New Roman"/>
          <w:szCs w:val="24"/>
        </w:rPr>
        <w:t xml:space="preserve"> (</w:t>
      </w:r>
      <w:r w:rsidR="00A46E78">
        <w:rPr>
          <w:rFonts w:cs="Times New Roman"/>
          <w:szCs w:val="24"/>
        </w:rPr>
        <w:t>A VI 4, 1576/</w:t>
      </w:r>
      <w:r w:rsidR="00DA3BD6" w:rsidRPr="00DA3BD6">
        <w:rPr>
          <w:rFonts w:cs="Times New Roman"/>
          <w:szCs w:val="24"/>
        </w:rPr>
        <w:t>PPL 322</w:t>
      </w:r>
      <w:r w:rsidR="00136683">
        <w:rPr>
          <w:rFonts w:cs="Times New Roman"/>
          <w:szCs w:val="24"/>
        </w:rPr>
        <w:t>)</w:t>
      </w:r>
      <w:r w:rsidR="007630C2">
        <w:rPr>
          <w:rFonts w:cs="Times New Roman"/>
          <w:szCs w:val="24"/>
        </w:rPr>
        <w:t xml:space="preserve">, though he </w:t>
      </w:r>
      <w:r w:rsidR="007630C2" w:rsidRPr="00685B94">
        <w:rPr>
          <w:rFonts w:cs="Times New Roman"/>
        </w:rPr>
        <w:t>does not identify what the greater good is in this (or any other) instance.</w:t>
      </w:r>
      <w:r w:rsidR="00136683">
        <w:rPr>
          <w:rFonts w:cs="Times New Roman"/>
          <w:szCs w:val="24"/>
        </w:rPr>
        <w:t xml:space="preserve"> </w:t>
      </w:r>
      <w:r w:rsidR="00A46E78">
        <w:rPr>
          <w:rFonts w:cs="Times New Roman"/>
          <w:szCs w:val="24"/>
        </w:rPr>
        <w:t xml:space="preserve">And likewise, to the second question Leibniz states that </w:t>
      </w:r>
      <w:r w:rsidR="00A46E78" w:rsidRPr="00473045">
        <w:rPr>
          <w:rFonts w:cs="Times New Roman"/>
          <w:szCs w:val="24"/>
        </w:rPr>
        <w:t>we cannot know why, in the dispensation of his grace, God chooses to favour some more than others; while we can be certain</w:t>
      </w:r>
      <w:r w:rsidR="00A46E78">
        <w:rPr>
          <w:rFonts w:cs="Times New Roman"/>
          <w:szCs w:val="24"/>
        </w:rPr>
        <w:t xml:space="preserve"> that there is a reason for God’</w:t>
      </w:r>
      <w:r w:rsidR="00A46E78" w:rsidRPr="00473045">
        <w:rPr>
          <w:rFonts w:cs="Times New Roman"/>
          <w:szCs w:val="24"/>
        </w:rPr>
        <w:t>s choice, the detail of it is unavailable to us (A VI 4, 1579-</w:t>
      </w:r>
      <w:r w:rsidR="005E6F06">
        <w:rPr>
          <w:rFonts w:cs="Times New Roman"/>
          <w:szCs w:val="24"/>
        </w:rPr>
        <w:t>15</w:t>
      </w:r>
      <w:r w:rsidR="00A46E78" w:rsidRPr="00473045">
        <w:rPr>
          <w:rFonts w:cs="Times New Roman"/>
          <w:szCs w:val="24"/>
        </w:rPr>
        <w:t>80/PPL 323).</w:t>
      </w:r>
    </w:p>
    <w:p w:rsidR="004133D6" w:rsidRDefault="007630C2" w:rsidP="006572EB">
      <w:pPr>
        <w:autoSpaceDE w:val="0"/>
        <w:autoSpaceDN w:val="0"/>
        <w:adjustRightInd w:val="0"/>
        <w:spacing w:line="480" w:lineRule="auto"/>
        <w:rPr>
          <w:rFonts w:cs="Times New Roman"/>
          <w:szCs w:val="24"/>
        </w:rPr>
      </w:pPr>
      <w:r>
        <w:rPr>
          <w:rFonts w:cs="Times New Roman"/>
          <w:szCs w:val="24"/>
        </w:rPr>
        <w:tab/>
      </w:r>
      <w:r w:rsidR="00E53D06">
        <w:rPr>
          <w:rFonts w:cs="Times New Roman"/>
          <w:szCs w:val="24"/>
        </w:rPr>
        <w:t xml:space="preserve">In §32, Leibniz returns </w:t>
      </w:r>
      <w:r w:rsidR="00EE17CF">
        <w:rPr>
          <w:rFonts w:cs="Times New Roman"/>
          <w:szCs w:val="24"/>
        </w:rPr>
        <w:t xml:space="preserve">once more </w:t>
      </w:r>
      <w:r w:rsidR="00E53D06">
        <w:rPr>
          <w:rFonts w:cs="Times New Roman"/>
          <w:szCs w:val="24"/>
        </w:rPr>
        <w:t xml:space="preserve">to the topic of God’s action, </w:t>
      </w:r>
      <w:r w:rsidR="00AD164E">
        <w:rPr>
          <w:rFonts w:cs="Times New Roman"/>
          <w:szCs w:val="24"/>
        </w:rPr>
        <w:t>re</w:t>
      </w:r>
      <w:r w:rsidR="00E53D06">
        <w:rPr>
          <w:rFonts w:cs="Times New Roman"/>
          <w:szCs w:val="24"/>
        </w:rPr>
        <w:t xml:space="preserve">stating </w:t>
      </w:r>
      <w:r w:rsidR="00AD164E">
        <w:rPr>
          <w:rFonts w:cs="Times New Roman"/>
          <w:szCs w:val="24"/>
        </w:rPr>
        <w:t>a point made</w:t>
      </w:r>
      <w:r w:rsidR="00E53D06">
        <w:rPr>
          <w:rFonts w:cs="Times New Roman"/>
          <w:szCs w:val="24"/>
        </w:rPr>
        <w:t xml:space="preserve"> in</w:t>
      </w:r>
      <w:r w:rsidR="00AD164E">
        <w:rPr>
          <w:rFonts w:cs="Times New Roman"/>
          <w:szCs w:val="24"/>
        </w:rPr>
        <w:t xml:space="preserve"> </w:t>
      </w:r>
      <w:r w:rsidR="00E53D06">
        <w:rPr>
          <w:rFonts w:cs="Times New Roman"/>
          <w:szCs w:val="24"/>
        </w:rPr>
        <w:t>§14, namely that</w:t>
      </w:r>
      <w:r w:rsidR="001E6C08" w:rsidRPr="001E6C08">
        <w:rPr>
          <w:rFonts w:cs="Times New Roman"/>
          <w:szCs w:val="24"/>
        </w:rPr>
        <w:t xml:space="preserve"> </w:t>
      </w:r>
      <w:r w:rsidR="000A6E5B">
        <w:rPr>
          <w:rFonts w:cs="Times New Roman"/>
          <w:szCs w:val="24"/>
        </w:rPr>
        <w:t>“</w:t>
      </w:r>
      <w:r w:rsidR="001E6C08" w:rsidRPr="001E6C08">
        <w:rPr>
          <w:rFonts w:cs="Times New Roman"/>
          <w:szCs w:val="24"/>
        </w:rPr>
        <w:t xml:space="preserve">God constitutes the link or communication between substances, and it is through him that the phenomena of the one </w:t>
      </w:r>
      <w:r>
        <w:rPr>
          <w:rFonts w:cs="Times New Roman"/>
          <w:szCs w:val="24"/>
        </w:rPr>
        <w:t>coincides</w:t>
      </w:r>
      <w:r w:rsidR="001E6C08" w:rsidRPr="001E6C08">
        <w:rPr>
          <w:rFonts w:cs="Times New Roman"/>
          <w:szCs w:val="24"/>
        </w:rPr>
        <w:t xml:space="preserve"> and agree with those of the others and that consequently there is reality in our perceptions</w:t>
      </w:r>
      <w:r w:rsidR="000A6E5B">
        <w:rPr>
          <w:rFonts w:cs="Times New Roman"/>
          <w:szCs w:val="24"/>
        </w:rPr>
        <w:t>”</w:t>
      </w:r>
      <w:r w:rsidR="001E6C08">
        <w:rPr>
          <w:rFonts w:cs="Times New Roman"/>
          <w:szCs w:val="24"/>
        </w:rPr>
        <w:t xml:space="preserve"> </w:t>
      </w:r>
      <w:r>
        <w:rPr>
          <w:rFonts w:cs="Times New Roman"/>
          <w:szCs w:val="24"/>
        </w:rPr>
        <w:t>(A VI 4</w:t>
      </w:r>
      <w:r w:rsidR="006572EB">
        <w:rPr>
          <w:rFonts w:cs="Times New Roman"/>
          <w:szCs w:val="24"/>
        </w:rPr>
        <w:t>:</w:t>
      </w:r>
      <w:r>
        <w:rPr>
          <w:rFonts w:cs="Times New Roman"/>
          <w:szCs w:val="24"/>
        </w:rPr>
        <w:t xml:space="preserve"> 1581/</w:t>
      </w:r>
      <w:r w:rsidR="001E6C08" w:rsidRPr="001E6C08">
        <w:rPr>
          <w:rFonts w:cs="Times New Roman"/>
          <w:szCs w:val="24"/>
        </w:rPr>
        <w:t>PPL</w:t>
      </w:r>
      <w:r>
        <w:rPr>
          <w:rFonts w:cs="Times New Roman"/>
          <w:szCs w:val="24"/>
        </w:rPr>
        <w:t xml:space="preserve"> </w:t>
      </w:r>
      <w:r w:rsidR="001E6C08" w:rsidRPr="001E6C08">
        <w:rPr>
          <w:rFonts w:cs="Times New Roman"/>
          <w:szCs w:val="24"/>
        </w:rPr>
        <w:t>324</w:t>
      </w:r>
      <w:r>
        <w:rPr>
          <w:rFonts w:cs="Times New Roman"/>
          <w:szCs w:val="24"/>
        </w:rPr>
        <w:t>)</w:t>
      </w:r>
      <w:r w:rsidR="00E53D06">
        <w:rPr>
          <w:rFonts w:cs="Times New Roman"/>
          <w:szCs w:val="24"/>
        </w:rPr>
        <w:t>.</w:t>
      </w:r>
      <w:r w:rsidR="00AD164E">
        <w:rPr>
          <w:rFonts w:cs="Times New Roman"/>
          <w:szCs w:val="24"/>
        </w:rPr>
        <w:t xml:space="preserve"> Th</w:t>
      </w:r>
      <w:r w:rsidR="00A75506">
        <w:rPr>
          <w:rFonts w:cs="Times New Roman"/>
          <w:szCs w:val="24"/>
        </w:rPr>
        <w:t xml:space="preserve">is leads him to present </w:t>
      </w:r>
      <w:r w:rsidR="0086401B">
        <w:rPr>
          <w:rFonts w:cs="Times New Roman"/>
          <w:szCs w:val="24"/>
        </w:rPr>
        <w:t xml:space="preserve">in §33 </w:t>
      </w:r>
      <w:r w:rsidR="00A75506">
        <w:rPr>
          <w:rFonts w:cs="Times New Roman"/>
          <w:szCs w:val="24"/>
        </w:rPr>
        <w:t>what</w:t>
      </w:r>
      <w:r w:rsidR="007145F7">
        <w:rPr>
          <w:rFonts w:cs="Times New Roman"/>
          <w:szCs w:val="24"/>
        </w:rPr>
        <w:t xml:space="preserve"> would </w:t>
      </w:r>
      <w:r w:rsidR="0086401B">
        <w:rPr>
          <w:rFonts w:cs="Times New Roman"/>
          <w:szCs w:val="24"/>
        </w:rPr>
        <w:t xml:space="preserve">ultimately </w:t>
      </w:r>
      <w:r w:rsidR="007145F7">
        <w:rPr>
          <w:rFonts w:cs="Times New Roman"/>
          <w:szCs w:val="24"/>
        </w:rPr>
        <w:t xml:space="preserve">become one of his signature doctrines, namely the </w:t>
      </w:r>
      <w:r w:rsidR="00DA3BD6" w:rsidRPr="00DA3BD6">
        <w:rPr>
          <w:rFonts w:cs="Times New Roman"/>
          <w:szCs w:val="24"/>
        </w:rPr>
        <w:t>pre-established harmony</w:t>
      </w:r>
      <w:r w:rsidR="007145F7">
        <w:rPr>
          <w:rFonts w:cs="Times New Roman"/>
          <w:szCs w:val="24"/>
        </w:rPr>
        <w:t xml:space="preserve"> (though the name itself was coined only much later, in 1696). The pre-established harmony is Leibniz’s solution to the problem of how the human soul and human body, assuming that they are separate substances, form a unity. </w:t>
      </w:r>
      <w:r w:rsidR="0086401B">
        <w:rPr>
          <w:rFonts w:cs="Times New Roman"/>
          <w:szCs w:val="24"/>
        </w:rPr>
        <w:t>He quickly rejects the suggestion that the two act upon each other, and he also rejects Malebranche’s doctrine of occasionalism (which w</w:t>
      </w:r>
      <w:r w:rsidR="002D2442">
        <w:rPr>
          <w:rFonts w:cs="Times New Roman"/>
          <w:szCs w:val="24"/>
        </w:rPr>
        <w:t xml:space="preserve">as not conceived as a solution </w:t>
      </w:r>
      <w:r w:rsidR="0086401B">
        <w:rPr>
          <w:rFonts w:cs="Times New Roman"/>
          <w:szCs w:val="24"/>
        </w:rPr>
        <w:t xml:space="preserve">to this problem in any case) on the grounds that </w:t>
      </w:r>
      <w:r w:rsidR="000A6E5B">
        <w:rPr>
          <w:rFonts w:cs="Times New Roman"/>
          <w:szCs w:val="24"/>
        </w:rPr>
        <w:t>“</w:t>
      </w:r>
      <w:r w:rsidR="0086401B" w:rsidRPr="0086401B">
        <w:rPr>
          <w:rFonts w:cs="Times New Roman"/>
          <w:szCs w:val="24"/>
        </w:rPr>
        <w:t xml:space="preserve">it is unreasonable simply </w:t>
      </w:r>
      <w:r w:rsidR="0086401B" w:rsidRPr="008E44D7">
        <w:rPr>
          <w:rFonts w:cs="Times New Roman"/>
          <w:szCs w:val="24"/>
        </w:rPr>
        <w:t>to have recourse to the extraordinary operation of the universal cause in an ordinary and particular thing</w:t>
      </w:r>
      <w:r w:rsidR="000A6E5B">
        <w:rPr>
          <w:rFonts w:cs="Times New Roman"/>
          <w:szCs w:val="24"/>
        </w:rPr>
        <w:t>”</w:t>
      </w:r>
      <w:r w:rsidR="0086401B" w:rsidRPr="008E44D7">
        <w:rPr>
          <w:rFonts w:cs="Times New Roman"/>
          <w:szCs w:val="24"/>
        </w:rPr>
        <w:t xml:space="preserve"> (A VI 4</w:t>
      </w:r>
      <w:r w:rsidR="006572EB">
        <w:rPr>
          <w:rFonts w:cs="Times New Roman"/>
          <w:szCs w:val="24"/>
        </w:rPr>
        <w:t>:</w:t>
      </w:r>
      <w:r w:rsidR="0086401B" w:rsidRPr="008E44D7">
        <w:rPr>
          <w:rFonts w:cs="Times New Roman"/>
          <w:szCs w:val="24"/>
        </w:rPr>
        <w:t xml:space="preserve"> 1582/PPL 324). </w:t>
      </w:r>
      <w:r w:rsidR="008E44D7" w:rsidRPr="008E44D7">
        <w:rPr>
          <w:rFonts w:cs="Times New Roman"/>
          <w:szCs w:val="24"/>
        </w:rPr>
        <w:t xml:space="preserve">Leibniz’s solution is to say that, on account of God’s arrangement of things at the outset, </w:t>
      </w:r>
      <w:r w:rsidR="008E44D7" w:rsidRPr="008E44D7">
        <w:rPr>
          <w:rFonts w:eastAsia="PalatinoLinotype-Roman" w:cs="Times New Roman"/>
          <w:szCs w:val="24"/>
        </w:rPr>
        <w:t xml:space="preserve">soul and body correspond to each other perfectly merely by following their own internal operations. </w:t>
      </w:r>
      <w:r w:rsidR="007145F7" w:rsidRPr="008E44D7">
        <w:rPr>
          <w:rFonts w:cs="Times New Roman"/>
          <w:szCs w:val="24"/>
        </w:rPr>
        <w:t xml:space="preserve">Much of </w:t>
      </w:r>
      <w:r w:rsidR="008E44D7" w:rsidRPr="008E44D7">
        <w:rPr>
          <w:rFonts w:cs="Times New Roman"/>
          <w:szCs w:val="24"/>
        </w:rPr>
        <w:t>t</w:t>
      </w:r>
      <w:r w:rsidR="007145F7" w:rsidRPr="008E44D7">
        <w:rPr>
          <w:rFonts w:cs="Times New Roman"/>
          <w:szCs w:val="24"/>
        </w:rPr>
        <w:t>his ha</w:t>
      </w:r>
      <w:r w:rsidR="00BC6CB7">
        <w:rPr>
          <w:rFonts w:cs="Times New Roman"/>
          <w:szCs w:val="24"/>
        </w:rPr>
        <w:t>d</w:t>
      </w:r>
      <w:r w:rsidR="007145F7" w:rsidRPr="008E44D7">
        <w:rPr>
          <w:rFonts w:cs="Times New Roman"/>
          <w:szCs w:val="24"/>
        </w:rPr>
        <w:t xml:space="preserve"> already been outlined i</w:t>
      </w:r>
      <w:r w:rsidR="00587A21" w:rsidRPr="008E44D7">
        <w:rPr>
          <w:rFonts w:cs="Times New Roman"/>
          <w:szCs w:val="24"/>
        </w:rPr>
        <w:t>n §14</w:t>
      </w:r>
      <w:r w:rsidR="007145F7" w:rsidRPr="008E44D7">
        <w:rPr>
          <w:rFonts w:cs="Times New Roman"/>
          <w:szCs w:val="24"/>
        </w:rPr>
        <w:t>, which</w:t>
      </w:r>
      <w:r w:rsidR="009E39E0" w:rsidRPr="008E44D7">
        <w:rPr>
          <w:rFonts w:cs="Times New Roman"/>
          <w:szCs w:val="24"/>
        </w:rPr>
        <w:t xml:space="preserve"> established that </w:t>
      </w:r>
      <w:r w:rsidR="00D55C76">
        <w:rPr>
          <w:rFonts w:cs="Times New Roman"/>
          <w:szCs w:val="24"/>
        </w:rPr>
        <w:t xml:space="preserve">the cause of </w:t>
      </w:r>
      <w:r w:rsidR="00777C41" w:rsidRPr="008E44D7">
        <w:rPr>
          <w:rFonts w:cs="Times New Roman"/>
          <w:szCs w:val="24"/>
        </w:rPr>
        <w:t>what happens to a substance (excepting miracles) is internal to that substance, that created substances do not act upon each other, and that</w:t>
      </w:r>
      <w:r w:rsidR="00777C41">
        <w:rPr>
          <w:rFonts w:cs="Times New Roman"/>
          <w:szCs w:val="24"/>
        </w:rPr>
        <w:t xml:space="preserve"> </w:t>
      </w:r>
      <w:r w:rsidR="00587A21">
        <w:rPr>
          <w:rFonts w:cs="Times New Roman"/>
          <w:szCs w:val="24"/>
        </w:rPr>
        <w:t xml:space="preserve">all </w:t>
      </w:r>
      <w:r w:rsidR="006E3890">
        <w:rPr>
          <w:rFonts w:cs="Times New Roman"/>
          <w:szCs w:val="24"/>
        </w:rPr>
        <w:t xml:space="preserve">created </w:t>
      </w:r>
      <w:r w:rsidR="00777C41">
        <w:rPr>
          <w:rFonts w:cs="Times New Roman"/>
          <w:szCs w:val="24"/>
        </w:rPr>
        <w:t>substances mutually correspond.</w:t>
      </w:r>
      <w:r w:rsidR="00AF15B8">
        <w:rPr>
          <w:rFonts w:cs="Times New Roman"/>
          <w:szCs w:val="24"/>
        </w:rPr>
        <w:t xml:space="preserve"> What Leibniz adds to this in §33</w:t>
      </w:r>
      <w:r w:rsidR="0086401B">
        <w:rPr>
          <w:rFonts w:cs="Times New Roman"/>
          <w:szCs w:val="24"/>
        </w:rPr>
        <w:t xml:space="preserve"> is </w:t>
      </w:r>
      <w:r w:rsidR="0086401B" w:rsidRPr="0086401B">
        <w:rPr>
          <w:rFonts w:cs="Times New Roman"/>
          <w:szCs w:val="24"/>
        </w:rPr>
        <w:t xml:space="preserve">that while </w:t>
      </w:r>
      <w:r w:rsidR="00C63B6A">
        <w:rPr>
          <w:rFonts w:cs="Times New Roman"/>
          <w:szCs w:val="24"/>
        </w:rPr>
        <w:t>every</w:t>
      </w:r>
      <w:r w:rsidR="0086401B" w:rsidRPr="0086401B">
        <w:rPr>
          <w:rFonts w:cs="Times New Roman"/>
          <w:szCs w:val="24"/>
        </w:rPr>
        <w:t xml:space="preserve"> substance corresponds to everything else in the universe, the human soul corresponds </w:t>
      </w:r>
      <w:r w:rsidR="000A6E5B">
        <w:rPr>
          <w:rFonts w:cs="Times New Roman"/>
          <w:szCs w:val="24"/>
        </w:rPr>
        <w:t>“</w:t>
      </w:r>
      <w:r w:rsidR="0086401B" w:rsidRPr="0086401B">
        <w:rPr>
          <w:rFonts w:cs="Times New Roman"/>
          <w:szCs w:val="24"/>
        </w:rPr>
        <w:t>more particularly and more perfectly to what happens in the body which is assigned to it</w:t>
      </w:r>
      <w:r w:rsidR="000A6E5B">
        <w:rPr>
          <w:rFonts w:cs="Times New Roman"/>
          <w:szCs w:val="24"/>
        </w:rPr>
        <w:t>”</w:t>
      </w:r>
      <w:r w:rsidR="002D2442">
        <w:rPr>
          <w:rFonts w:cs="Times New Roman"/>
          <w:szCs w:val="24"/>
        </w:rPr>
        <w:t xml:space="preserve">, and in this lies the answer to </w:t>
      </w:r>
      <w:r w:rsidR="000A6E5B">
        <w:rPr>
          <w:rFonts w:cs="Times New Roman"/>
          <w:szCs w:val="24"/>
        </w:rPr>
        <w:t>“</w:t>
      </w:r>
      <w:r w:rsidR="002D2442" w:rsidRPr="002D2442">
        <w:rPr>
          <w:rFonts w:cs="Times New Roman"/>
          <w:szCs w:val="24"/>
        </w:rPr>
        <w:t>how our body belongs to us without being attached to our essence</w:t>
      </w:r>
      <w:r w:rsidR="000A6E5B">
        <w:rPr>
          <w:rFonts w:cs="Times New Roman"/>
          <w:szCs w:val="24"/>
        </w:rPr>
        <w:t>”</w:t>
      </w:r>
      <w:r w:rsidR="0086401B" w:rsidRPr="0086401B">
        <w:rPr>
          <w:rFonts w:cs="Times New Roman"/>
          <w:szCs w:val="24"/>
        </w:rPr>
        <w:t xml:space="preserve"> (A VI 4</w:t>
      </w:r>
      <w:r w:rsidR="006572EB">
        <w:rPr>
          <w:rFonts w:cs="Times New Roman"/>
          <w:szCs w:val="24"/>
        </w:rPr>
        <w:t>:</w:t>
      </w:r>
      <w:r w:rsidR="0086401B" w:rsidRPr="0086401B">
        <w:rPr>
          <w:rFonts w:cs="Times New Roman"/>
          <w:szCs w:val="24"/>
        </w:rPr>
        <w:t xml:space="preserve"> 1582/PPL 325)</w:t>
      </w:r>
      <w:r w:rsidR="008E44D7">
        <w:rPr>
          <w:rFonts w:cs="Times New Roman"/>
          <w:szCs w:val="24"/>
        </w:rPr>
        <w:t>.</w:t>
      </w:r>
      <w:r w:rsidR="002D2442">
        <w:rPr>
          <w:rFonts w:cs="Times New Roman"/>
          <w:szCs w:val="24"/>
        </w:rPr>
        <w:t xml:space="preserve"> </w:t>
      </w:r>
      <w:r w:rsidR="004133D6">
        <w:rPr>
          <w:rFonts w:cs="Times New Roman"/>
          <w:szCs w:val="24"/>
        </w:rPr>
        <w:t xml:space="preserve">Leibniz would later outline the doctrine in more detail, and with much more fanfare, in his 1695 paper </w:t>
      </w:r>
      <w:r w:rsidR="000A6E5B">
        <w:rPr>
          <w:rFonts w:cs="Times New Roman"/>
          <w:szCs w:val="24"/>
        </w:rPr>
        <w:t>“</w:t>
      </w:r>
      <w:r w:rsidR="004133D6">
        <w:rPr>
          <w:rFonts w:cs="Times New Roman"/>
          <w:szCs w:val="24"/>
        </w:rPr>
        <w:t>New system on the nature and communication of substances</w:t>
      </w:r>
      <w:r w:rsidR="006572EB">
        <w:rPr>
          <w:rFonts w:cs="Times New Roman"/>
          <w:szCs w:val="24"/>
        </w:rPr>
        <w:t>.</w:t>
      </w:r>
      <w:r w:rsidR="000A6E5B">
        <w:rPr>
          <w:rFonts w:cs="Times New Roman"/>
          <w:szCs w:val="24"/>
        </w:rPr>
        <w:t>”</w:t>
      </w:r>
      <w:r w:rsidR="006572EB">
        <w:rPr>
          <w:rStyle w:val="FootnoteReference"/>
          <w:rFonts w:cs="Times New Roman"/>
          <w:szCs w:val="24"/>
        </w:rPr>
        <w:footnoteReference w:id="52"/>
      </w:r>
      <w:r w:rsidR="004133D6">
        <w:rPr>
          <w:rFonts w:cs="Times New Roman"/>
          <w:szCs w:val="24"/>
        </w:rPr>
        <w:t xml:space="preserve"> </w:t>
      </w:r>
    </w:p>
    <w:p w:rsidR="003329DA" w:rsidRPr="00C63B6A" w:rsidRDefault="008E44D7" w:rsidP="007327D2">
      <w:pPr>
        <w:autoSpaceDE w:val="0"/>
        <w:autoSpaceDN w:val="0"/>
        <w:adjustRightInd w:val="0"/>
        <w:spacing w:line="480" w:lineRule="auto"/>
        <w:rPr>
          <w:rFonts w:eastAsia="MinionPro-Regular" w:cs="Times New Roman"/>
          <w:szCs w:val="24"/>
        </w:rPr>
      </w:pPr>
      <w:r>
        <w:rPr>
          <w:rFonts w:cs="Times New Roman"/>
          <w:szCs w:val="24"/>
        </w:rPr>
        <w:tab/>
      </w:r>
      <w:r w:rsidR="00BF4661">
        <w:rPr>
          <w:rFonts w:cs="Times New Roman"/>
          <w:szCs w:val="24"/>
        </w:rPr>
        <w:t xml:space="preserve">From the pre-established harmony Leibniz passes to a matter first raised in §12, namely the difference between minds and other substances. </w:t>
      </w:r>
      <w:r w:rsidR="0033505E">
        <w:rPr>
          <w:rFonts w:cs="Times New Roman"/>
          <w:szCs w:val="24"/>
        </w:rPr>
        <w:t xml:space="preserve">In §34, </w:t>
      </w:r>
      <w:r w:rsidR="008E045D">
        <w:rPr>
          <w:rFonts w:cs="Times New Roman"/>
          <w:szCs w:val="24"/>
        </w:rPr>
        <w:t xml:space="preserve">Leibniz </w:t>
      </w:r>
      <w:r w:rsidR="00D55C76">
        <w:rPr>
          <w:rFonts w:cs="Times New Roman"/>
          <w:szCs w:val="24"/>
        </w:rPr>
        <w:t>explains</w:t>
      </w:r>
      <w:r w:rsidR="008E045D">
        <w:rPr>
          <w:rFonts w:cs="Times New Roman"/>
          <w:szCs w:val="24"/>
        </w:rPr>
        <w:t xml:space="preserve"> that minds </w:t>
      </w:r>
      <w:r w:rsidR="00BF4661">
        <w:rPr>
          <w:rFonts w:cs="Times New Roman"/>
          <w:szCs w:val="24"/>
        </w:rPr>
        <w:t>possess</w:t>
      </w:r>
      <w:r w:rsidR="008E045D">
        <w:rPr>
          <w:rFonts w:cs="Times New Roman"/>
          <w:szCs w:val="24"/>
        </w:rPr>
        <w:t xml:space="preserve"> two abilities </w:t>
      </w:r>
      <w:r w:rsidR="000420AF">
        <w:rPr>
          <w:rFonts w:cs="Times New Roman"/>
          <w:szCs w:val="24"/>
        </w:rPr>
        <w:t xml:space="preserve">other substances do not, namely </w:t>
      </w:r>
      <w:r w:rsidR="00B72D27">
        <w:rPr>
          <w:rFonts w:cs="Times New Roman"/>
          <w:szCs w:val="24"/>
        </w:rPr>
        <w:t>that</w:t>
      </w:r>
      <w:r w:rsidR="00766BB4" w:rsidRPr="00766BB4">
        <w:rPr>
          <w:rFonts w:cs="Times New Roman"/>
          <w:szCs w:val="24"/>
        </w:rPr>
        <w:t xml:space="preserve"> of self-reflection (that is, </w:t>
      </w:r>
      <w:r w:rsidR="001746CF">
        <w:rPr>
          <w:rFonts w:cs="Times New Roman"/>
          <w:szCs w:val="24"/>
        </w:rPr>
        <w:t xml:space="preserve">having some grasp of </w:t>
      </w:r>
      <w:r w:rsidR="00766BB4" w:rsidRPr="00766BB4">
        <w:rPr>
          <w:rFonts w:cs="Times New Roman"/>
          <w:szCs w:val="24"/>
        </w:rPr>
        <w:t xml:space="preserve">what </w:t>
      </w:r>
      <w:r w:rsidR="00640825">
        <w:rPr>
          <w:rFonts w:cs="Times New Roman"/>
          <w:szCs w:val="24"/>
        </w:rPr>
        <w:t>they are</w:t>
      </w:r>
      <w:r w:rsidR="00766BB4" w:rsidRPr="00766BB4">
        <w:rPr>
          <w:rFonts w:cs="Times New Roman"/>
          <w:szCs w:val="24"/>
        </w:rPr>
        <w:t xml:space="preserve"> and </w:t>
      </w:r>
      <w:r w:rsidR="00640825">
        <w:rPr>
          <w:rFonts w:cs="Times New Roman"/>
          <w:szCs w:val="24"/>
        </w:rPr>
        <w:t xml:space="preserve">what they </w:t>
      </w:r>
      <w:r w:rsidR="00766BB4" w:rsidRPr="00766BB4">
        <w:rPr>
          <w:rFonts w:cs="Times New Roman"/>
          <w:szCs w:val="24"/>
        </w:rPr>
        <w:t>do</w:t>
      </w:r>
      <w:r w:rsidR="00640825">
        <w:rPr>
          <w:rFonts w:cs="Times New Roman"/>
          <w:szCs w:val="24"/>
        </w:rPr>
        <w:t>)</w:t>
      </w:r>
      <w:r w:rsidR="00766BB4" w:rsidRPr="00766BB4">
        <w:rPr>
          <w:rFonts w:cs="Times New Roman"/>
          <w:szCs w:val="24"/>
        </w:rPr>
        <w:t xml:space="preserve"> and </w:t>
      </w:r>
      <w:r w:rsidR="00640825">
        <w:rPr>
          <w:rFonts w:cs="Times New Roman"/>
          <w:szCs w:val="24"/>
        </w:rPr>
        <w:t xml:space="preserve">of </w:t>
      </w:r>
      <w:r w:rsidR="00766BB4" w:rsidRPr="00766BB4">
        <w:rPr>
          <w:rFonts w:cs="Times New Roman"/>
          <w:szCs w:val="24"/>
        </w:rPr>
        <w:t>knowing necessary truths</w:t>
      </w:r>
      <w:r w:rsidR="00766BB4">
        <w:rPr>
          <w:rFonts w:cs="Times New Roman"/>
          <w:szCs w:val="24"/>
        </w:rPr>
        <w:t>.</w:t>
      </w:r>
      <w:r w:rsidR="00AF5472">
        <w:rPr>
          <w:rFonts w:cs="Times New Roman"/>
          <w:szCs w:val="24"/>
        </w:rPr>
        <w:t xml:space="preserve"> Their self-reflection gives </w:t>
      </w:r>
      <w:r w:rsidR="00B72D27">
        <w:rPr>
          <w:rFonts w:cs="Times New Roman"/>
          <w:szCs w:val="24"/>
        </w:rPr>
        <w:t>minds</w:t>
      </w:r>
      <w:r w:rsidR="00AF5472">
        <w:rPr>
          <w:rFonts w:cs="Times New Roman"/>
          <w:szCs w:val="24"/>
        </w:rPr>
        <w:t xml:space="preserve"> a moral quality</w:t>
      </w:r>
      <w:r w:rsidR="00640825">
        <w:rPr>
          <w:rFonts w:cs="Times New Roman"/>
          <w:szCs w:val="24"/>
        </w:rPr>
        <w:t xml:space="preserve"> in the sense that they remain the same person</w:t>
      </w:r>
      <w:r w:rsidR="00B72D27">
        <w:rPr>
          <w:rFonts w:cs="Times New Roman"/>
          <w:szCs w:val="24"/>
        </w:rPr>
        <w:t xml:space="preserve">, </w:t>
      </w:r>
      <w:r w:rsidR="007812EF">
        <w:rPr>
          <w:rFonts w:cs="Times New Roman"/>
          <w:szCs w:val="24"/>
        </w:rPr>
        <w:t xml:space="preserve">not just in this life but after it. </w:t>
      </w:r>
      <w:r w:rsidR="00640825" w:rsidRPr="008B537C">
        <w:rPr>
          <w:rFonts w:eastAsia="MinionPro-Regular" w:cs="Times New Roman"/>
          <w:szCs w:val="24"/>
        </w:rPr>
        <w:t xml:space="preserve">Leibniz argues that </w:t>
      </w:r>
      <w:r w:rsidR="00AE40B2">
        <w:rPr>
          <w:rFonts w:eastAsia="MinionPro-Regular" w:cs="Times New Roman"/>
          <w:szCs w:val="24"/>
        </w:rPr>
        <w:t xml:space="preserve">while </w:t>
      </w:r>
      <w:r w:rsidR="007812EF">
        <w:rPr>
          <w:rFonts w:eastAsia="MinionPro-Regular" w:cs="Times New Roman"/>
          <w:szCs w:val="24"/>
        </w:rPr>
        <w:t>no</w:t>
      </w:r>
      <w:r w:rsidR="00640825" w:rsidRPr="008B537C">
        <w:rPr>
          <w:rFonts w:eastAsia="MinionPro-Regular" w:cs="Times New Roman"/>
          <w:szCs w:val="24"/>
        </w:rPr>
        <w:t xml:space="preserve"> substance</w:t>
      </w:r>
      <w:r w:rsidR="007812EF">
        <w:rPr>
          <w:rFonts w:eastAsia="MinionPro-Regular" w:cs="Times New Roman"/>
          <w:szCs w:val="24"/>
        </w:rPr>
        <w:t xml:space="preserve"> can entirely perish </w:t>
      </w:r>
      <w:r w:rsidR="00AE40B2">
        <w:rPr>
          <w:rFonts w:eastAsia="MinionPro-Regular" w:cs="Times New Roman"/>
          <w:szCs w:val="24"/>
        </w:rPr>
        <w:t>(</w:t>
      </w:r>
      <w:r w:rsidR="007812EF">
        <w:rPr>
          <w:rFonts w:eastAsia="MinionPro-Regular" w:cs="Times New Roman"/>
          <w:szCs w:val="24"/>
        </w:rPr>
        <w:t>since, being indivisible, they cannot be broken down</w:t>
      </w:r>
      <w:r w:rsidR="00AE40B2">
        <w:rPr>
          <w:rFonts w:eastAsia="MinionPro-Regular" w:cs="Times New Roman"/>
          <w:szCs w:val="24"/>
        </w:rPr>
        <w:t>) and</w:t>
      </w:r>
      <w:r w:rsidR="00640825" w:rsidRPr="008B537C">
        <w:rPr>
          <w:rFonts w:eastAsia="MinionPro-Regular" w:cs="Times New Roman"/>
          <w:szCs w:val="24"/>
        </w:rPr>
        <w:t xml:space="preserve"> </w:t>
      </w:r>
      <w:r w:rsidR="00AE40B2">
        <w:rPr>
          <w:rFonts w:eastAsia="MinionPro-Regular" w:cs="Times New Roman"/>
          <w:szCs w:val="24"/>
        </w:rPr>
        <w:t xml:space="preserve">consequently </w:t>
      </w:r>
      <w:r w:rsidR="00640825" w:rsidRPr="008B537C">
        <w:rPr>
          <w:rFonts w:eastAsia="MinionPro-Regular" w:cs="Times New Roman"/>
          <w:szCs w:val="24"/>
        </w:rPr>
        <w:t xml:space="preserve">all substances </w:t>
      </w:r>
      <w:r w:rsidR="00AE40B2">
        <w:rPr>
          <w:rFonts w:eastAsia="MinionPro-Regular" w:cs="Times New Roman"/>
          <w:szCs w:val="24"/>
        </w:rPr>
        <w:t xml:space="preserve">will </w:t>
      </w:r>
      <w:r w:rsidR="00640825" w:rsidRPr="008B537C">
        <w:rPr>
          <w:rFonts w:eastAsia="MinionPro-Regular" w:cs="Times New Roman"/>
          <w:szCs w:val="24"/>
        </w:rPr>
        <w:t xml:space="preserve">enjoy </w:t>
      </w:r>
      <w:r w:rsidR="005E0D29">
        <w:rPr>
          <w:rFonts w:eastAsia="MinionPro-Regular" w:cs="Times New Roman"/>
          <w:szCs w:val="24"/>
        </w:rPr>
        <w:t>“</w:t>
      </w:r>
      <w:r w:rsidR="00640825" w:rsidRPr="008B537C">
        <w:rPr>
          <w:rFonts w:eastAsia="MinionPro-Regular" w:cs="Times New Roman"/>
          <w:szCs w:val="24"/>
        </w:rPr>
        <w:t>perpetual subsistence</w:t>
      </w:r>
      <w:r w:rsidR="005E0D29">
        <w:rPr>
          <w:rFonts w:eastAsia="MinionPro-Regular" w:cs="Times New Roman"/>
          <w:szCs w:val="24"/>
        </w:rPr>
        <w:t>”</w:t>
      </w:r>
      <w:r w:rsidR="00640825" w:rsidRPr="008B537C">
        <w:rPr>
          <w:rFonts w:eastAsia="MinionPro-Regular" w:cs="Times New Roman"/>
          <w:szCs w:val="24"/>
        </w:rPr>
        <w:t xml:space="preserve"> (A VI 4</w:t>
      </w:r>
      <w:r w:rsidR="006572EB">
        <w:rPr>
          <w:rFonts w:eastAsia="MinionPro-Regular" w:cs="Times New Roman"/>
          <w:szCs w:val="24"/>
        </w:rPr>
        <w:t>:</w:t>
      </w:r>
      <w:r w:rsidR="00640825" w:rsidRPr="008B537C">
        <w:rPr>
          <w:rFonts w:eastAsia="MinionPro-Regular" w:cs="Times New Roman"/>
          <w:szCs w:val="24"/>
        </w:rPr>
        <w:t xml:space="preserve"> 1584/PPL 325), </w:t>
      </w:r>
      <w:r w:rsidR="00AE40B2">
        <w:rPr>
          <w:rFonts w:eastAsia="MinionPro-Regular" w:cs="Times New Roman"/>
          <w:szCs w:val="24"/>
        </w:rPr>
        <w:t>he insists tha</w:t>
      </w:r>
      <w:r w:rsidR="00640825" w:rsidRPr="008B537C">
        <w:rPr>
          <w:rFonts w:eastAsia="MinionPro-Regular" w:cs="Times New Roman"/>
          <w:szCs w:val="24"/>
        </w:rPr>
        <w:t>t in the case of minds</w:t>
      </w:r>
      <w:r w:rsidR="00640825">
        <w:rPr>
          <w:rFonts w:eastAsia="MinionPro-Regular" w:cs="Times New Roman"/>
          <w:szCs w:val="24"/>
        </w:rPr>
        <w:t xml:space="preserve"> </w:t>
      </w:r>
      <w:r w:rsidR="00640825" w:rsidRPr="008B537C">
        <w:rPr>
          <w:rFonts w:eastAsia="MinionPro-Regular" w:cs="Times New Roman"/>
          <w:szCs w:val="24"/>
        </w:rPr>
        <w:t>this</w:t>
      </w:r>
      <w:r w:rsidR="00640825">
        <w:rPr>
          <w:rFonts w:eastAsia="MinionPro-Regular" w:cs="Times New Roman"/>
          <w:szCs w:val="24"/>
        </w:rPr>
        <w:t xml:space="preserve"> subsistence </w:t>
      </w:r>
      <w:r w:rsidR="00640825" w:rsidRPr="008B537C">
        <w:rPr>
          <w:rFonts w:eastAsia="MinionPro-Regular" w:cs="Times New Roman"/>
          <w:szCs w:val="24"/>
        </w:rPr>
        <w:t xml:space="preserve">will </w:t>
      </w:r>
      <w:r w:rsidR="00640825">
        <w:rPr>
          <w:rFonts w:eastAsia="MinionPro-Regular" w:cs="Times New Roman"/>
          <w:szCs w:val="24"/>
        </w:rPr>
        <w:t>amount to true immortality where it is not just the substance that subsists but also it</w:t>
      </w:r>
      <w:r w:rsidR="00AE40B2">
        <w:rPr>
          <w:rFonts w:eastAsia="MinionPro-Regular" w:cs="Times New Roman"/>
          <w:szCs w:val="24"/>
        </w:rPr>
        <w:t>s memory and self-consciousness</w:t>
      </w:r>
      <w:r w:rsidR="00640825">
        <w:rPr>
          <w:rFonts w:eastAsia="MinionPro-Regular" w:cs="Times New Roman"/>
          <w:szCs w:val="24"/>
        </w:rPr>
        <w:t xml:space="preserve">. As the preservation of such features is what is required for </w:t>
      </w:r>
      <w:r w:rsidR="007812EF">
        <w:rPr>
          <w:rFonts w:eastAsia="MinionPro-Regular" w:cs="Times New Roman"/>
          <w:szCs w:val="24"/>
        </w:rPr>
        <w:t xml:space="preserve">the </w:t>
      </w:r>
      <w:r w:rsidR="00640825">
        <w:rPr>
          <w:rFonts w:eastAsia="MinionPro-Regular" w:cs="Times New Roman"/>
          <w:szCs w:val="24"/>
        </w:rPr>
        <w:t xml:space="preserve">reward and punishment </w:t>
      </w:r>
      <w:r w:rsidR="007812EF">
        <w:rPr>
          <w:rFonts w:eastAsia="MinionPro-Regular" w:cs="Times New Roman"/>
          <w:szCs w:val="24"/>
        </w:rPr>
        <w:t>they will face both in this life and the life to come,</w:t>
      </w:r>
      <w:r w:rsidR="00640825">
        <w:rPr>
          <w:rFonts w:eastAsia="MinionPro-Regular" w:cs="Times New Roman"/>
          <w:szCs w:val="24"/>
        </w:rPr>
        <w:t xml:space="preserve"> Leibniz is certain that they will be preserved. However, he does not explain how they are preserved, only that God will ensure that they are:</w:t>
      </w:r>
      <w:r w:rsidR="007C4071">
        <w:rPr>
          <w:rFonts w:eastAsia="MinionPro-Regular" w:cs="Times New Roman"/>
          <w:szCs w:val="24"/>
        </w:rPr>
        <w:t xml:space="preserve"> </w:t>
      </w:r>
      <w:r w:rsidR="005E0D29">
        <w:rPr>
          <w:rFonts w:eastAsia="MinionPro-Regular" w:cs="Times New Roman"/>
          <w:szCs w:val="24"/>
        </w:rPr>
        <w:t>“</w:t>
      </w:r>
      <w:r w:rsidR="00640825" w:rsidRPr="00E1632E">
        <w:rPr>
          <w:rFonts w:eastAsia="MinionPro-Regular" w:cs="Times New Roman"/>
          <w:szCs w:val="24"/>
        </w:rPr>
        <w:t>it must not be doubted that God has ordered everything in such a way that minds may not only live forever, which is inevitable, but also forever preserve their moral quality</w:t>
      </w:r>
      <w:r w:rsidR="005E0D29">
        <w:rPr>
          <w:rFonts w:eastAsia="MinionPro-Regular" w:cs="Times New Roman"/>
          <w:szCs w:val="24"/>
        </w:rPr>
        <w:t>”</w:t>
      </w:r>
      <w:r w:rsidR="007C4071">
        <w:rPr>
          <w:rFonts w:eastAsia="MinionPro-Regular" w:cs="Times New Roman"/>
          <w:szCs w:val="24"/>
        </w:rPr>
        <w:t xml:space="preserve"> </w:t>
      </w:r>
      <w:r w:rsidR="00640825">
        <w:rPr>
          <w:rFonts w:eastAsia="MinionPro-Regular" w:cs="Times New Roman"/>
          <w:szCs w:val="24"/>
        </w:rPr>
        <w:t>(A VI 4</w:t>
      </w:r>
      <w:r w:rsidR="006572EB">
        <w:rPr>
          <w:rFonts w:eastAsia="MinionPro-Regular" w:cs="Times New Roman"/>
          <w:szCs w:val="24"/>
        </w:rPr>
        <w:t>:</w:t>
      </w:r>
      <w:r w:rsidR="00640825">
        <w:rPr>
          <w:rFonts w:eastAsia="MinionPro-Regular" w:cs="Times New Roman"/>
          <w:szCs w:val="24"/>
        </w:rPr>
        <w:t xml:space="preserve"> 1587/PPL 327).</w:t>
      </w:r>
    </w:p>
    <w:p w:rsidR="0072778E" w:rsidRDefault="00815CFC" w:rsidP="007327D2">
      <w:pPr>
        <w:autoSpaceDE w:val="0"/>
        <w:autoSpaceDN w:val="0"/>
        <w:adjustRightInd w:val="0"/>
        <w:spacing w:line="480" w:lineRule="auto"/>
        <w:ind w:firstLine="720"/>
        <w:rPr>
          <w:rFonts w:cs="Times New Roman"/>
          <w:szCs w:val="24"/>
        </w:rPr>
      </w:pPr>
      <w:r>
        <w:rPr>
          <w:rFonts w:cs="Times New Roman"/>
          <w:szCs w:val="24"/>
        </w:rPr>
        <w:t>Despite its strong focus on theolog</w:t>
      </w:r>
      <w:r w:rsidR="001175E8">
        <w:rPr>
          <w:rFonts w:cs="Times New Roman"/>
          <w:szCs w:val="24"/>
        </w:rPr>
        <w:t>y</w:t>
      </w:r>
      <w:r>
        <w:rPr>
          <w:rFonts w:cs="Times New Roman"/>
          <w:szCs w:val="24"/>
        </w:rPr>
        <w:t xml:space="preserve">, the </w:t>
      </w:r>
      <w:r w:rsidR="00540825">
        <w:rPr>
          <w:rFonts w:cs="Times New Roman"/>
          <w:szCs w:val="24"/>
        </w:rPr>
        <w:t>“</w:t>
      </w:r>
      <w:r w:rsidRPr="00540825">
        <w:rPr>
          <w:rFonts w:cs="Times New Roman"/>
          <w:szCs w:val="24"/>
        </w:rPr>
        <w:t>Discourse</w:t>
      </w:r>
      <w:r w:rsidR="00540825">
        <w:rPr>
          <w:rFonts w:cs="Times New Roman"/>
          <w:szCs w:val="24"/>
        </w:rPr>
        <w:t>”</w:t>
      </w:r>
      <w:r>
        <w:rPr>
          <w:rFonts w:cs="Times New Roman"/>
          <w:szCs w:val="24"/>
        </w:rPr>
        <w:t xml:space="preserve"> thus far has yielded little that is distinctly </w:t>
      </w:r>
      <w:r>
        <w:rPr>
          <w:rFonts w:cs="Times New Roman"/>
          <w:i/>
          <w:szCs w:val="24"/>
        </w:rPr>
        <w:t>Christian</w:t>
      </w:r>
      <w:r>
        <w:rPr>
          <w:rFonts w:cs="Times New Roman"/>
          <w:szCs w:val="24"/>
        </w:rPr>
        <w:t xml:space="preserve">. This changes in §§36-37, in which Leibniz uses two well-known Christian motifs (albeit giving both of them a distinct twist) along with a raft of scriptural references to support a number of </w:t>
      </w:r>
      <w:r w:rsidR="001175E8">
        <w:rPr>
          <w:rFonts w:cs="Times New Roman"/>
          <w:szCs w:val="24"/>
        </w:rPr>
        <w:t>his</w:t>
      </w:r>
      <w:r>
        <w:rPr>
          <w:rFonts w:cs="Times New Roman"/>
          <w:szCs w:val="24"/>
        </w:rPr>
        <w:t xml:space="preserve"> claims. </w:t>
      </w:r>
      <w:r w:rsidR="005D46E8">
        <w:rPr>
          <w:rFonts w:cs="Times New Roman"/>
          <w:szCs w:val="24"/>
        </w:rPr>
        <w:t>The first of the</w:t>
      </w:r>
      <w:r w:rsidR="001175E8">
        <w:rPr>
          <w:rFonts w:cs="Times New Roman"/>
          <w:szCs w:val="24"/>
        </w:rPr>
        <w:t xml:space="preserve"> Christian motif</w:t>
      </w:r>
      <w:r w:rsidR="005D46E8">
        <w:rPr>
          <w:rFonts w:cs="Times New Roman"/>
          <w:szCs w:val="24"/>
        </w:rPr>
        <w:t xml:space="preserve">s arises in §36 </w:t>
      </w:r>
      <w:r w:rsidR="00F07078">
        <w:rPr>
          <w:rFonts w:cs="Times New Roman"/>
          <w:szCs w:val="24"/>
        </w:rPr>
        <w:t xml:space="preserve">in connection with his claim that </w:t>
      </w:r>
      <w:r w:rsidR="005E0D29">
        <w:rPr>
          <w:rFonts w:cs="Times New Roman"/>
          <w:szCs w:val="24"/>
        </w:rPr>
        <w:t>“</w:t>
      </w:r>
      <w:r w:rsidR="00AD74F7" w:rsidRPr="00AD74F7">
        <w:rPr>
          <w:rFonts w:cs="Times New Roman"/>
          <w:szCs w:val="24"/>
        </w:rPr>
        <w:t>although</w:t>
      </w:r>
      <w:r w:rsidR="00AD74F7">
        <w:rPr>
          <w:rFonts w:cs="Times New Roman"/>
          <w:szCs w:val="24"/>
        </w:rPr>
        <w:t xml:space="preserve"> </w:t>
      </w:r>
      <w:r w:rsidR="00AD74F7" w:rsidRPr="00AD74F7">
        <w:rPr>
          <w:rFonts w:cs="Times New Roman"/>
          <w:szCs w:val="24"/>
        </w:rPr>
        <w:t xml:space="preserve">every substance expresses the whole universe, </w:t>
      </w:r>
      <w:r w:rsidR="00AD74F7">
        <w:rPr>
          <w:rFonts w:cs="Times New Roman"/>
          <w:szCs w:val="24"/>
        </w:rPr>
        <w:t>nevertheless</w:t>
      </w:r>
      <w:r w:rsidR="00AD74F7" w:rsidRPr="00AD74F7">
        <w:rPr>
          <w:rFonts w:cs="Times New Roman"/>
          <w:szCs w:val="24"/>
        </w:rPr>
        <w:t xml:space="preserve"> the other substances express the w</w:t>
      </w:r>
      <w:r w:rsidR="00AD74F7">
        <w:rPr>
          <w:rFonts w:cs="Times New Roman"/>
          <w:szCs w:val="24"/>
        </w:rPr>
        <w:t>orld rather than God, while minds</w:t>
      </w:r>
      <w:r w:rsidR="00AD74F7" w:rsidRPr="00AD74F7">
        <w:rPr>
          <w:rFonts w:cs="Times New Roman"/>
          <w:szCs w:val="24"/>
        </w:rPr>
        <w:t xml:space="preserve"> express God rather than the world</w:t>
      </w:r>
      <w:r w:rsidR="005E0D29">
        <w:rPr>
          <w:rFonts w:cs="Times New Roman"/>
          <w:szCs w:val="24"/>
        </w:rPr>
        <w:t>”</w:t>
      </w:r>
      <w:r w:rsidR="00AD74F7">
        <w:rPr>
          <w:rFonts w:cs="Times New Roman"/>
          <w:szCs w:val="24"/>
        </w:rPr>
        <w:t xml:space="preserve"> (A VI 4</w:t>
      </w:r>
      <w:r w:rsidR="006572EB">
        <w:rPr>
          <w:rFonts w:cs="Times New Roman"/>
          <w:szCs w:val="24"/>
        </w:rPr>
        <w:t>:</w:t>
      </w:r>
      <w:r w:rsidR="00AD74F7">
        <w:rPr>
          <w:rFonts w:cs="Times New Roman"/>
          <w:szCs w:val="24"/>
        </w:rPr>
        <w:t xml:space="preserve"> 1587/PPL 327). On the surface this looks to be in conflict with the claim in §9 that all substances express both God and the world, </w:t>
      </w:r>
      <w:r w:rsidR="00AB4352">
        <w:rPr>
          <w:rFonts w:cs="Times New Roman"/>
          <w:szCs w:val="24"/>
        </w:rPr>
        <w:t xml:space="preserve">though this </w:t>
      </w:r>
      <w:r w:rsidR="00EB38C9">
        <w:rPr>
          <w:rFonts w:cs="Times New Roman"/>
          <w:szCs w:val="24"/>
        </w:rPr>
        <w:t>is</w:t>
      </w:r>
      <w:r w:rsidR="00AB4352">
        <w:rPr>
          <w:rFonts w:cs="Times New Roman"/>
          <w:szCs w:val="24"/>
        </w:rPr>
        <w:t xml:space="preserve"> because </w:t>
      </w:r>
      <w:r w:rsidR="00C77741">
        <w:rPr>
          <w:rFonts w:cs="Times New Roman"/>
          <w:szCs w:val="24"/>
        </w:rPr>
        <w:t xml:space="preserve">in the </w:t>
      </w:r>
      <w:r w:rsidR="00540825">
        <w:rPr>
          <w:rFonts w:cs="Times New Roman"/>
          <w:szCs w:val="24"/>
        </w:rPr>
        <w:t>“</w:t>
      </w:r>
      <w:r w:rsidR="00C77741" w:rsidRPr="00540825">
        <w:rPr>
          <w:rFonts w:cs="Times New Roman"/>
          <w:szCs w:val="24"/>
        </w:rPr>
        <w:t>Discourse</w:t>
      </w:r>
      <w:r w:rsidR="00540825">
        <w:rPr>
          <w:rFonts w:cs="Times New Roman"/>
          <w:szCs w:val="24"/>
        </w:rPr>
        <w:t>”</w:t>
      </w:r>
      <w:r w:rsidR="00C77741">
        <w:rPr>
          <w:rFonts w:cs="Times New Roman"/>
          <w:szCs w:val="24"/>
        </w:rPr>
        <w:t xml:space="preserve"> Leibniz </w:t>
      </w:r>
      <w:r w:rsidR="00AB4352">
        <w:rPr>
          <w:rFonts w:cs="Times New Roman"/>
          <w:szCs w:val="24"/>
        </w:rPr>
        <w:t xml:space="preserve">unhelpfully </w:t>
      </w:r>
      <w:r w:rsidR="00C77741">
        <w:rPr>
          <w:rFonts w:cs="Times New Roman"/>
          <w:szCs w:val="24"/>
        </w:rPr>
        <w:t xml:space="preserve">uses the </w:t>
      </w:r>
      <w:r w:rsidR="00AB4352">
        <w:rPr>
          <w:rFonts w:cs="Times New Roman"/>
          <w:szCs w:val="24"/>
        </w:rPr>
        <w:t>term</w:t>
      </w:r>
      <w:r w:rsidR="00C77741">
        <w:rPr>
          <w:rFonts w:cs="Times New Roman"/>
          <w:szCs w:val="24"/>
        </w:rPr>
        <w:t xml:space="preserve"> </w:t>
      </w:r>
      <w:r w:rsidR="005E0D29">
        <w:rPr>
          <w:rFonts w:cs="Times New Roman"/>
          <w:szCs w:val="24"/>
        </w:rPr>
        <w:t>“expression”</w:t>
      </w:r>
      <w:r w:rsidR="00C77741">
        <w:rPr>
          <w:rFonts w:cs="Times New Roman"/>
          <w:szCs w:val="24"/>
        </w:rPr>
        <w:t xml:space="preserve"> in two different senses. In §9, </w:t>
      </w:r>
      <w:r w:rsidR="00061729">
        <w:rPr>
          <w:rFonts w:cs="Times New Roman"/>
          <w:szCs w:val="24"/>
        </w:rPr>
        <w:t xml:space="preserve">as we have seen, </w:t>
      </w:r>
      <w:r w:rsidR="005E0D29">
        <w:rPr>
          <w:rFonts w:cs="Times New Roman"/>
          <w:szCs w:val="24"/>
        </w:rPr>
        <w:t>“expression”</w:t>
      </w:r>
      <w:r w:rsidR="00C77741">
        <w:rPr>
          <w:rFonts w:cs="Times New Roman"/>
          <w:szCs w:val="24"/>
        </w:rPr>
        <w:t xml:space="preserve"> refers to effects (substances) </w:t>
      </w:r>
      <w:r w:rsidR="00AB4352">
        <w:rPr>
          <w:rFonts w:cs="Times New Roman"/>
          <w:szCs w:val="24"/>
        </w:rPr>
        <w:t>represent</w:t>
      </w:r>
      <w:r w:rsidR="00C77741">
        <w:rPr>
          <w:rFonts w:cs="Times New Roman"/>
          <w:szCs w:val="24"/>
        </w:rPr>
        <w:t xml:space="preserve">ing their cause (God), while </w:t>
      </w:r>
      <w:r w:rsidR="00AD74F7">
        <w:rPr>
          <w:rFonts w:cs="Times New Roman"/>
          <w:szCs w:val="24"/>
        </w:rPr>
        <w:t xml:space="preserve">in §36 </w:t>
      </w:r>
      <w:r w:rsidR="00C77741">
        <w:rPr>
          <w:rFonts w:cs="Times New Roman"/>
          <w:szCs w:val="24"/>
        </w:rPr>
        <w:t>it is used in the sense</w:t>
      </w:r>
      <w:r w:rsidR="00AD74F7">
        <w:rPr>
          <w:rFonts w:cs="Times New Roman"/>
          <w:szCs w:val="24"/>
        </w:rPr>
        <w:t xml:space="preserve"> </w:t>
      </w:r>
      <w:r w:rsidR="00C77741">
        <w:rPr>
          <w:rFonts w:cs="Times New Roman"/>
          <w:szCs w:val="24"/>
        </w:rPr>
        <w:t xml:space="preserve">of being </w:t>
      </w:r>
      <w:r w:rsidR="005E0D29">
        <w:rPr>
          <w:rFonts w:cs="Times New Roman"/>
          <w:szCs w:val="24"/>
        </w:rPr>
        <w:t>“created in the image of”</w:t>
      </w:r>
      <w:r w:rsidR="00C77741">
        <w:rPr>
          <w:rFonts w:cs="Times New Roman"/>
          <w:szCs w:val="24"/>
        </w:rPr>
        <w:t>.</w:t>
      </w:r>
      <w:r w:rsidR="00B768E2">
        <w:rPr>
          <w:rStyle w:val="FootnoteReference"/>
          <w:rFonts w:cs="Times New Roman"/>
          <w:szCs w:val="24"/>
        </w:rPr>
        <w:footnoteReference w:id="53"/>
      </w:r>
      <w:r w:rsidR="00C77741">
        <w:rPr>
          <w:rFonts w:cs="Times New Roman"/>
          <w:szCs w:val="24"/>
        </w:rPr>
        <w:t xml:space="preserve"> Hence his point </w:t>
      </w:r>
      <w:r w:rsidR="00B768E2">
        <w:rPr>
          <w:rFonts w:cs="Times New Roman"/>
          <w:szCs w:val="24"/>
        </w:rPr>
        <w:t xml:space="preserve">there </w:t>
      </w:r>
      <w:r w:rsidR="00C77741">
        <w:rPr>
          <w:rFonts w:cs="Times New Roman"/>
          <w:szCs w:val="24"/>
        </w:rPr>
        <w:t xml:space="preserve">is that </w:t>
      </w:r>
      <w:r w:rsidR="00AD74F7">
        <w:rPr>
          <w:rFonts w:cs="Times New Roman"/>
          <w:szCs w:val="24"/>
        </w:rPr>
        <w:t xml:space="preserve">minds are made in </w:t>
      </w:r>
      <w:r w:rsidR="00C77741">
        <w:rPr>
          <w:rFonts w:cs="Times New Roman"/>
          <w:szCs w:val="24"/>
        </w:rPr>
        <w:t>God’s</w:t>
      </w:r>
      <w:r w:rsidR="00AD74F7">
        <w:rPr>
          <w:rFonts w:cs="Times New Roman"/>
          <w:szCs w:val="24"/>
        </w:rPr>
        <w:t xml:space="preserve"> image while other </w:t>
      </w:r>
      <w:r w:rsidR="00AD74F7" w:rsidRPr="00C81E7C">
        <w:rPr>
          <w:rFonts w:cs="Times New Roman"/>
          <w:szCs w:val="24"/>
        </w:rPr>
        <w:t>substances are not</w:t>
      </w:r>
      <w:r w:rsidR="0072778E" w:rsidRPr="00C81E7C">
        <w:rPr>
          <w:rFonts w:cs="Times New Roman"/>
          <w:szCs w:val="24"/>
        </w:rPr>
        <w:t xml:space="preserve">, </w:t>
      </w:r>
      <w:r w:rsidR="00C77741" w:rsidRPr="00C81E7C">
        <w:rPr>
          <w:rFonts w:cs="Times New Roman"/>
          <w:szCs w:val="24"/>
        </w:rPr>
        <w:t>or as he puts it</w:t>
      </w:r>
      <w:r w:rsidR="00AB4352" w:rsidRPr="00C81E7C">
        <w:rPr>
          <w:rFonts w:cs="Times New Roman"/>
          <w:szCs w:val="24"/>
        </w:rPr>
        <w:t xml:space="preserve"> near the start of §36</w:t>
      </w:r>
      <w:r w:rsidR="005E0D29">
        <w:rPr>
          <w:rFonts w:cs="Times New Roman"/>
          <w:szCs w:val="24"/>
        </w:rPr>
        <w:t>, “</w:t>
      </w:r>
      <w:r w:rsidR="00C77741" w:rsidRPr="00C81E7C">
        <w:rPr>
          <w:rFonts w:cs="Times New Roman"/>
          <w:szCs w:val="24"/>
        </w:rPr>
        <w:t xml:space="preserve">minds alone are </w:t>
      </w:r>
      <w:r w:rsidR="005E0D29">
        <w:rPr>
          <w:rFonts w:cs="Times New Roman"/>
          <w:szCs w:val="24"/>
        </w:rPr>
        <w:t>made in his image”</w:t>
      </w:r>
      <w:r w:rsidR="0072778E" w:rsidRPr="00C81E7C">
        <w:rPr>
          <w:rFonts w:cs="Times New Roman"/>
          <w:szCs w:val="24"/>
        </w:rPr>
        <w:t xml:space="preserve"> (</w:t>
      </w:r>
      <w:r w:rsidR="00C77741" w:rsidRPr="00C81E7C">
        <w:rPr>
          <w:rFonts w:cs="Times New Roman"/>
          <w:szCs w:val="24"/>
        </w:rPr>
        <w:t>A VI 4</w:t>
      </w:r>
      <w:r w:rsidR="006572EB">
        <w:rPr>
          <w:rFonts w:cs="Times New Roman"/>
          <w:szCs w:val="24"/>
        </w:rPr>
        <w:t>:</w:t>
      </w:r>
      <w:r w:rsidR="00C77741" w:rsidRPr="00C81E7C">
        <w:rPr>
          <w:rFonts w:cs="Times New Roman"/>
          <w:szCs w:val="24"/>
        </w:rPr>
        <w:t xml:space="preserve"> 1586/PPL 327).</w:t>
      </w:r>
      <w:r w:rsidR="000358F4" w:rsidRPr="00C81E7C">
        <w:rPr>
          <w:rFonts w:cs="Times New Roman"/>
          <w:szCs w:val="24"/>
        </w:rPr>
        <w:t xml:space="preserve"> </w:t>
      </w:r>
      <w:r w:rsidR="00A34EF1">
        <w:rPr>
          <w:rFonts w:cs="Times New Roman"/>
          <w:szCs w:val="24"/>
        </w:rPr>
        <w:t xml:space="preserve">In the </w:t>
      </w:r>
      <w:r w:rsidR="00A34EF1" w:rsidRPr="00A34EF1">
        <w:rPr>
          <w:rFonts w:cs="Times New Roman"/>
          <w:i/>
          <w:szCs w:val="24"/>
        </w:rPr>
        <w:t>Discourse</w:t>
      </w:r>
      <w:r w:rsidR="00A34EF1">
        <w:rPr>
          <w:rFonts w:cs="Times New Roman"/>
          <w:szCs w:val="24"/>
        </w:rPr>
        <w:t>, Leibniz takes this to mean</w:t>
      </w:r>
      <w:r w:rsidR="0072778E" w:rsidRPr="00C81E7C">
        <w:rPr>
          <w:rFonts w:cs="Times New Roman"/>
          <w:szCs w:val="24"/>
        </w:rPr>
        <w:t xml:space="preserve"> that minds are rational and free, these being qualities </w:t>
      </w:r>
      <w:r w:rsidR="00EB38C9">
        <w:rPr>
          <w:rFonts w:cs="Times New Roman"/>
          <w:szCs w:val="24"/>
        </w:rPr>
        <w:t xml:space="preserve">we share with </w:t>
      </w:r>
      <w:r w:rsidR="0072778E" w:rsidRPr="00C81E7C">
        <w:rPr>
          <w:rFonts w:cs="Times New Roman"/>
          <w:szCs w:val="24"/>
        </w:rPr>
        <w:t>God</w:t>
      </w:r>
      <w:r w:rsidR="00F07078">
        <w:rPr>
          <w:rFonts w:cs="Times New Roman"/>
          <w:szCs w:val="24"/>
        </w:rPr>
        <w:t>.</w:t>
      </w:r>
      <w:r w:rsidR="00991236">
        <w:rPr>
          <w:rStyle w:val="FootnoteReference"/>
          <w:rFonts w:cs="Times New Roman"/>
          <w:szCs w:val="24"/>
        </w:rPr>
        <w:footnoteReference w:id="54"/>
      </w:r>
      <w:r w:rsidR="00C81E7C" w:rsidRPr="00C81E7C">
        <w:rPr>
          <w:rFonts w:cs="Times New Roman"/>
          <w:szCs w:val="24"/>
        </w:rPr>
        <w:t xml:space="preserve"> </w:t>
      </w:r>
      <w:r w:rsidR="00F07078">
        <w:rPr>
          <w:rFonts w:cs="Times New Roman"/>
          <w:szCs w:val="24"/>
        </w:rPr>
        <w:t>The</w:t>
      </w:r>
      <w:r w:rsidR="00C81E7C" w:rsidRPr="00C81E7C">
        <w:rPr>
          <w:rFonts w:cs="Times New Roman"/>
          <w:szCs w:val="24"/>
        </w:rPr>
        <w:t xml:space="preserve"> </w:t>
      </w:r>
      <w:r w:rsidR="0072778E" w:rsidRPr="00C81E7C">
        <w:rPr>
          <w:rFonts w:cs="Times New Roman"/>
          <w:szCs w:val="24"/>
        </w:rPr>
        <w:t xml:space="preserve">claim that minds are </w:t>
      </w:r>
      <w:r w:rsidR="00C81E7C" w:rsidRPr="00C81E7C">
        <w:rPr>
          <w:rFonts w:cs="Times New Roman"/>
          <w:szCs w:val="24"/>
        </w:rPr>
        <w:t>made in God’s image</w:t>
      </w:r>
      <w:r w:rsidR="0072778E" w:rsidRPr="00C81E7C">
        <w:rPr>
          <w:rFonts w:cs="Times New Roman"/>
          <w:szCs w:val="24"/>
        </w:rPr>
        <w:t xml:space="preserve"> </w:t>
      </w:r>
      <w:r w:rsidR="00C81E7C" w:rsidRPr="00C81E7C">
        <w:rPr>
          <w:rFonts w:cs="Times New Roman"/>
          <w:szCs w:val="24"/>
        </w:rPr>
        <w:t>is clearly meant to evoke</w:t>
      </w:r>
      <w:r w:rsidR="0072778E" w:rsidRPr="00C81E7C">
        <w:rPr>
          <w:rFonts w:cs="Times New Roman"/>
          <w:szCs w:val="24"/>
        </w:rPr>
        <w:t xml:space="preserve"> Genesis 1.27</w:t>
      </w:r>
      <w:r w:rsidR="00C81E7C" w:rsidRPr="00C81E7C">
        <w:rPr>
          <w:rFonts w:cs="Times New Roman"/>
          <w:szCs w:val="24"/>
        </w:rPr>
        <w:t>-</w:t>
      </w:r>
      <w:r w:rsidR="0072778E" w:rsidRPr="00C81E7C">
        <w:rPr>
          <w:rFonts w:cs="Times New Roman"/>
          <w:szCs w:val="24"/>
        </w:rPr>
        <w:t>8, 5.1</w:t>
      </w:r>
      <w:r w:rsidR="00C81E7C" w:rsidRPr="00C81E7C">
        <w:rPr>
          <w:rFonts w:cs="Times New Roman"/>
          <w:szCs w:val="24"/>
        </w:rPr>
        <w:t>-</w:t>
      </w:r>
      <w:r w:rsidR="0072778E" w:rsidRPr="00C81E7C">
        <w:rPr>
          <w:rFonts w:cs="Times New Roman"/>
          <w:szCs w:val="24"/>
        </w:rPr>
        <w:t>2, and 9.6</w:t>
      </w:r>
      <w:r w:rsidR="00C81E7C" w:rsidRPr="00C81E7C">
        <w:rPr>
          <w:rFonts w:cs="Times New Roman"/>
          <w:szCs w:val="24"/>
        </w:rPr>
        <w:t xml:space="preserve"> in his reader’s mind, though n</w:t>
      </w:r>
      <w:r w:rsidR="0072778E" w:rsidRPr="00C81E7C">
        <w:rPr>
          <w:rFonts w:cs="Times New Roman"/>
          <w:szCs w:val="24"/>
        </w:rPr>
        <w:t>ote that Leibniz goes beyond what is said in Genesis, which very clearly</w:t>
      </w:r>
      <w:r w:rsidR="00C81E7C" w:rsidRPr="00C81E7C">
        <w:rPr>
          <w:rFonts w:cs="Times New Roman"/>
          <w:szCs w:val="24"/>
        </w:rPr>
        <w:t xml:space="preserve"> </w:t>
      </w:r>
      <w:r w:rsidR="0072778E" w:rsidRPr="00C81E7C">
        <w:rPr>
          <w:rFonts w:cs="Times New Roman"/>
          <w:szCs w:val="24"/>
        </w:rPr>
        <w:t xml:space="preserve">states that </w:t>
      </w:r>
      <w:r w:rsidR="0072778E" w:rsidRPr="00C81E7C">
        <w:rPr>
          <w:rFonts w:cs="Times New Roman"/>
          <w:i/>
          <w:iCs/>
          <w:szCs w:val="24"/>
        </w:rPr>
        <w:t xml:space="preserve">human beings </w:t>
      </w:r>
      <w:r w:rsidR="0072778E" w:rsidRPr="00C81E7C">
        <w:rPr>
          <w:rFonts w:cs="Times New Roman"/>
          <w:szCs w:val="24"/>
        </w:rPr>
        <w:t xml:space="preserve">are made in </w:t>
      </w:r>
      <w:r w:rsidR="00C81E7C" w:rsidRPr="00C81E7C">
        <w:rPr>
          <w:rFonts w:cs="Times New Roman"/>
          <w:szCs w:val="24"/>
        </w:rPr>
        <w:t>God’s</w:t>
      </w:r>
      <w:r w:rsidR="0072778E" w:rsidRPr="00C81E7C">
        <w:rPr>
          <w:rFonts w:cs="Times New Roman"/>
          <w:szCs w:val="24"/>
        </w:rPr>
        <w:t xml:space="preserve"> image</w:t>
      </w:r>
      <w:r w:rsidR="0018790C">
        <w:rPr>
          <w:rFonts w:cs="Times New Roman"/>
          <w:szCs w:val="24"/>
        </w:rPr>
        <w:t xml:space="preserve"> rather than</w:t>
      </w:r>
      <w:r w:rsidR="00C81E7C" w:rsidRPr="00C81E7C">
        <w:rPr>
          <w:rFonts w:cs="Times New Roman"/>
          <w:szCs w:val="24"/>
        </w:rPr>
        <w:t xml:space="preserve"> </w:t>
      </w:r>
      <w:r w:rsidR="00C81E7C" w:rsidRPr="005D2861">
        <w:rPr>
          <w:rFonts w:cs="Times New Roman"/>
          <w:i/>
          <w:szCs w:val="24"/>
        </w:rPr>
        <w:t>minds</w:t>
      </w:r>
      <w:r w:rsidR="0018790C">
        <w:rPr>
          <w:rFonts w:cs="Times New Roman"/>
          <w:szCs w:val="24"/>
        </w:rPr>
        <w:t xml:space="preserve">. </w:t>
      </w:r>
      <w:r w:rsidR="009C7390">
        <w:rPr>
          <w:rFonts w:cs="Times New Roman"/>
          <w:szCs w:val="24"/>
        </w:rPr>
        <w:t>For</w:t>
      </w:r>
      <w:r w:rsidR="0018790C">
        <w:rPr>
          <w:rFonts w:cs="Times New Roman"/>
          <w:szCs w:val="24"/>
        </w:rPr>
        <w:t xml:space="preserve"> Leibniz</w:t>
      </w:r>
      <w:r w:rsidR="009C7390">
        <w:rPr>
          <w:rFonts w:cs="Times New Roman"/>
          <w:szCs w:val="24"/>
        </w:rPr>
        <w:t xml:space="preserve">, the category of minds is </w:t>
      </w:r>
      <w:r w:rsidR="005D2861">
        <w:rPr>
          <w:rFonts w:cs="Times New Roman"/>
          <w:szCs w:val="24"/>
        </w:rPr>
        <w:t>not exclusively made up of</w:t>
      </w:r>
      <w:r w:rsidR="0018790C">
        <w:rPr>
          <w:rFonts w:cs="Times New Roman"/>
          <w:szCs w:val="24"/>
        </w:rPr>
        <w:t xml:space="preserve"> human beings, </w:t>
      </w:r>
      <w:r w:rsidR="005D2861">
        <w:rPr>
          <w:rFonts w:cs="Times New Roman"/>
          <w:szCs w:val="24"/>
        </w:rPr>
        <w:t xml:space="preserve">as it </w:t>
      </w:r>
      <w:r w:rsidR="009C7390">
        <w:rPr>
          <w:rFonts w:cs="Times New Roman"/>
          <w:szCs w:val="24"/>
        </w:rPr>
        <w:t>incorporat</w:t>
      </w:r>
      <w:r w:rsidR="005D2861">
        <w:rPr>
          <w:rFonts w:cs="Times New Roman"/>
          <w:szCs w:val="24"/>
        </w:rPr>
        <w:t>es</w:t>
      </w:r>
      <w:r w:rsidR="0018790C">
        <w:rPr>
          <w:rFonts w:cs="Times New Roman"/>
          <w:szCs w:val="24"/>
        </w:rPr>
        <w:t xml:space="preserve"> </w:t>
      </w:r>
      <w:r w:rsidR="0072778E" w:rsidRPr="00C81E7C">
        <w:rPr>
          <w:rFonts w:cs="Times New Roman"/>
          <w:szCs w:val="24"/>
        </w:rPr>
        <w:t>higher (superhuman)</w:t>
      </w:r>
      <w:r w:rsidR="0018790C">
        <w:rPr>
          <w:rFonts w:cs="Times New Roman"/>
          <w:szCs w:val="24"/>
        </w:rPr>
        <w:t xml:space="preserve"> beings such as genii and angels </w:t>
      </w:r>
      <w:r w:rsidR="009C7390">
        <w:rPr>
          <w:rFonts w:cs="Times New Roman"/>
          <w:szCs w:val="24"/>
        </w:rPr>
        <w:t>as well</w:t>
      </w:r>
      <w:r w:rsidR="008E15AF">
        <w:rPr>
          <w:rFonts w:cs="Times New Roman"/>
          <w:szCs w:val="24"/>
        </w:rPr>
        <w:t>,</w:t>
      </w:r>
      <w:r w:rsidR="00540825">
        <w:rPr>
          <w:rStyle w:val="FootnoteReference"/>
          <w:rFonts w:cs="Times New Roman"/>
          <w:szCs w:val="24"/>
        </w:rPr>
        <w:footnoteReference w:id="55"/>
      </w:r>
      <w:r w:rsidR="008E15AF">
        <w:rPr>
          <w:rFonts w:cs="Times New Roman"/>
          <w:szCs w:val="24"/>
        </w:rPr>
        <w:t xml:space="preserve"> though this is not </w:t>
      </w:r>
      <w:r w:rsidR="001175E8">
        <w:rPr>
          <w:rFonts w:cs="Times New Roman"/>
          <w:szCs w:val="24"/>
        </w:rPr>
        <w:t>stated</w:t>
      </w:r>
      <w:r w:rsidR="008E15AF">
        <w:rPr>
          <w:rFonts w:cs="Times New Roman"/>
          <w:szCs w:val="24"/>
        </w:rPr>
        <w:t xml:space="preserve"> in the </w:t>
      </w:r>
      <w:r w:rsidR="00540825">
        <w:rPr>
          <w:rFonts w:cs="Times New Roman"/>
          <w:szCs w:val="24"/>
        </w:rPr>
        <w:t>“</w:t>
      </w:r>
      <w:r w:rsidR="008E15AF" w:rsidRPr="00540825">
        <w:rPr>
          <w:rFonts w:cs="Times New Roman"/>
          <w:szCs w:val="24"/>
        </w:rPr>
        <w:t>Discourse</w:t>
      </w:r>
      <w:r w:rsidR="00540825">
        <w:rPr>
          <w:rFonts w:cs="Times New Roman"/>
          <w:szCs w:val="24"/>
        </w:rPr>
        <w:t>”</w:t>
      </w:r>
      <w:r w:rsidR="0018790C">
        <w:rPr>
          <w:rFonts w:cs="Times New Roman"/>
          <w:szCs w:val="24"/>
        </w:rPr>
        <w:t>.</w:t>
      </w:r>
    </w:p>
    <w:p w:rsidR="0061049C" w:rsidRDefault="00815CFC" w:rsidP="007327D2">
      <w:pPr>
        <w:autoSpaceDE w:val="0"/>
        <w:autoSpaceDN w:val="0"/>
        <w:adjustRightInd w:val="0"/>
        <w:spacing w:line="480" w:lineRule="auto"/>
        <w:rPr>
          <w:rFonts w:cs="Times New Roman"/>
          <w:szCs w:val="24"/>
        </w:rPr>
      </w:pPr>
      <w:r>
        <w:rPr>
          <w:rFonts w:cs="Times New Roman"/>
          <w:szCs w:val="24"/>
        </w:rPr>
        <w:tab/>
        <w:t>The second Christian motif is introduced in connection with the claim that the excellence of m</w:t>
      </w:r>
      <w:r w:rsidRPr="0061049C">
        <w:rPr>
          <w:rFonts w:cs="Times New Roman"/>
          <w:szCs w:val="24"/>
        </w:rPr>
        <w:t xml:space="preserve">inds </w:t>
      </w:r>
      <w:r>
        <w:rPr>
          <w:rFonts w:cs="Times New Roman"/>
          <w:szCs w:val="24"/>
        </w:rPr>
        <w:t xml:space="preserve">is such that God </w:t>
      </w:r>
      <w:r w:rsidRPr="0061049C">
        <w:rPr>
          <w:rFonts w:cs="Times New Roman"/>
          <w:szCs w:val="24"/>
        </w:rPr>
        <w:t>enter</w:t>
      </w:r>
      <w:r>
        <w:rPr>
          <w:rFonts w:cs="Times New Roman"/>
          <w:szCs w:val="24"/>
        </w:rPr>
        <w:t>s</w:t>
      </w:r>
      <w:r w:rsidRPr="0061049C">
        <w:rPr>
          <w:rFonts w:cs="Times New Roman"/>
          <w:szCs w:val="24"/>
        </w:rPr>
        <w:t xml:space="preserve"> into </w:t>
      </w:r>
      <w:r w:rsidR="009312B9">
        <w:rPr>
          <w:rFonts w:cs="Times New Roman"/>
          <w:szCs w:val="24"/>
        </w:rPr>
        <w:t>a society</w:t>
      </w:r>
      <w:r w:rsidRPr="0061049C">
        <w:rPr>
          <w:rFonts w:cs="Times New Roman"/>
          <w:szCs w:val="24"/>
        </w:rPr>
        <w:t xml:space="preserve"> with </w:t>
      </w:r>
      <w:r>
        <w:rPr>
          <w:rFonts w:cs="Times New Roman"/>
          <w:szCs w:val="24"/>
        </w:rPr>
        <w:t>them, not as equals, but as a prince en</w:t>
      </w:r>
      <w:r w:rsidR="009312B9">
        <w:rPr>
          <w:rFonts w:cs="Times New Roman"/>
          <w:szCs w:val="24"/>
        </w:rPr>
        <w:t>ters society with his subjects.</w:t>
      </w:r>
      <w:r w:rsidR="005D46E8">
        <w:rPr>
          <w:rFonts w:cs="Times New Roman"/>
          <w:szCs w:val="24"/>
        </w:rPr>
        <w:t xml:space="preserve"> </w:t>
      </w:r>
      <w:r w:rsidR="009312B9">
        <w:rPr>
          <w:rFonts w:cs="Times New Roman"/>
          <w:szCs w:val="24"/>
        </w:rPr>
        <w:t xml:space="preserve">Leibniz refers to </w:t>
      </w:r>
      <w:r w:rsidR="009A3305" w:rsidRPr="0040643E">
        <w:rPr>
          <w:rFonts w:cs="Times New Roman"/>
          <w:szCs w:val="24"/>
        </w:rPr>
        <w:t xml:space="preserve">this </w:t>
      </w:r>
      <w:r w:rsidR="009312B9">
        <w:rPr>
          <w:rFonts w:cs="Times New Roman"/>
          <w:szCs w:val="24"/>
        </w:rPr>
        <w:t>society</w:t>
      </w:r>
      <w:r w:rsidR="009A3305" w:rsidRPr="0040643E">
        <w:rPr>
          <w:rFonts w:cs="Times New Roman"/>
          <w:szCs w:val="24"/>
        </w:rPr>
        <w:t xml:space="preserve"> as the </w:t>
      </w:r>
      <w:r w:rsidR="005E0D29">
        <w:rPr>
          <w:rFonts w:cs="Times New Roman"/>
          <w:szCs w:val="24"/>
        </w:rPr>
        <w:t>“</w:t>
      </w:r>
      <w:r w:rsidR="004323DE">
        <w:rPr>
          <w:rFonts w:cs="Times New Roman"/>
          <w:szCs w:val="24"/>
        </w:rPr>
        <w:t>c</w:t>
      </w:r>
      <w:r w:rsidR="005E0D29">
        <w:rPr>
          <w:rFonts w:cs="Times New Roman"/>
          <w:szCs w:val="24"/>
        </w:rPr>
        <w:t>ity of God”</w:t>
      </w:r>
      <w:r w:rsidR="004323DE">
        <w:rPr>
          <w:rFonts w:cs="Times New Roman"/>
          <w:szCs w:val="24"/>
        </w:rPr>
        <w:t xml:space="preserve"> (A VI 4</w:t>
      </w:r>
      <w:r w:rsidR="006572EB">
        <w:rPr>
          <w:rFonts w:cs="Times New Roman"/>
          <w:szCs w:val="24"/>
        </w:rPr>
        <w:t>:</w:t>
      </w:r>
      <w:r w:rsidR="004323DE">
        <w:rPr>
          <w:rFonts w:cs="Times New Roman"/>
          <w:szCs w:val="24"/>
        </w:rPr>
        <w:t xml:space="preserve"> </w:t>
      </w:r>
      <w:r w:rsidR="00F07078">
        <w:rPr>
          <w:rFonts w:cs="Times New Roman"/>
          <w:szCs w:val="24"/>
        </w:rPr>
        <w:t>1587</w:t>
      </w:r>
      <w:r w:rsidR="004323DE">
        <w:rPr>
          <w:rFonts w:cs="Times New Roman"/>
          <w:szCs w:val="24"/>
        </w:rPr>
        <w:t>/PPL 327)</w:t>
      </w:r>
      <w:r w:rsidR="009312B9">
        <w:rPr>
          <w:rFonts w:cs="Times New Roman"/>
          <w:szCs w:val="24"/>
        </w:rPr>
        <w:t xml:space="preserve">, a term </w:t>
      </w:r>
      <w:r w:rsidR="009A3305" w:rsidRPr="0040643E">
        <w:rPr>
          <w:rFonts w:cs="Times New Roman"/>
          <w:szCs w:val="24"/>
        </w:rPr>
        <w:t>borrowed from</w:t>
      </w:r>
      <w:r w:rsidR="009A3305">
        <w:rPr>
          <w:rFonts w:cs="Times New Roman"/>
          <w:szCs w:val="24"/>
        </w:rPr>
        <w:t xml:space="preserve"> </w:t>
      </w:r>
      <w:r w:rsidR="009A3305" w:rsidRPr="0040643E">
        <w:rPr>
          <w:rFonts w:cs="Times New Roman"/>
          <w:szCs w:val="24"/>
        </w:rPr>
        <w:t>Augustine, who wrote a book with that title. However</w:t>
      </w:r>
      <w:r w:rsidR="009A3305">
        <w:rPr>
          <w:rFonts w:cs="Times New Roman"/>
          <w:szCs w:val="24"/>
        </w:rPr>
        <w:t xml:space="preserve"> </w:t>
      </w:r>
      <w:r w:rsidR="009A3305" w:rsidRPr="0040643E">
        <w:rPr>
          <w:rFonts w:cs="Times New Roman"/>
          <w:szCs w:val="24"/>
        </w:rPr>
        <w:t xml:space="preserve">Leibniz’s understanding of the </w:t>
      </w:r>
      <w:r w:rsidR="005E0D29">
        <w:rPr>
          <w:rFonts w:cs="Times New Roman"/>
          <w:szCs w:val="24"/>
        </w:rPr>
        <w:t>“</w:t>
      </w:r>
      <w:r w:rsidR="004323DE">
        <w:rPr>
          <w:rFonts w:cs="Times New Roman"/>
          <w:szCs w:val="24"/>
        </w:rPr>
        <w:t>c</w:t>
      </w:r>
      <w:r w:rsidR="005E0D29">
        <w:rPr>
          <w:rFonts w:cs="Times New Roman"/>
          <w:szCs w:val="24"/>
        </w:rPr>
        <w:t>ity of God”</w:t>
      </w:r>
      <w:r w:rsidR="009A3305" w:rsidRPr="0040643E">
        <w:rPr>
          <w:rFonts w:cs="Times New Roman"/>
          <w:szCs w:val="24"/>
        </w:rPr>
        <w:t xml:space="preserve"> is not the same as Augustine’s:</w:t>
      </w:r>
      <w:r w:rsidR="009A3305">
        <w:rPr>
          <w:rFonts w:cs="Times New Roman"/>
          <w:szCs w:val="24"/>
        </w:rPr>
        <w:t xml:space="preserve"> </w:t>
      </w:r>
      <w:r w:rsidR="009A3305" w:rsidRPr="0040643E">
        <w:rPr>
          <w:rFonts w:cs="Times New Roman"/>
          <w:szCs w:val="24"/>
        </w:rPr>
        <w:t xml:space="preserve">for Augustine, the </w:t>
      </w:r>
      <w:r w:rsidR="004323DE">
        <w:rPr>
          <w:rFonts w:cs="Times New Roman"/>
          <w:szCs w:val="24"/>
        </w:rPr>
        <w:t>c</w:t>
      </w:r>
      <w:r w:rsidR="009A3305" w:rsidRPr="0040643E">
        <w:rPr>
          <w:rFonts w:cs="Times New Roman"/>
          <w:szCs w:val="24"/>
        </w:rPr>
        <w:t>ity of God is the Christian church, encompassing the saints, the angels, and the blessed. Moreover, it is a heavenly or celestial city, which exists on Earth only for a time (as such it is contrasted with the Earthly City).</w:t>
      </w:r>
      <w:r w:rsidR="009A3305">
        <w:rPr>
          <w:rStyle w:val="FootnoteReference"/>
          <w:rFonts w:cs="Times New Roman"/>
          <w:szCs w:val="24"/>
        </w:rPr>
        <w:footnoteReference w:id="56"/>
      </w:r>
      <w:r w:rsidR="009A3305" w:rsidRPr="0040643E">
        <w:rPr>
          <w:rFonts w:cs="Times New Roman"/>
          <w:szCs w:val="24"/>
        </w:rPr>
        <w:t xml:space="preserve"> Leibniz’s </w:t>
      </w:r>
      <w:r w:rsidR="004323DE">
        <w:rPr>
          <w:rFonts w:cs="Times New Roman"/>
          <w:szCs w:val="24"/>
        </w:rPr>
        <w:t>c</w:t>
      </w:r>
      <w:r w:rsidR="009A3305" w:rsidRPr="0040643E">
        <w:rPr>
          <w:rFonts w:cs="Times New Roman"/>
          <w:szCs w:val="24"/>
        </w:rPr>
        <w:t>ity of God, on the other hand, is populated not just by Christian minds but by all minds</w:t>
      </w:r>
      <w:r w:rsidR="006F3AEF">
        <w:rPr>
          <w:rFonts w:cs="Times New Roman"/>
          <w:szCs w:val="24"/>
        </w:rPr>
        <w:t xml:space="preserve">. </w:t>
      </w:r>
      <w:r w:rsidR="004323DE">
        <w:rPr>
          <w:rFonts w:cs="Times New Roman"/>
          <w:szCs w:val="24"/>
        </w:rPr>
        <w:t xml:space="preserve">He also envisages it enduring forever, </w:t>
      </w:r>
      <w:r w:rsidR="00440C43">
        <w:rPr>
          <w:rFonts w:cs="Times New Roman"/>
          <w:szCs w:val="24"/>
        </w:rPr>
        <w:t xml:space="preserve">just </w:t>
      </w:r>
      <w:r w:rsidR="004323DE">
        <w:rPr>
          <w:rFonts w:cs="Times New Roman"/>
          <w:szCs w:val="24"/>
        </w:rPr>
        <w:t>as its inhabitants do</w:t>
      </w:r>
      <w:r w:rsidR="001175E8">
        <w:rPr>
          <w:rFonts w:cs="Times New Roman"/>
          <w:szCs w:val="24"/>
        </w:rPr>
        <w:t>. In this</w:t>
      </w:r>
      <w:r w:rsidR="00AB0AD3">
        <w:rPr>
          <w:rFonts w:cs="Times New Roman"/>
          <w:szCs w:val="24"/>
        </w:rPr>
        <w:t xml:space="preserve"> city, minds can look forward to great happiness, f</w:t>
      </w:r>
      <w:r w:rsidR="00B74619">
        <w:rPr>
          <w:rFonts w:cs="Times New Roman"/>
          <w:szCs w:val="24"/>
        </w:rPr>
        <w:t>or j</w:t>
      </w:r>
      <w:r w:rsidR="005D46E8">
        <w:rPr>
          <w:rFonts w:cs="Times New Roman"/>
          <w:szCs w:val="24"/>
        </w:rPr>
        <w:t xml:space="preserve">ust as a beneficent prince desires his subjects be as happy as possible, so God wishes the same for minds; indeed, Leibniz declares that </w:t>
      </w:r>
      <w:r w:rsidR="00B72D27">
        <w:rPr>
          <w:rFonts w:cs="Times New Roman"/>
          <w:szCs w:val="24"/>
        </w:rPr>
        <w:t>the happiness of minds is God’</w:t>
      </w:r>
      <w:r w:rsidR="0061049C" w:rsidRPr="0061049C">
        <w:rPr>
          <w:rFonts w:cs="Times New Roman"/>
          <w:szCs w:val="24"/>
        </w:rPr>
        <w:t>s principal design</w:t>
      </w:r>
      <w:r w:rsidR="00AB0AD3">
        <w:rPr>
          <w:rFonts w:cs="Times New Roman"/>
          <w:szCs w:val="24"/>
        </w:rPr>
        <w:t xml:space="preserve"> (A VI 4</w:t>
      </w:r>
      <w:r w:rsidR="006572EB">
        <w:rPr>
          <w:rFonts w:cs="Times New Roman"/>
          <w:szCs w:val="24"/>
        </w:rPr>
        <w:t>:</w:t>
      </w:r>
      <w:r w:rsidR="00AB0AD3">
        <w:rPr>
          <w:rFonts w:cs="Times New Roman"/>
          <w:szCs w:val="24"/>
        </w:rPr>
        <w:t xml:space="preserve"> 1587/PPL 327).</w:t>
      </w:r>
    </w:p>
    <w:p w:rsidR="00AB0AD3" w:rsidRPr="00AB0AD3" w:rsidRDefault="00AB0AD3" w:rsidP="007327D2">
      <w:pPr>
        <w:autoSpaceDE w:val="0"/>
        <w:autoSpaceDN w:val="0"/>
        <w:adjustRightInd w:val="0"/>
        <w:spacing w:line="480" w:lineRule="auto"/>
        <w:rPr>
          <w:rFonts w:cs="Times New Roman"/>
          <w:szCs w:val="24"/>
        </w:rPr>
      </w:pPr>
      <w:r>
        <w:rPr>
          <w:rFonts w:cs="Times New Roman"/>
          <w:szCs w:val="24"/>
        </w:rPr>
        <w:tab/>
        <w:t xml:space="preserve">The </w:t>
      </w:r>
      <w:r w:rsidR="00540825">
        <w:rPr>
          <w:rFonts w:cs="Times New Roman"/>
          <w:szCs w:val="24"/>
        </w:rPr>
        <w:t>“</w:t>
      </w:r>
      <w:r w:rsidRPr="00540825">
        <w:rPr>
          <w:rFonts w:cs="Times New Roman"/>
          <w:szCs w:val="24"/>
        </w:rPr>
        <w:t>Discourse</w:t>
      </w:r>
      <w:r w:rsidR="00540825">
        <w:rPr>
          <w:rFonts w:cs="Times New Roman"/>
          <w:szCs w:val="24"/>
        </w:rPr>
        <w:t>”</w:t>
      </w:r>
      <w:r>
        <w:rPr>
          <w:rFonts w:cs="Times New Roman"/>
          <w:szCs w:val="24"/>
        </w:rPr>
        <w:t xml:space="preserve"> ends with Leibniz offering a slew of quotations from the New Testament, most of which </w:t>
      </w:r>
      <w:r w:rsidR="001175E8">
        <w:rPr>
          <w:rFonts w:cs="Times New Roman"/>
          <w:szCs w:val="24"/>
        </w:rPr>
        <w:t>involve</w:t>
      </w:r>
      <w:r>
        <w:rPr>
          <w:rFonts w:cs="Times New Roman"/>
          <w:szCs w:val="24"/>
        </w:rPr>
        <w:t xml:space="preserve"> God’s concern for his creatures (e.g. Matthew 10.29-30) or the rewards to come in the afterlife (e.g. </w:t>
      </w:r>
      <w:r w:rsidRPr="007A0495">
        <w:rPr>
          <w:rFonts w:cs="Times New Roman"/>
          <w:szCs w:val="24"/>
        </w:rPr>
        <w:t xml:space="preserve">Matthew 13.43 and I Corinthians 2.9). </w:t>
      </w:r>
      <w:r w:rsidR="007A0495" w:rsidRPr="007A0495">
        <w:rPr>
          <w:rFonts w:cs="Times New Roman"/>
          <w:szCs w:val="24"/>
        </w:rPr>
        <w:t xml:space="preserve">That Leibniz should conclude the text this way is not surprising. </w:t>
      </w:r>
      <w:r w:rsidR="007A0495">
        <w:rPr>
          <w:rFonts w:cs="Times New Roman"/>
          <w:szCs w:val="24"/>
        </w:rPr>
        <w:t>For one thing, i</w:t>
      </w:r>
      <w:r w:rsidR="007A0495" w:rsidRPr="007A0495">
        <w:rPr>
          <w:rFonts w:cs="Times New Roman"/>
          <w:szCs w:val="24"/>
        </w:rPr>
        <w:t xml:space="preserve">t </w:t>
      </w:r>
      <w:r w:rsidR="007A0495">
        <w:rPr>
          <w:rFonts w:cs="Times New Roman"/>
          <w:szCs w:val="24"/>
        </w:rPr>
        <w:t>is worth noting</w:t>
      </w:r>
      <w:r w:rsidR="007A0495" w:rsidRPr="007A0495">
        <w:rPr>
          <w:rFonts w:cs="Times New Roman"/>
          <w:szCs w:val="24"/>
        </w:rPr>
        <w:t xml:space="preserve"> that in an age which frowned </w:t>
      </w:r>
      <w:r w:rsidR="001175E8">
        <w:rPr>
          <w:rFonts w:cs="Times New Roman"/>
          <w:szCs w:val="24"/>
        </w:rPr>
        <w:t>up</w:t>
      </w:r>
      <w:r w:rsidR="007A0495" w:rsidRPr="007A0495">
        <w:rPr>
          <w:rFonts w:cs="Times New Roman"/>
          <w:szCs w:val="24"/>
        </w:rPr>
        <w:t xml:space="preserve">on novelty and unorthodoxy, it was commonplace for philosophers to show that their ideas harmonized with the Bible, or at least were not in conflict with it. Incorporating a number of choice scriptural passages in one’s work was the accepted method to show that this was indeed so. </w:t>
      </w:r>
      <w:r w:rsidR="007A0495">
        <w:rPr>
          <w:rFonts w:cs="Times New Roman"/>
          <w:szCs w:val="24"/>
        </w:rPr>
        <w:t>But perhaps more importantly, g</w:t>
      </w:r>
      <w:r w:rsidR="007A0495" w:rsidRPr="007A0495">
        <w:rPr>
          <w:rFonts w:cs="Times New Roman"/>
          <w:szCs w:val="24"/>
        </w:rPr>
        <w:t xml:space="preserve">iven that one of </w:t>
      </w:r>
      <w:r w:rsidR="007A0495">
        <w:rPr>
          <w:rFonts w:cs="Times New Roman"/>
          <w:szCs w:val="24"/>
        </w:rPr>
        <w:t>Leibniz’s</w:t>
      </w:r>
      <w:r w:rsidR="007A0495" w:rsidRPr="007A0495">
        <w:rPr>
          <w:rFonts w:cs="Times New Roman"/>
          <w:szCs w:val="24"/>
        </w:rPr>
        <w:t xml:space="preserve"> chief targets in the </w:t>
      </w:r>
      <w:r w:rsidR="00FF48FA">
        <w:rPr>
          <w:rFonts w:cs="Times New Roman"/>
          <w:szCs w:val="24"/>
        </w:rPr>
        <w:t>“</w:t>
      </w:r>
      <w:r w:rsidR="007A0495" w:rsidRPr="00FF48FA">
        <w:rPr>
          <w:rFonts w:cs="Times New Roman"/>
          <w:szCs w:val="24"/>
        </w:rPr>
        <w:t>Discourse</w:t>
      </w:r>
      <w:r w:rsidR="00FF48FA">
        <w:rPr>
          <w:rFonts w:cs="Times New Roman"/>
          <w:szCs w:val="24"/>
        </w:rPr>
        <w:t>”</w:t>
      </w:r>
      <w:r w:rsidR="007A0495" w:rsidRPr="007A0495">
        <w:rPr>
          <w:rFonts w:cs="Times New Roman"/>
          <w:szCs w:val="24"/>
        </w:rPr>
        <w:t xml:space="preserve"> is</w:t>
      </w:r>
      <w:r w:rsidR="007A0495">
        <w:rPr>
          <w:rFonts w:cs="Times New Roman"/>
          <w:szCs w:val="24"/>
        </w:rPr>
        <w:t xml:space="preserve"> Malebranche, who littered his work with biblical </w:t>
      </w:r>
      <w:r w:rsidR="001175E8">
        <w:rPr>
          <w:rFonts w:cs="Times New Roman"/>
          <w:szCs w:val="24"/>
        </w:rPr>
        <w:t>quotation</w:t>
      </w:r>
      <w:r w:rsidR="007A0495">
        <w:rPr>
          <w:rFonts w:cs="Times New Roman"/>
          <w:szCs w:val="24"/>
        </w:rPr>
        <w:t xml:space="preserve">s, Leibniz </w:t>
      </w:r>
      <w:r w:rsidR="00C72A4F">
        <w:rPr>
          <w:rFonts w:cs="Times New Roman"/>
          <w:szCs w:val="24"/>
        </w:rPr>
        <w:t>undoubtedly would have realized the value of insinuating</w:t>
      </w:r>
      <w:r w:rsidR="007A0495">
        <w:rPr>
          <w:rFonts w:cs="Times New Roman"/>
          <w:szCs w:val="24"/>
        </w:rPr>
        <w:t xml:space="preserve"> </w:t>
      </w:r>
      <w:r>
        <w:rPr>
          <w:rFonts w:cs="Times New Roman"/>
          <w:szCs w:val="24"/>
        </w:rPr>
        <w:t xml:space="preserve">that the theological vision he outlined </w:t>
      </w:r>
      <w:r w:rsidR="00C72A4F">
        <w:rPr>
          <w:rFonts w:cs="Times New Roman"/>
          <w:szCs w:val="24"/>
        </w:rPr>
        <w:t>in the text wa</w:t>
      </w:r>
      <w:r>
        <w:rPr>
          <w:rFonts w:cs="Times New Roman"/>
          <w:szCs w:val="24"/>
        </w:rPr>
        <w:t>s supported by scripture</w:t>
      </w:r>
      <w:r w:rsidR="007A0495">
        <w:rPr>
          <w:rFonts w:cs="Times New Roman"/>
          <w:szCs w:val="24"/>
        </w:rPr>
        <w:t xml:space="preserve"> too</w:t>
      </w:r>
      <w:r>
        <w:rPr>
          <w:rFonts w:cs="Times New Roman"/>
          <w:szCs w:val="24"/>
        </w:rPr>
        <w:t>.</w:t>
      </w:r>
    </w:p>
    <w:p w:rsidR="00471C6C" w:rsidRDefault="00471C6C" w:rsidP="007327D2">
      <w:pPr>
        <w:autoSpaceDE w:val="0"/>
        <w:autoSpaceDN w:val="0"/>
        <w:adjustRightInd w:val="0"/>
        <w:spacing w:line="480" w:lineRule="auto"/>
        <w:rPr>
          <w:rFonts w:cs="Times New Roman"/>
          <w:b/>
          <w:szCs w:val="24"/>
        </w:rPr>
      </w:pPr>
    </w:p>
    <w:p w:rsidR="00601B3D" w:rsidRDefault="00AB0504" w:rsidP="007327D2">
      <w:pPr>
        <w:autoSpaceDE w:val="0"/>
        <w:autoSpaceDN w:val="0"/>
        <w:adjustRightInd w:val="0"/>
        <w:spacing w:line="480" w:lineRule="auto"/>
        <w:rPr>
          <w:rFonts w:cs="Times New Roman"/>
          <w:b/>
          <w:szCs w:val="24"/>
        </w:rPr>
      </w:pPr>
      <w:r>
        <w:rPr>
          <w:rFonts w:cs="Times New Roman"/>
          <w:b/>
          <w:szCs w:val="24"/>
        </w:rPr>
        <w:t xml:space="preserve">5. </w:t>
      </w:r>
      <w:r w:rsidR="00601B3D">
        <w:rPr>
          <w:rFonts w:cs="Times New Roman"/>
          <w:b/>
          <w:szCs w:val="24"/>
        </w:rPr>
        <w:t xml:space="preserve">The </w:t>
      </w:r>
      <w:r w:rsidR="00FF48FA">
        <w:rPr>
          <w:rFonts w:cs="Times New Roman"/>
          <w:b/>
          <w:szCs w:val="24"/>
        </w:rPr>
        <w:t>p</w:t>
      </w:r>
      <w:r w:rsidR="00B82514">
        <w:rPr>
          <w:rFonts w:cs="Times New Roman"/>
          <w:b/>
          <w:szCs w:val="24"/>
        </w:rPr>
        <w:t xml:space="preserve">urpose </w:t>
      </w:r>
      <w:r w:rsidR="00601B3D">
        <w:rPr>
          <w:rFonts w:cs="Times New Roman"/>
          <w:b/>
          <w:szCs w:val="24"/>
        </w:rPr>
        <w:t xml:space="preserve">of the </w:t>
      </w:r>
      <w:r w:rsidR="00FF48FA">
        <w:rPr>
          <w:rFonts w:cs="Times New Roman"/>
          <w:b/>
          <w:szCs w:val="24"/>
        </w:rPr>
        <w:t>“</w:t>
      </w:r>
      <w:r w:rsidR="00601B3D" w:rsidRPr="00FF48FA">
        <w:rPr>
          <w:rFonts w:cs="Times New Roman"/>
          <w:b/>
          <w:szCs w:val="24"/>
        </w:rPr>
        <w:t>Discourse</w:t>
      </w:r>
      <w:r w:rsidR="00FF48FA">
        <w:rPr>
          <w:rFonts w:cs="Times New Roman"/>
          <w:b/>
          <w:szCs w:val="24"/>
        </w:rPr>
        <w:t>”</w:t>
      </w:r>
    </w:p>
    <w:p w:rsidR="00472011" w:rsidRPr="00472011" w:rsidRDefault="00263B7C" w:rsidP="007327D2">
      <w:pPr>
        <w:autoSpaceDE w:val="0"/>
        <w:autoSpaceDN w:val="0"/>
        <w:adjustRightInd w:val="0"/>
        <w:spacing w:line="480" w:lineRule="auto"/>
        <w:rPr>
          <w:rFonts w:cs="Times New Roman"/>
          <w:szCs w:val="24"/>
        </w:rPr>
      </w:pPr>
      <w:r>
        <w:rPr>
          <w:rFonts w:cs="Times New Roman"/>
          <w:szCs w:val="24"/>
        </w:rPr>
        <w:t xml:space="preserve">Having </w:t>
      </w:r>
      <w:r w:rsidR="00440C43">
        <w:rPr>
          <w:rFonts w:cs="Times New Roman"/>
          <w:szCs w:val="24"/>
        </w:rPr>
        <w:t xml:space="preserve">now </w:t>
      </w:r>
      <w:r w:rsidR="007A0495">
        <w:rPr>
          <w:rFonts w:cs="Times New Roman"/>
          <w:szCs w:val="24"/>
        </w:rPr>
        <w:t xml:space="preserve">charted the </w:t>
      </w:r>
      <w:r w:rsidR="00CA7280">
        <w:rPr>
          <w:rFonts w:cs="Times New Roman"/>
          <w:szCs w:val="24"/>
        </w:rPr>
        <w:t xml:space="preserve">main </w:t>
      </w:r>
      <w:r w:rsidR="007A0495">
        <w:rPr>
          <w:rFonts w:cs="Times New Roman"/>
          <w:szCs w:val="24"/>
        </w:rPr>
        <w:t>contours</w:t>
      </w:r>
      <w:r>
        <w:rPr>
          <w:rFonts w:cs="Times New Roman"/>
          <w:szCs w:val="24"/>
        </w:rPr>
        <w:t xml:space="preserve"> of the </w:t>
      </w:r>
      <w:r w:rsidR="00FF48FA">
        <w:rPr>
          <w:rFonts w:cs="Times New Roman"/>
          <w:szCs w:val="24"/>
        </w:rPr>
        <w:t>“</w:t>
      </w:r>
      <w:r w:rsidRPr="00FF48FA">
        <w:rPr>
          <w:rFonts w:cs="Times New Roman"/>
          <w:szCs w:val="24"/>
        </w:rPr>
        <w:t>Discourse</w:t>
      </w:r>
      <w:r w:rsidR="00FF48FA">
        <w:rPr>
          <w:rFonts w:cs="Times New Roman"/>
          <w:szCs w:val="24"/>
        </w:rPr>
        <w:t>”</w:t>
      </w:r>
      <w:r>
        <w:rPr>
          <w:rFonts w:cs="Times New Roman"/>
          <w:szCs w:val="24"/>
        </w:rPr>
        <w:t xml:space="preserve">, </w:t>
      </w:r>
      <w:r w:rsidR="006D7E0E">
        <w:rPr>
          <w:rFonts w:cs="Times New Roman"/>
          <w:szCs w:val="24"/>
        </w:rPr>
        <w:t>all that remains is</w:t>
      </w:r>
      <w:r>
        <w:rPr>
          <w:rFonts w:cs="Times New Roman"/>
          <w:szCs w:val="24"/>
        </w:rPr>
        <w:t xml:space="preserve"> to consider its purpose. </w:t>
      </w:r>
      <w:r w:rsidR="002747A9">
        <w:rPr>
          <w:rFonts w:cs="Times New Roman"/>
          <w:szCs w:val="24"/>
        </w:rPr>
        <w:t>W</w:t>
      </w:r>
      <w:r>
        <w:rPr>
          <w:rFonts w:cs="Times New Roman"/>
          <w:szCs w:val="24"/>
        </w:rPr>
        <w:t xml:space="preserve">hat led Leibniz to write </w:t>
      </w:r>
      <w:r w:rsidR="002747A9">
        <w:rPr>
          <w:rFonts w:cs="Times New Roman"/>
          <w:szCs w:val="24"/>
        </w:rPr>
        <w:t>it</w:t>
      </w:r>
      <w:r w:rsidR="00306EEE">
        <w:rPr>
          <w:rFonts w:cs="Times New Roman"/>
          <w:szCs w:val="24"/>
        </w:rPr>
        <w:t xml:space="preserve">? </w:t>
      </w:r>
      <w:r w:rsidR="002747A9">
        <w:rPr>
          <w:rFonts w:cs="Times New Roman"/>
          <w:szCs w:val="24"/>
        </w:rPr>
        <w:t>The question is a tricky one because h</w:t>
      </w:r>
      <w:r w:rsidR="004E79BE">
        <w:rPr>
          <w:rFonts w:cs="Times New Roman"/>
          <w:szCs w:val="24"/>
        </w:rPr>
        <w:t xml:space="preserve">is motives are not </w:t>
      </w:r>
      <w:r w:rsidR="00475DE9">
        <w:rPr>
          <w:rFonts w:cs="Times New Roman"/>
          <w:szCs w:val="24"/>
        </w:rPr>
        <w:t>made explicit</w:t>
      </w:r>
      <w:r w:rsidR="004E79BE">
        <w:rPr>
          <w:rFonts w:cs="Times New Roman"/>
          <w:szCs w:val="24"/>
        </w:rPr>
        <w:t xml:space="preserve"> either in the </w:t>
      </w:r>
      <w:r w:rsidR="00FF48FA">
        <w:rPr>
          <w:rFonts w:cs="Times New Roman"/>
          <w:szCs w:val="24"/>
        </w:rPr>
        <w:t>“</w:t>
      </w:r>
      <w:r w:rsidR="002747A9" w:rsidRPr="00FF48FA">
        <w:rPr>
          <w:rFonts w:cs="Times New Roman"/>
          <w:szCs w:val="24"/>
        </w:rPr>
        <w:t>Discourse</w:t>
      </w:r>
      <w:r w:rsidR="00FF48FA">
        <w:rPr>
          <w:rFonts w:cs="Times New Roman"/>
          <w:szCs w:val="24"/>
        </w:rPr>
        <w:t>”</w:t>
      </w:r>
      <w:r w:rsidR="004E79BE" w:rsidRPr="00FF48FA">
        <w:rPr>
          <w:rFonts w:cs="Times New Roman"/>
          <w:szCs w:val="24"/>
        </w:rPr>
        <w:t xml:space="preserve"> </w:t>
      </w:r>
      <w:r w:rsidR="004E79BE">
        <w:rPr>
          <w:rFonts w:cs="Times New Roman"/>
          <w:szCs w:val="24"/>
        </w:rPr>
        <w:t xml:space="preserve">itself or in the only other </w:t>
      </w:r>
      <w:r w:rsidR="002747A9">
        <w:rPr>
          <w:rFonts w:cs="Times New Roman"/>
          <w:szCs w:val="24"/>
        </w:rPr>
        <w:t>text</w:t>
      </w:r>
      <w:r w:rsidR="004E79BE">
        <w:rPr>
          <w:rFonts w:cs="Times New Roman"/>
          <w:szCs w:val="24"/>
        </w:rPr>
        <w:t xml:space="preserve"> that mentions it, namely the letter to Landgrave Ernst of 1/11 February 1686.</w:t>
      </w:r>
      <w:r w:rsidR="00DF1263">
        <w:rPr>
          <w:rFonts w:cs="Times New Roman"/>
          <w:szCs w:val="24"/>
        </w:rPr>
        <w:t xml:space="preserve"> </w:t>
      </w:r>
      <w:r w:rsidR="002747A9">
        <w:rPr>
          <w:rFonts w:cs="Times New Roman"/>
          <w:szCs w:val="24"/>
        </w:rPr>
        <w:t>In the absence of any pronouncements on Leibniz’s part, m</w:t>
      </w:r>
      <w:r w:rsidR="00DF1263">
        <w:rPr>
          <w:rFonts w:cs="Times New Roman"/>
          <w:szCs w:val="24"/>
        </w:rPr>
        <w:t xml:space="preserve">any theories have been put forward as to </w:t>
      </w:r>
      <w:r w:rsidR="002747A9">
        <w:rPr>
          <w:rFonts w:cs="Times New Roman"/>
          <w:szCs w:val="24"/>
        </w:rPr>
        <w:t>his</w:t>
      </w:r>
      <w:r w:rsidR="00DF1263">
        <w:rPr>
          <w:rFonts w:cs="Times New Roman"/>
          <w:szCs w:val="24"/>
        </w:rPr>
        <w:t xml:space="preserve"> motives, but here I shall </w:t>
      </w:r>
      <w:r w:rsidR="00472011">
        <w:rPr>
          <w:rFonts w:cs="Times New Roman"/>
          <w:szCs w:val="24"/>
        </w:rPr>
        <w:t xml:space="preserve">focus on just one, that the </w:t>
      </w:r>
      <w:r w:rsidR="00472011">
        <w:rPr>
          <w:rFonts w:cs="Times New Roman"/>
          <w:i/>
          <w:szCs w:val="24"/>
        </w:rPr>
        <w:t>Discourse</w:t>
      </w:r>
      <w:r w:rsidR="00472011">
        <w:rPr>
          <w:rFonts w:cs="Times New Roman"/>
          <w:szCs w:val="24"/>
        </w:rPr>
        <w:t xml:space="preserve"> was intended to serve an ecumenical </w:t>
      </w:r>
      <w:r w:rsidR="00744746">
        <w:rPr>
          <w:rFonts w:cs="Times New Roman"/>
          <w:szCs w:val="24"/>
        </w:rPr>
        <w:t>purpose</w:t>
      </w:r>
      <w:r w:rsidR="00472011">
        <w:rPr>
          <w:rFonts w:cs="Times New Roman"/>
          <w:szCs w:val="24"/>
        </w:rPr>
        <w:t>.</w:t>
      </w:r>
      <w:r w:rsidR="00475DE9">
        <w:rPr>
          <w:rStyle w:val="FootnoteReference"/>
          <w:rFonts w:cs="Times New Roman"/>
          <w:szCs w:val="24"/>
        </w:rPr>
        <w:footnoteReference w:id="57"/>
      </w:r>
    </w:p>
    <w:p w:rsidR="00167AF4" w:rsidRPr="00B23A45" w:rsidRDefault="00FF48FA" w:rsidP="00B23A45">
      <w:pPr>
        <w:spacing w:line="480" w:lineRule="auto"/>
      </w:pPr>
      <w:r>
        <w:rPr>
          <w:rFonts w:cs="Times New Roman"/>
          <w:szCs w:val="24"/>
        </w:rPr>
        <w:tab/>
      </w:r>
      <w:r w:rsidR="00472011">
        <w:rPr>
          <w:rFonts w:cs="Times New Roman"/>
          <w:szCs w:val="24"/>
        </w:rPr>
        <w:t xml:space="preserve">This idea dates back more than a century. In 1907, Henri </w:t>
      </w:r>
      <w:r w:rsidR="00F12B85" w:rsidRPr="00F12B85">
        <w:rPr>
          <w:rFonts w:cs="Times New Roman"/>
          <w:szCs w:val="24"/>
        </w:rPr>
        <w:t xml:space="preserve">Lestienne suggested that the </w:t>
      </w:r>
      <w:r>
        <w:rPr>
          <w:rFonts w:cs="Times New Roman"/>
          <w:szCs w:val="24"/>
        </w:rPr>
        <w:t>“</w:t>
      </w:r>
      <w:r w:rsidR="00F12B85" w:rsidRPr="00FF48FA">
        <w:rPr>
          <w:rFonts w:cs="Times New Roman"/>
          <w:szCs w:val="24"/>
        </w:rPr>
        <w:t>Discourse</w:t>
      </w:r>
      <w:r>
        <w:rPr>
          <w:rFonts w:cs="Times New Roman"/>
          <w:szCs w:val="24"/>
        </w:rPr>
        <w:t>”</w:t>
      </w:r>
      <w:r w:rsidR="00F12B85" w:rsidRPr="00F12B85">
        <w:rPr>
          <w:rFonts w:cs="Times New Roman"/>
          <w:szCs w:val="24"/>
        </w:rPr>
        <w:t xml:space="preserve"> may have been in</w:t>
      </w:r>
      <w:r w:rsidR="001D23B0">
        <w:rPr>
          <w:rFonts w:cs="Times New Roman"/>
          <w:szCs w:val="24"/>
        </w:rPr>
        <w:t>tended to contribute to Leibniz’</w:t>
      </w:r>
      <w:r w:rsidR="00F12B85" w:rsidRPr="00F12B85">
        <w:rPr>
          <w:rFonts w:cs="Times New Roman"/>
          <w:szCs w:val="24"/>
        </w:rPr>
        <w:t>s long-standing ambition to reconcile the Christian confessions through philosophy, by providing a philosophical underpinning for Christian dogmas that would also serve to remove the differences</w:t>
      </w:r>
      <w:r w:rsidR="001D23B0">
        <w:rPr>
          <w:rFonts w:cs="Times New Roman"/>
          <w:szCs w:val="24"/>
        </w:rPr>
        <w:t xml:space="preserve"> between the confessions.</w:t>
      </w:r>
      <w:r w:rsidR="006572EB">
        <w:rPr>
          <w:rStyle w:val="FootnoteReference"/>
          <w:rFonts w:cs="Times New Roman"/>
          <w:szCs w:val="24"/>
        </w:rPr>
        <w:footnoteReference w:id="58"/>
      </w:r>
      <w:r w:rsidR="001D23B0">
        <w:rPr>
          <w:rFonts w:cs="Times New Roman"/>
          <w:szCs w:val="24"/>
        </w:rPr>
        <w:t xml:space="preserve"> Although </w:t>
      </w:r>
      <w:r w:rsidR="00A80D6A">
        <w:rPr>
          <w:rFonts w:cs="Times New Roman"/>
          <w:szCs w:val="24"/>
        </w:rPr>
        <w:t>Lestienne’s</w:t>
      </w:r>
      <w:r w:rsidR="001D23B0">
        <w:rPr>
          <w:rFonts w:cs="Times New Roman"/>
          <w:szCs w:val="24"/>
        </w:rPr>
        <w:t xml:space="preserve"> suggestion was made speculatively and without any evidence, it was enthusiastically endorsed by later scholars, </w:t>
      </w:r>
      <w:r w:rsidR="00472011">
        <w:rPr>
          <w:rFonts w:cs="Times New Roman"/>
          <w:szCs w:val="24"/>
        </w:rPr>
        <w:t xml:space="preserve">some of </w:t>
      </w:r>
      <w:r w:rsidR="001D23B0">
        <w:rPr>
          <w:rFonts w:cs="Times New Roman"/>
          <w:szCs w:val="24"/>
        </w:rPr>
        <w:t>who</w:t>
      </w:r>
      <w:r w:rsidR="00472011">
        <w:rPr>
          <w:rFonts w:cs="Times New Roman"/>
          <w:szCs w:val="24"/>
        </w:rPr>
        <w:t>m</w:t>
      </w:r>
      <w:r w:rsidR="001D23B0">
        <w:rPr>
          <w:rFonts w:cs="Times New Roman"/>
          <w:szCs w:val="24"/>
        </w:rPr>
        <w:t xml:space="preserve"> sought to connect it with Leibniz’s Catholic Demonstrations, a </w:t>
      </w:r>
      <w:r w:rsidR="001D23B0" w:rsidRPr="00601B3D">
        <w:rPr>
          <w:rFonts w:eastAsia="Calibri" w:cs="Times New Roman"/>
          <w:szCs w:val="24"/>
        </w:rPr>
        <w:t>grand theological project</w:t>
      </w:r>
      <w:r w:rsidR="001D23B0" w:rsidRPr="00601B3D">
        <w:rPr>
          <w:szCs w:val="24"/>
        </w:rPr>
        <w:t xml:space="preserve"> conceived in the late 1660s</w:t>
      </w:r>
      <w:r w:rsidR="001D23B0">
        <w:rPr>
          <w:rFonts w:eastAsia="Calibri" w:cs="Times New Roman"/>
          <w:szCs w:val="24"/>
        </w:rPr>
        <w:t xml:space="preserve"> and</w:t>
      </w:r>
      <w:r w:rsidR="001D23B0" w:rsidRPr="00601B3D">
        <w:rPr>
          <w:rFonts w:eastAsia="Calibri" w:cs="Times New Roman"/>
          <w:szCs w:val="24"/>
        </w:rPr>
        <w:t xml:space="preserve"> intended </w:t>
      </w:r>
      <w:r w:rsidR="001D23B0">
        <w:rPr>
          <w:rFonts w:eastAsia="Calibri" w:cs="Times New Roman"/>
          <w:szCs w:val="24"/>
        </w:rPr>
        <w:t>as</w:t>
      </w:r>
      <w:r w:rsidR="001D23B0" w:rsidRPr="00601B3D">
        <w:rPr>
          <w:rFonts w:eastAsia="Calibri" w:cs="Times New Roman"/>
          <w:szCs w:val="24"/>
        </w:rPr>
        <w:t xml:space="preserve"> a systematic apology for the Christian faith built upon the framework of Catholicism</w:t>
      </w:r>
      <w:r w:rsidR="001D23B0" w:rsidRPr="00601B3D">
        <w:rPr>
          <w:rFonts w:cs="Times New Roman"/>
          <w:szCs w:val="24"/>
        </w:rPr>
        <w:t>.</w:t>
      </w:r>
      <w:r w:rsidR="001D23B0">
        <w:rPr>
          <w:rStyle w:val="FootnoteReference"/>
          <w:rFonts w:cs="Times New Roman"/>
          <w:szCs w:val="24"/>
        </w:rPr>
        <w:footnoteReference w:id="59"/>
      </w:r>
      <w:r w:rsidR="001D23B0">
        <w:rPr>
          <w:rFonts w:cs="Times New Roman"/>
          <w:szCs w:val="24"/>
        </w:rPr>
        <w:t xml:space="preserve"> Hence Loemker suggested that </w:t>
      </w:r>
      <w:r w:rsidR="005E0D29">
        <w:rPr>
          <w:rFonts w:cs="Times New Roman"/>
          <w:szCs w:val="24"/>
        </w:rPr>
        <w:t>“</w:t>
      </w:r>
      <w:r w:rsidR="00CD0EA1" w:rsidRPr="00CD0EA1">
        <w:rPr>
          <w:rFonts w:cs="Times New Roman"/>
          <w:szCs w:val="24"/>
        </w:rPr>
        <w:t xml:space="preserve">The </w:t>
      </w:r>
      <w:r w:rsidR="00CD0EA1" w:rsidRPr="00CD0EA1">
        <w:rPr>
          <w:rFonts w:cs="Times New Roman"/>
          <w:i/>
          <w:szCs w:val="24"/>
        </w:rPr>
        <w:t>Discourse</w:t>
      </w:r>
      <w:r w:rsidR="00CD0EA1" w:rsidRPr="00CD0EA1">
        <w:rPr>
          <w:rFonts w:cs="Times New Roman"/>
          <w:szCs w:val="24"/>
        </w:rPr>
        <w:t xml:space="preserve"> is probably a preliminary s</w:t>
      </w:r>
      <w:r w:rsidR="001D23B0">
        <w:rPr>
          <w:rFonts w:cs="Times New Roman"/>
          <w:szCs w:val="24"/>
        </w:rPr>
        <w:t>tudy for the preface to Leibniz’</w:t>
      </w:r>
      <w:r w:rsidR="00CD0EA1" w:rsidRPr="00CD0EA1">
        <w:rPr>
          <w:rFonts w:cs="Times New Roman"/>
          <w:szCs w:val="24"/>
        </w:rPr>
        <w:t xml:space="preserve">s long-projected </w:t>
      </w:r>
      <w:r w:rsidR="00CD0EA1" w:rsidRPr="00CD0EA1">
        <w:rPr>
          <w:rFonts w:cs="Times New Roman"/>
          <w:i/>
          <w:szCs w:val="24"/>
        </w:rPr>
        <w:t>Demonstrationes Catholicae</w:t>
      </w:r>
      <w:r w:rsidR="005E0D29">
        <w:rPr>
          <w:rFonts w:cs="Times New Roman"/>
          <w:szCs w:val="24"/>
        </w:rPr>
        <w:t xml:space="preserve"> [Catholic Demonstrations]”</w:t>
      </w:r>
      <w:r>
        <w:rPr>
          <w:rFonts w:cs="Times New Roman"/>
          <w:szCs w:val="24"/>
        </w:rPr>
        <w:t xml:space="preserve"> (Loemker 1947: 450)</w:t>
      </w:r>
      <w:r w:rsidR="00167AF4">
        <w:rPr>
          <w:rFonts w:cs="Times New Roman"/>
          <w:szCs w:val="24"/>
        </w:rPr>
        <w:t>.</w:t>
      </w:r>
      <w:r w:rsidR="0011674D">
        <w:rPr>
          <w:rStyle w:val="FootnoteReference"/>
          <w:rFonts w:cs="Times New Roman"/>
          <w:szCs w:val="24"/>
        </w:rPr>
        <w:footnoteReference w:id="60"/>
      </w:r>
      <w:r w:rsidR="00167AF4">
        <w:rPr>
          <w:rFonts w:cs="Times New Roman"/>
          <w:szCs w:val="24"/>
        </w:rPr>
        <w:t xml:space="preserve"> While the original </w:t>
      </w:r>
      <w:r w:rsidR="00167AF4">
        <w:rPr>
          <w:rFonts w:cs="Times New Roman"/>
          <w:i/>
          <w:szCs w:val="24"/>
        </w:rPr>
        <w:t>Catholic Demonstrations</w:t>
      </w:r>
      <w:r w:rsidR="00167AF4">
        <w:rPr>
          <w:rFonts w:cs="Times New Roman"/>
          <w:szCs w:val="24"/>
        </w:rPr>
        <w:t xml:space="preserve"> project was abandoned in 1672 following the death of Leibniz’s </w:t>
      </w:r>
      <w:r w:rsidR="00167AF4" w:rsidRPr="006E0689">
        <w:t>patron, Baron von Boineburg,</w:t>
      </w:r>
      <w:r w:rsidR="00167AF4">
        <w:t xml:space="preserve"> </w:t>
      </w:r>
      <w:r w:rsidR="0087379C">
        <w:t xml:space="preserve">Leibniz did not entirely forget about it: in 1679 </w:t>
      </w:r>
      <w:r w:rsidR="00167AF4">
        <w:t>he made a short-lived attempt to reactivate it,</w:t>
      </w:r>
      <w:r w:rsidR="00167AF4">
        <w:rPr>
          <w:rStyle w:val="FootnoteReference"/>
        </w:rPr>
        <w:footnoteReference w:id="61"/>
      </w:r>
      <w:r w:rsidR="0087379C">
        <w:t xml:space="preserve"> and </w:t>
      </w:r>
      <w:r w:rsidR="00A80D6A">
        <w:t xml:space="preserve">several years later, </w:t>
      </w:r>
      <w:r w:rsidR="0087379C">
        <w:t>in the early- to mid-</w:t>
      </w:r>
      <w:r w:rsidR="00167AF4">
        <w:t>1680s</w:t>
      </w:r>
      <w:r w:rsidR="00A80D6A">
        <w:t>, he</w:t>
      </w:r>
      <w:r w:rsidR="00167AF4">
        <w:t xml:space="preserve"> </w:t>
      </w:r>
      <w:r w:rsidR="00EF7E35">
        <w:t>drafted</w:t>
      </w:r>
      <w:r w:rsidR="00167AF4">
        <w:t xml:space="preserve"> </w:t>
      </w:r>
      <w:r w:rsidR="0087379C">
        <w:t>a</w:t>
      </w:r>
      <w:r w:rsidR="00167AF4">
        <w:t xml:space="preserve"> </w:t>
      </w:r>
      <w:r w:rsidR="00A80D6A">
        <w:t>host of short essays that examined and defended various Christian</w:t>
      </w:r>
      <w:r w:rsidR="00B23A45" w:rsidRPr="00C10554">
        <w:rPr>
          <w:u w:color="000000"/>
        </w:rPr>
        <w:t>—</w:t>
      </w:r>
      <w:r w:rsidR="00A80D6A">
        <w:t>specifically Catholic</w:t>
      </w:r>
      <w:r w:rsidR="00B23A45" w:rsidRPr="00C10554">
        <w:rPr>
          <w:u w:color="000000"/>
        </w:rPr>
        <w:t>—</w:t>
      </w:r>
      <w:r w:rsidR="00A80D6A">
        <w:t>doctrines,</w:t>
      </w:r>
      <w:r w:rsidR="00A80D6A">
        <w:rPr>
          <w:rStyle w:val="FootnoteReference"/>
        </w:rPr>
        <w:footnoteReference w:id="62"/>
      </w:r>
      <w:r w:rsidR="00A80D6A">
        <w:t xml:space="preserve"> with one of these essays bearing</w:t>
      </w:r>
      <w:r w:rsidR="0087379C">
        <w:t xml:space="preserve"> the </w:t>
      </w:r>
      <w:r w:rsidR="005E0D29">
        <w:t>“Catholic Demonstrations”</w:t>
      </w:r>
      <w:r w:rsidR="0087379C">
        <w:t xml:space="preserve"> title</w:t>
      </w:r>
      <w:r w:rsidR="00A80D6A">
        <w:t>.</w:t>
      </w:r>
      <w:r w:rsidR="0087379C">
        <w:rPr>
          <w:rStyle w:val="FootnoteReference"/>
        </w:rPr>
        <w:footnoteReference w:id="63"/>
      </w:r>
      <w:r w:rsidR="00A80D6A">
        <w:t xml:space="preserve"> </w:t>
      </w:r>
      <w:r w:rsidR="00A32120">
        <w:t xml:space="preserve">However, situating the </w:t>
      </w:r>
      <w:r>
        <w:t>“</w:t>
      </w:r>
      <w:r w:rsidR="00A32120" w:rsidRPr="00FF48FA">
        <w:t>Discourse</w:t>
      </w:r>
      <w:r>
        <w:t>”</w:t>
      </w:r>
      <w:r w:rsidR="00A32120">
        <w:t xml:space="preserve"> as part of this revived Catholic Demonstrations project (if that is indeed what it was) is </w:t>
      </w:r>
      <w:r w:rsidR="0011674D">
        <w:t>problematic</w:t>
      </w:r>
      <w:r w:rsidR="00A32120">
        <w:t>, not least because, i</w:t>
      </w:r>
      <w:r w:rsidR="00A32120">
        <w:rPr>
          <w:rFonts w:cs="Times New Roman"/>
          <w:iCs/>
          <w:szCs w:val="24"/>
        </w:rPr>
        <w:t xml:space="preserve">n terms of content, the </w:t>
      </w:r>
      <w:r w:rsidR="00A32120">
        <w:rPr>
          <w:rFonts w:cs="Times New Roman"/>
          <w:i/>
          <w:iCs/>
          <w:szCs w:val="24"/>
        </w:rPr>
        <w:t>Discourse</w:t>
      </w:r>
      <w:r w:rsidR="00A32120">
        <w:rPr>
          <w:rFonts w:cs="Times New Roman"/>
          <w:iCs/>
          <w:szCs w:val="24"/>
        </w:rPr>
        <w:t xml:space="preserve"> </w:t>
      </w:r>
      <w:r w:rsidR="009D2E85">
        <w:rPr>
          <w:rFonts w:cs="Times New Roman"/>
          <w:iCs/>
          <w:szCs w:val="24"/>
        </w:rPr>
        <w:t>sits uneasily alongside</w:t>
      </w:r>
      <w:r w:rsidR="00A32120">
        <w:rPr>
          <w:rFonts w:cs="Times New Roman"/>
          <w:iCs/>
          <w:szCs w:val="24"/>
        </w:rPr>
        <w:t xml:space="preserve"> these other texts</w:t>
      </w:r>
      <w:r w:rsidR="0011674D">
        <w:rPr>
          <w:rFonts w:cs="Times New Roman"/>
          <w:iCs/>
          <w:szCs w:val="24"/>
        </w:rPr>
        <w:t>: while the other texts typically focus on matters of controversy (e.g. the canonicity of scripture, the importance of tradition</w:t>
      </w:r>
      <w:r w:rsidR="00B17D6B">
        <w:rPr>
          <w:rFonts w:cs="Times New Roman"/>
          <w:iCs/>
          <w:szCs w:val="24"/>
        </w:rPr>
        <w:t>,</w:t>
      </w:r>
      <w:r w:rsidR="0011674D">
        <w:rPr>
          <w:rFonts w:cs="Times New Roman"/>
          <w:iCs/>
          <w:szCs w:val="24"/>
        </w:rPr>
        <w:t xml:space="preserve"> and authority</w:t>
      </w:r>
      <w:r w:rsidR="00B17D6B">
        <w:rPr>
          <w:rFonts w:cs="Times New Roman"/>
          <w:iCs/>
          <w:szCs w:val="24"/>
        </w:rPr>
        <w:t xml:space="preserve"> </w:t>
      </w:r>
      <w:r w:rsidR="0011674D">
        <w:rPr>
          <w:rFonts w:cs="Times New Roman"/>
          <w:iCs/>
          <w:szCs w:val="24"/>
        </w:rPr>
        <w:t xml:space="preserve">of the Pope), the </w:t>
      </w:r>
      <w:r>
        <w:rPr>
          <w:rFonts w:cs="Times New Roman"/>
          <w:iCs/>
          <w:szCs w:val="24"/>
        </w:rPr>
        <w:t>“</w:t>
      </w:r>
      <w:r w:rsidR="0011674D" w:rsidRPr="00FF48FA">
        <w:rPr>
          <w:rFonts w:cs="Times New Roman"/>
          <w:iCs/>
          <w:szCs w:val="24"/>
        </w:rPr>
        <w:t>Discourse</w:t>
      </w:r>
      <w:r>
        <w:rPr>
          <w:rFonts w:cs="Times New Roman"/>
          <w:iCs/>
          <w:szCs w:val="24"/>
        </w:rPr>
        <w:t>”</w:t>
      </w:r>
      <w:r w:rsidR="0011674D">
        <w:rPr>
          <w:rFonts w:cs="Times New Roman"/>
          <w:iCs/>
          <w:szCs w:val="24"/>
        </w:rPr>
        <w:t xml:space="preserve"> does not.</w:t>
      </w:r>
    </w:p>
    <w:p w:rsidR="00A77812" w:rsidRDefault="00661A5E" w:rsidP="007327D2">
      <w:pPr>
        <w:autoSpaceDE w:val="0"/>
        <w:autoSpaceDN w:val="0"/>
        <w:adjustRightInd w:val="0"/>
        <w:spacing w:line="480" w:lineRule="auto"/>
        <w:ind w:firstLine="720"/>
        <w:rPr>
          <w:rFonts w:cs="Times New Roman"/>
          <w:iCs/>
          <w:szCs w:val="24"/>
        </w:rPr>
      </w:pPr>
      <w:r>
        <w:rPr>
          <w:rFonts w:cs="Times New Roman"/>
          <w:iCs/>
          <w:szCs w:val="24"/>
        </w:rPr>
        <w:t xml:space="preserve">Perhaps even more revealing is Leibniz’s choice of language for the Catholic Demonstrations writings </w:t>
      </w:r>
      <w:r w:rsidR="00F01906">
        <w:rPr>
          <w:rFonts w:cs="Times New Roman"/>
          <w:iCs/>
          <w:szCs w:val="24"/>
        </w:rPr>
        <w:t xml:space="preserve">on the one hand, </w:t>
      </w:r>
      <w:r>
        <w:rPr>
          <w:rFonts w:cs="Times New Roman"/>
          <w:iCs/>
          <w:szCs w:val="24"/>
        </w:rPr>
        <w:t xml:space="preserve">and the </w:t>
      </w:r>
      <w:r>
        <w:rPr>
          <w:rFonts w:cs="Times New Roman"/>
          <w:i/>
          <w:iCs/>
          <w:szCs w:val="24"/>
        </w:rPr>
        <w:t>Discourse</w:t>
      </w:r>
      <w:r w:rsidR="00F01906">
        <w:rPr>
          <w:rFonts w:cs="Times New Roman"/>
          <w:iCs/>
          <w:szCs w:val="24"/>
        </w:rPr>
        <w:t xml:space="preserve"> on the other</w:t>
      </w:r>
      <w:r>
        <w:rPr>
          <w:rFonts w:cs="Times New Roman"/>
          <w:iCs/>
          <w:szCs w:val="24"/>
        </w:rPr>
        <w:t xml:space="preserve">. </w:t>
      </w:r>
      <w:r w:rsidR="003F4185">
        <w:rPr>
          <w:rFonts w:cs="Times New Roman"/>
          <w:iCs/>
          <w:szCs w:val="24"/>
        </w:rPr>
        <w:t xml:space="preserve">The </w:t>
      </w:r>
      <w:r>
        <w:rPr>
          <w:rFonts w:cs="Times New Roman"/>
          <w:iCs/>
          <w:szCs w:val="24"/>
        </w:rPr>
        <w:t xml:space="preserve">original </w:t>
      </w:r>
      <w:r w:rsidR="003F4185">
        <w:rPr>
          <w:rFonts w:cs="Times New Roman"/>
          <w:iCs/>
          <w:szCs w:val="24"/>
        </w:rPr>
        <w:t xml:space="preserve">Catholic Demonstrations project </w:t>
      </w:r>
      <w:r>
        <w:rPr>
          <w:rFonts w:cs="Times New Roman"/>
          <w:iCs/>
          <w:szCs w:val="24"/>
        </w:rPr>
        <w:t xml:space="preserve">(and its 1680s sequel, if that is what it was) </w:t>
      </w:r>
      <w:r w:rsidR="003F4185">
        <w:rPr>
          <w:rFonts w:cs="Times New Roman"/>
          <w:iCs/>
          <w:szCs w:val="24"/>
        </w:rPr>
        <w:t xml:space="preserve">was intended for all of Christendom, or at least all of European Christendom, and accordingly Leibniz wrote </w:t>
      </w:r>
      <w:r w:rsidR="00DB104C">
        <w:rPr>
          <w:rFonts w:cs="Times New Roman"/>
          <w:iCs/>
          <w:szCs w:val="24"/>
        </w:rPr>
        <w:t>the</w:t>
      </w:r>
      <w:r w:rsidR="003F4185">
        <w:rPr>
          <w:rFonts w:cs="Times New Roman"/>
          <w:iCs/>
          <w:szCs w:val="24"/>
        </w:rPr>
        <w:t xml:space="preserve"> texts for it in Latin, which was still the universal language </w:t>
      </w:r>
      <w:r w:rsidR="00F01906">
        <w:rPr>
          <w:rFonts w:cs="Times New Roman"/>
          <w:iCs/>
          <w:szCs w:val="24"/>
        </w:rPr>
        <w:t xml:space="preserve">of Europe </w:t>
      </w:r>
      <w:r w:rsidR="003F4185">
        <w:rPr>
          <w:rFonts w:cs="Times New Roman"/>
          <w:iCs/>
          <w:szCs w:val="24"/>
        </w:rPr>
        <w:t xml:space="preserve">at the time. The </w:t>
      </w:r>
      <w:r w:rsidR="00FF48FA">
        <w:rPr>
          <w:rFonts w:cs="Times New Roman"/>
          <w:iCs/>
          <w:szCs w:val="24"/>
        </w:rPr>
        <w:t>“</w:t>
      </w:r>
      <w:r w:rsidR="00B82514" w:rsidRPr="00FF48FA">
        <w:rPr>
          <w:rFonts w:cs="Times New Roman"/>
          <w:iCs/>
          <w:szCs w:val="24"/>
        </w:rPr>
        <w:t>Discourse</w:t>
      </w:r>
      <w:r w:rsidR="00FF48FA">
        <w:rPr>
          <w:rFonts w:cs="Times New Roman"/>
          <w:iCs/>
          <w:szCs w:val="24"/>
        </w:rPr>
        <w:t>”</w:t>
      </w:r>
      <w:r w:rsidR="003F4185">
        <w:rPr>
          <w:rFonts w:cs="Times New Roman"/>
          <w:iCs/>
          <w:szCs w:val="24"/>
        </w:rPr>
        <w:t>, however,</w:t>
      </w:r>
      <w:r w:rsidR="00B82514">
        <w:rPr>
          <w:rFonts w:cs="Times New Roman"/>
          <w:iCs/>
          <w:szCs w:val="24"/>
        </w:rPr>
        <w:t xml:space="preserve"> was written in French,</w:t>
      </w:r>
      <w:r w:rsidR="00A2526F">
        <w:rPr>
          <w:rFonts w:cs="Times New Roman"/>
          <w:iCs/>
          <w:szCs w:val="24"/>
        </w:rPr>
        <w:t xml:space="preserve"> which would have </w:t>
      </w:r>
      <w:r w:rsidR="00DB104C">
        <w:rPr>
          <w:rFonts w:cs="Times New Roman"/>
          <w:iCs/>
          <w:szCs w:val="24"/>
        </w:rPr>
        <w:t>guaranteed</w:t>
      </w:r>
      <w:r w:rsidR="00A2526F">
        <w:rPr>
          <w:rFonts w:cs="Times New Roman"/>
          <w:iCs/>
          <w:szCs w:val="24"/>
        </w:rPr>
        <w:t xml:space="preserve"> a much more restricted audience</w:t>
      </w:r>
      <w:r w:rsidR="00EF7E35">
        <w:rPr>
          <w:rFonts w:cs="Times New Roman"/>
          <w:iCs/>
          <w:szCs w:val="24"/>
        </w:rPr>
        <w:t xml:space="preserve">, </w:t>
      </w:r>
      <w:r w:rsidR="00A2526F">
        <w:rPr>
          <w:rFonts w:cs="Times New Roman"/>
          <w:iCs/>
          <w:szCs w:val="24"/>
        </w:rPr>
        <w:t xml:space="preserve">an unwise decision if the text was indeed intended to serve an ecumenical purpose. However, if Leibniz’s decision to write the </w:t>
      </w:r>
      <w:r w:rsidR="00FF48FA">
        <w:rPr>
          <w:rFonts w:cs="Times New Roman"/>
          <w:iCs/>
          <w:szCs w:val="24"/>
        </w:rPr>
        <w:t>“</w:t>
      </w:r>
      <w:r w:rsidR="00A2526F" w:rsidRPr="00FF48FA">
        <w:rPr>
          <w:rFonts w:cs="Times New Roman"/>
          <w:iCs/>
          <w:szCs w:val="24"/>
        </w:rPr>
        <w:t>Discourse</w:t>
      </w:r>
      <w:r w:rsidR="00FF48FA">
        <w:rPr>
          <w:rFonts w:cs="Times New Roman"/>
          <w:iCs/>
          <w:szCs w:val="24"/>
        </w:rPr>
        <w:t>”</w:t>
      </w:r>
      <w:r w:rsidR="00A2526F">
        <w:rPr>
          <w:rFonts w:cs="Times New Roman"/>
          <w:iCs/>
          <w:szCs w:val="24"/>
        </w:rPr>
        <w:t xml:space="preserve"> in French speaks against its being part of any formal ecumenical project, it does at least offer us a clue as to his motivations. Evidently, his intended audience for the text was</w:t>
      </w:r>
      <w:r w:rsidR="003F4185">
        <w:rPr>
          <w:rFonts w:cs="Times New Roman"/>
          <w:iCs/>
          <w:szCs w:val="24"/>
        </w:rPr>
        <w:t xml:space="preserve"> French-speaking philosophers (mostly concentrated in France, of course, but with some in Holland and other countries)</w:t>
      </w:r>
      <w:r w:rsidR="00A2526F">
        <w:rPr>
          <w:rFonts w:cs="Times New Roman"/>
          <w:iCs/>
          <w:szCs w:val="24"/>
        </w:rPr>
        <w:t xml:space="preserve">, and </w:t>
      </w:r>
      <w:r w:rsidR="003F4185">
        <w:rPr>
          <w:rFonts w:cs="Times New Roman"/>
          <w:iCs/>
          <w:szCs w:val="24"/>
        </w:rPr>
        <w:t xml:space="preserve">it is no coincidence that a great many of these were supporters </w:t>
      </w:r>
      <w:r w:rsidR="00232048">
        <w:rPr>
          <w:rFonts w:cs="Times New Roman"/>
          <w:iCs/>
          <w:szCs w:val="24"/>
        </w:rPr>
        <w:t xml:space="preserve">of Descartes and/or Malebranche, the very thinkers whose ideas Leibniz looks to supplant in the </w:t>
      </w:r>
      <w:r w:rsidR="00FF48FA">
        <w:rPr>
          <w:rFonts w:cs="Times New Roman"/>
          <w:iCs/>
          <w:szCs w:val="24"/>
        </w:rPr>
        <w:t>“</w:t>
      </w:r>
      <w:r w:rsidR="00232048" w:rsidRPr="00FF48FA">
        <w:rPr>
          <w:rFonts w:cs="Times New Roman"/>
          <w:iCs/>
          <w:szCs w:val="24"/>
        </w:rPr>
        <w:t>Discourse</w:t>
      </w:r>
      <w:r w:rsidR="00FF48FA">
        <w:rPr>
          <w:rFonts w:cs="Times New Roman"/>
          <w:iCs/>
          <w:szCs w:val="24"/>
        </w:rPr>
        <w:t>”</w:t>
      </w:r>
      <w:r w:rsidR="00232048">
        <w:rPr>
          <w:rFonts w:cs="Times New Roman"/>
          <w:iCs/>
          <w:szCs w:val="24"/>
        </w:rPr>
        <w:t xml:space="preserve">. Indeed, had the </w:t>
      </w:r>
      <w:r w:rsidR="00FF48FA">
        <w:rPr>
          <w:rFonts w:cs="Times New Roman"/>
          <w:iCs/>
          <w:szCs w:val="24"/>
        </w:rPr>
        <w:t>“</w:t>
      </w:r>
      <w:r w:rsidR="00232048" w:rsidRPr="00FF48FA">
        <w:rPr>
          <w:rFonts w:cs="Times New Roman"/>
          <w:iCs/>
          <w:szCs w:val="24"/>
        </w:rPr>
        <w:t>Discourse</w:t>
      </w:r>
      <w:r w:rsidR="00FF48FA">
        <w:rPr>
          <w:rFonts w:cs="Times New Roman"/>
          <w:iCs/>
          <w:szCs w:val="24"/>
        </w:rPr>
        <w:t>”</w:t>
      </w:r>
      <w:r w:rsidR="00232048">
        <w:rPr>
          <w:rFonts w:cs="Times New Roman"/>
          <w:iCs/>
          <w:szCs w:val="24"/>
        </w:rPr>
        <w:t xml:space="preserve"> been published it would </w:t>
      </w:r>
      <w:r w:rsidR="00C027B3">
        <w:rPr>
          <w:rFonts w:cs="Times New Roman"/>
          <w:iCs/>
          <w:szCs w:val="24"/>
        </w:rPr>
        <w:t xml:space="preserve">likely </w:t>
      </w:r>
      <w:r w:rsidR="00232048">
        <w:rPr>
          <w:rFonts w:cs="Times New Roman"/>
          <w:iCs/>
          <w:szCs w:val="24"/>
        </w:rPr>
        <w:t xml:space="preserve">have been construed as a corrective to Descartes and Malebranche. While Leibniz rarely mentions either by name in the </w:t>
      </w:r>
      <w:r w:rsidR="00FF48FA">
        <w:rPr>
          <w:rFonts w:cs="Times New Roman"/>
          <w:iCs/>
          <w:szCs w:val="24"/>
        </w:rPr>
        <w:t>“</w:t>
      </w:r>
      <w:r w:rsidR="00232048" w:rsidRPr="00FF48FA">
        <w:rPr>
          <w:rFonts w:cs="Times New Roman"/>
          <w:iCs/>
          <w:szCs w:val="24"/>
        </w:rPr>
        <w:t>Discourse</w:t>
      </w:r>
      <w:r w:rsidR="00FF48FA">
        <w:rPr>
          <w:rFonts w:cs="Times New Roman"/>
          <w:iCs/>
          <w:szCs w:val="24"/>
        </w:rPr>
        <w:t>”</w:t>
      </w:r>
      <w:r w:rsidR="00232048">
        <w:rPr>
          <w:rFonts w:cs="Times New Roman"/>
          <w:iCs/>
          <w:szCs w:val="24"/>
        </w:rPr>
        <w:t xml:space="preserve"> (Descartes is mentioned</w:t>
      </w:r>
      <w:r w:rsidR="00FC31F3">
        <w:rPr>
          <w:rFonts w:cs="Times New Roman"/>
          <w:iCs/>
          <w:szCs w:val="24"/>
        </w:rPr>
        <w:t xml:space="preserve"> by name</w:t>
      </w:r>
      <w:r w:rsidR="00232048">
        <w:rPr>
          <w:rFonts w:cs="Times New Roman"/>
          <w:iCs/>
          <w:szCs w:val="24"/>
        </w:rPr>
        <w:t xml:space="preserve"> just three times, Malebranche not at all), their doctrines are front and centre throughout the text, </w:t>
      </w:r>
      <w:r w:rsidR="00561D40">
        <w:rPr>
          <w:rFonts w:cs="Times New Roman"/>
          <w:iCs/>
          <w:szCs w:val="24"/>
        </w:rPr>
        <w:t>as any educated French-reader of the day would have realized.</w:t>
      </w:r>
      <w:r w:rsidR="00A77812">
        <w:rPr>
          <w:rFonts w:cs="Times New Roman"/>
          <w:iCs/>
          <w:szCs w:val="24"/>
        </w:rPr>
        <w:t xml:space="preserve"> Such a reader would also have noticed Leibniz </w:t>
      </w:r>
      <w:r w:rsidR="00B45819">
        <w:rPr>
          <w:rFonts w:cs="Times New Roman"/>
          <w:iCs/>
          <w:szCs w:val="24"/>
        </w:rPr>
        <w:t xml:space="preserve">carefully </w:t>
      </w:r>
      <w:r w:rsidR="00B45819">
        <w:rPr>
          <w:rFonts w:cs="Times New Roman"/>
          <w:szCs w:val="24"/>
        </w:rPr>
        <w:t xml:space="preserve">positioning himself relative to Descartes and Malebranche, </w:t>
      </w:r>
      <w:r w:rsidR="00A77812">
        <w:rPr>
          <w:rFonts w:cs="Times New Roman"/>
          <w:iCs/>
          <w:szCs w:val="24"/>
        </w:rPr>
        <w:t xml:space="preserve">using their doctrines </w:t>
      </w:r>
      <w:r w:rsidR="00232048">
        <w:rPr>
          <w:rFonts w:cs="Times New Roman"/>
          <w:iCs/>
          <w:szCs w:val="24"/>
        </w:rPr>
        <w:t xml:space="preserve">as </w:t>
      </w:r>
      <w:r w:rsidR="00FC31F3">
        <w:rPr>
          <w:rFonts w:cs="Times New Roman"/>
          <w:iCs/>
          <w:szCs w:val="24"/>
        </w:rPr>
        <w:t>a</w:t>
      </w:r>
      <w:r w:rsidR="00232048">
        <w:rPr>
          <w:rFonts w:cs="Times New Roman"/>
          <w:iCs/>
          <w:szCs w:val="24"/>
        </w:rPr>
        <w:t xml:space="preserve"> foil to </w:t>
      </w:r>
      <w:r w:rsidR="00B45819">
        <w:rPr>
          <w:rFonts w:cs="Times New Roman"/>
          <w:iCs/>
          <w:szCs w:val="24"/>
        </w:rPr>
        <w:t>advance</w:t>
      </w:r>
      <w:r w:rsidR="00FC31F3">
        <w:rPr>
          <w:rFonts w:cs="Times New Roman"/>
          <w:iCs/>
          <w:szCs w:val="24"/>
        </w:rPr>
        <w:t xml:space="preserve"> </w:t>
      </w:r>
      <w:r w:rsidR="002E595E">
        <w:rPr>
          <w:rFonts w:cs="Times New Roman"/>
          <w:iCs/>
          <w:szCs w:val="24"/>
        </w:rPr>
        <w:t>his own thoughts</w:t>
      </w:r>
      <w:r w:rsidR="00A80D6A">
        <w:rPr>
          <w:rFonts w:cs="Times New Roman"/>
          <w:iCs/>
          <w:szCs w:val="24"/>
        </w:rPr>
        <w:t xml:space="preserve"> (</w:t>
      </w:r>
      <w:r w:rsidR="00B45819">
        <w:rPr>
          <w:rFonts w:cs="Times New Roman"/>
          <w:iCs/>
          <w:szCs w:val="24"/>
        </w:rPr>
        <w:t>which</w:t>
      </w:r>
      <w:r w:rsidR="00A80D6A">
        <w:rPr>
          <w:rFonts w:cs="Times New Roman"/>
          <w:iCs/>
          <w:szCs w:val="24"/>
        </w:rPr>
        <w:t>,</w:t>
      </w:r>
      <w:r w:rsidR="00B45819">
        <w:rPr>
          <w:rFonts w:cs="Times New Roman"/>
          <w:iCs/>
          <w:szCs w:val="24"/>
        </w:rPr>
        <w:t xml:space="preserve"> as </w:t>
      </w:r>
      <w:r w:rsidR="00A80D6A">
        <w:rPr>
          <w:rFonts w:cs="Times New Roman"/>
          <w:iCs/>
          <w:szCs w:val="24"/>
        </w:rPr>
        <w:t>we have seen, had been</w:t>
      </w:r>
      <w:r w:rsidR="00B45819">
        <w:rPr>
          <w:rFonts w:cs="Times New Roman"/>
          <w:iCs/>
          <w:szCs w:val="24"/>
        </w:rPr>
        <w:t xml:space="preserve"> </w:t>
      </w:r>
      <w:r w:rsidR="004A3604">
        <w:rPr>
          <w:rFonts w:cs="Times New Roman"/>
          <w:iCs/>
          <w:szCs w:val="24"/>
        </w:rPr>
        <w:t xml:space="preserve">developed and honed in </w:t>
      </w:r>
      <w:r w:rsidR="00B45819">
        <w:rPr>
          <w:rFonts w:cs="Times New Roman"/>
          <w:iCs/>
          <w:szCs w:val="24"/>
        </w:rPr>
        <w:t>a suite of earlier notes and fragments</w:t>
      </w:r>
      <w:r w:rsidR="004A3604">
        <w:rPr>
          <w:rFonts w:cs="Times New Roman"/>
          <w:iCs/>
          <w:szCs w:val="24"/>
        </w:rPr>
        <w:t xml:space="preserve"> in which </w:t>
      </w:r>
      <w:r w:rsidR="00A80D6A">
        <w:rPr>
          <w:rFonts w:cs="Times New Roman"/>
          <w:iCs/>
          <w:szCs w:val="24"/>
        </w:rPr>
        <w:t>Leibniz</w:t>
      </w:r>
      <w:r w:rsidR="004A3604">
        <w:rPr>
          <w:rFonts w:cs="Times New Roman"/>
          <w:iCs/>
          <w:szCs w:val="24"/>
        </w:rPr>
        <w:t xml:space="preserve"> specifically engaged the philosophy of these two thinkers</w:t>
      </w:r>
      <w:r w:rsidR="00A80D6A">
        <w:rPr>
          <w:rFonts w:cs="Times New Roman"/>
          <w:iCs/>
          <w:szCs w:val="24"/>
        </w:rPr>
        <w:t>)</w:t>
      </w:r>
      <w:r w:rsidR="00B45819">
        <w:rPr>
          <w:rFonts w:cs="Times New Roman"/>
          <w:iCs/>
          <w:szCs w:val="24"/>
        </w:rPr>
        <w:t xml:space="preserve">. The </w:t>
      </w:r>
      <w:r w:rsidR="00FF48FA">
        <w:rPr>
          <w:rFonts w:cs="Times New Roman"/>
          <w:iCs/>
          <w:szCs w:val="24"/>
        </w:rPr>
        <w:t>“</w:t>
      </w:r>
      <w:r w:rsidR="00B45819" w:rsidRPr="00FF48FA">
        <w:rPr>
          <w:rFonts w:cs="Times New Roman"/>
          <w:iCs/>
          <w:szCs w:val="24"/>
        </w:rPr>
        <w:t>Discourse</w:t>
      </w:r>
      <w:r w:rsidR="00FF48FA">
        <w:rPr>
          <w:rFonts w:cs="Times New Roman"/>
          <w:iCs/>
          <w:szCs w:val="24"/>
        </w:rPr>
        <w:t>”</w:t>
      </w:r>
      <w:r w:rsidR="00B45819">
        <w:rPr>
          <w:rFonts w:cs="Times New Roman"/>
          <w:iCs/>
          <w:szCs w:val="24"/>
        </w:rPr>
        <w:t xml:space="preserve"> is therefore likely to have been </w:t>
      </w:r>
      <w:r w:rsidR="001C3C48">
        <w:rPr>
          <w:rFonts w:cs="Times New Roman"/>
          <w:iCs/>
          <w:szCs w:val="24"/>
        </w:rPr>
        <w:t xml:space="preserve">conceived as an </w:t>
      </w:r>
      <w:r w:rsidR="009445C5">
        <w:rPr>
          <w:rFonts w:cs="Times New Roman"/>
          <w:iCs/>
          <w:szCs w:val="24"/>
        </w:rPr>
        <w:t xml:space="preserve">attempt </w:t>
      </w:r>
      <w:r w:rsidR="001C3C48">
        <w:rPr>
          <w:rFonts w:cs="Times New Roman"/>
          <w:iCs/>
          <w:szCs w:val="24"/>
        </w:rPr>
        <w:t>to reach supporters of Descartes and Malebranche</w:t>
      </w:r>
      <w:r w:rsidR="00BC6CB7">
        <w:rPr>
          <w:rFonts w:cs="Times New Roman"/>
          <w:iCs/>
          <w:szCs w:val="24"/>
        </w:rPr>
        <w:t>,</w:t>
      </w:r>
      <w:r w:rsidR="001C3C48">
        <w:rPr>
          <w:rFonts w:cs="Times New Roman"/>
          <w:iCs/>
          <w:szCs w:val="24"/>
        </w:rPr>
        <w:t xml:space="preserve"> not only to challenge key tenets of their respective philosophies but also to</w:t>
      </w:r>
      <w:r w:rsidR="00F01906">
        <w:rPr>
          <w:rFonts w:cs="Times New Roman"/>
          <w:iCs/>
          <w:szCs w:val="24"/>
        </w:rPr>
        <w:t xml:space="preserve"> present a viable alternative</w:t>
      </w:r>
      <w:r w:rsidR="009445C5">
        <w:rPr>
          <w:rFonts w:cs="Times New Roman"/>
          <w:iCs/>
          <w:szCs w:val="24"/>
        </w:rPr>
        <w:t>.</w:t>
      </w:r>
      <w:r w:rsidR="00A00D3D">
        <w:rPr>
          <w:rStyle w:val="FootnoteReference"/>
          <w:rFonts w:cs="Times New Roman"/>
          <w:iCs/>
          <w:szCs w:val="24"/>
        </w:rPr>
        <w:footnoteReference w:id="64"/>
      </w:r>
      <w:r w:rsidR="009445C5">
        <w:rPr>
          <w:rFonts w:cs="Times New Roman"/>
          <w:iCs/>
          <w:szCs w:val="24"/>
        </w:rPr>
        <w:t xml:space="preserve"> But this was not merely an attempt at philosophical one-upmanship; </w:t>
      </w:r>
      <w:r w:rsidR="001C3C48">
        <w:rPr>
          <w:rFonts w:cs="Times New Roman"/>
          <w:iCs/>
          <w:szCs w:val="24"/>
        </w:rPr>
        <w:t>as should be clear</w:t>
      </w:r>
      <w:r w:rsidR="00A80D6A">
        <w:rPr>
          <w:rFonts w:cs="Times New Roman"/>
          <w:iCs/>
          <w:szCs w:val="24"/>
        </w:rPr>
        <w:t xml:space="preserve"> from our examination of the </w:t>
      </w:r>
      <w:r w:rsidR="00FF48FA">
        <w:rPr>
          <w:rFonts w:cs="Times New Roman"/>
          <w:iCs/>
          <w:szCs w:val="24"/>
        </w:rPr>
        <w:t>“</w:t>
      </w:r>
      <w:r w:rsidR="00A80D6A" w:rsidRPr="00FF48FA">
        <w:rPr>
          <w:rFonts w:cs="Times New Roman"/>
          <w:iCs/>
          <w:szCs w:val="24"/>
        </w:rPr>
        <w:t>Discourse</w:t>
      </w:r>
      <w:r w:rsidR="00FF48FA">
        <w:rPr>
          <w:rFonts w:cs="Times New Roman"/>
          <w:iCs/>
          <w:szCs w:val="24"/>
        </w:rPr>
        <w:t>”</w:t>
      </w:r>
      <w:r w:rsidR="001C3C48">
        <w:rPr>
          <w:rFonts w:cs="Times New Roman"/>
          <w:iCs/>
          <w:szCs w:val="24"/>
        </w:rPr>
        <w:t xml:space="preserve">, </w:t>
      </w:r>
      <w:r w:rsidR="009445C5">
        <w:rPr>
          <w:rFonts w:cs="Times New Roman"/>
          <w:iCs/>
          <w:szCs w:val="24"/>
        </w:rPr>
        <w:t xml:space="preserve">it was </w:t>
      </w:r>
      <w:r w:rsidR="001C3C48">
        <w:rPr>
          <w:rFonts w:cs="Times New Roman"/>
          <w:iCs/>
          <w:szCs w:val="24"/>
        </w:rPr>
        <w:t xml:space="preserve">rather </w:t>
      </w:r>
      <w:r w:rsidR="009445C5">
        <w:rPr>
          <w:rFonts w:cs="Times New Roman"/>
          <w:iCs/>
          <w:szCs w:val="24"/>
        </w:rPr>
        <w:t xml:space="preserve">motivated by </w:t>
      </w:r>
      <w:r w:rsidR="001C3C48">
        <w:rPr>
          <w:rFonts w:cs="Times New Roman"/>
          <w:iCs/>
          <w:szCs w:val="24"/>
        </w:rPr>
        <w:t>Leibniz’s</w:t>
      </w:r>
      <w:r w:rsidR="009445C5">
        <w:rPr>
          <w:rFonts w:cs="Times New Roman"/>
          <w:iCs/>
          <w:szCs w:val="24"/>
        </w:rPr>
        <w:t xml:space="preserve"> desire to replace doctrines he believed were theologically dangerous and potentially harmful to piety with those that </w:t>
      </w:r>
      <w:r w:rsidR="00F01906">
        <w:rPr>
          <w:rFonts w:cs="Times New Roman"/>
          <w:iCs/>
          <w:szCs w:val="24"/>
        </w:rPr>
        <w:t xml:space="preserve">he </w:t>
      </w:r>
      <w:r w:rsidR="001C3C48">
        <w:rPr>
          <w:rFonts w:cs="Times New Roman"/>
          <w:iCs/>
          <w:szCs w:val="24"/>
        </w:rPr>
        <w:t>though</w:t>
      </w:r>
      <w:r w:rsidR="003664A0">
        <w:rPr>
          <w:rFonts w:cs="Times New Roman"/>
          <w:iCs/>
          <w:szCs w:val="24"/>
        </w:rPr>
        <w:t>t</w:t>
      </w:r>
      <w:r w:rsidR="00F01906">
        <w:rPr>
          <w:rFonts w:cs="Times New Roman"/>
          <w:iCs/>
          <w:szCs w:val="24"/>
        </w:rPr>
        <w:t xml:space="preserve"> would contribute to the advancement of piety</w:t>
      </w:r>
      <w:r w:rsidR="009445C5">
        <w:rPr>
          <w:rFonts w:cs="Times New Roman"/>
          <w:iCs/>
          <w:szCs w:val="24"/>
        </w:rPr>
        <w:t>. Accordingly, in</w:t>
      </w:r>
      <w:r w:rsidR="00471F10">
        <w:rPr>
          <w:rFonts w:cs="Times New Roman"/>
          <w:iCs/>
          <w:szCs w:val="24"/>
        </w:rPr>
        <w:t xml:space="preserve"> a nod to Lestienne’s suggestion, we can say that</w:t>
      </w:r>
      <w:r w:rsidR="00A77812">
        <w:rPr>
          <w:rFonts w:cs="Times New Roman"/>
          <w:iCs/>
          <w:szCs w:val="24"/>
        </w:rPr>
        <w:t xml:space="preserve">, while the </w:t>
      </w:r>
      <w:r w:rsidR="00A77812">
        <w:rPr>
          <w:rFonts w:cs="Times New Roman"/>
          <w:i/>
          <w:iCs/>
          <w:szCs w:val="24"/>
        </w:rPr>
        <w:t>Discourse</w:t>
      </w:r>
      <w:r w:rsidR="00A77812">
        <w:rPr>
          <w:rFonts w:cs="Times New Roman"/>
          <w:iCs/>
          <w:szCs w:val="24"/>
        </w:rPr>
        <w:t xml:space="preserve"> does not appear to have been conceived with ecumenism in mind, Leibniz clearly hoped and expected that the doctrines outlined therein would promote God’s cause and therefore contribute to the piety of those exposed to them.</w:t>
      </w:r>
      <w:r w:rsidR="00A77812">
        <w:rPr>
          <w:rStyle w:val="FootnoteReference"/>
          <w:rFonts w:cs="Times New Roman"/>
          <w:iCs/>
          <w:szCs w:val="24"/>
        </w:rPr>
        <w:footnoteReference w:id="65"/>
      </w:r>
      <w:r w:rsidR="007327D2">
        <w:rPr>
          <w:rFonts w:cs="Times New Roman"/>
          <w:iCs/>
          <w:szCs w:val="24"/>
        </w:rPr>
        <w:t xml:space="preserve"> </w:t>
      </w:r>
      <w:r w:rsidR="007327D2">
        <w:rPr>
          <w:rStyle w:val="FootnoteReference"/>
          <w:rFonts w:cs="Times New Roman"/>
          <w:iCs/>
          <w:szCs w:val="24"/>
        </w:rPr>
        <w:footnoteReference w:id="66"/>
      </w:r>
    </w:p>
    <w:p w:rsidR="008147EA" w:rsidRDefault="008147EA" w:rsidP="007327D2">
      <w:pPr>
        <w:autoSpaceDE w:val="0"/>
        <w:autoSpaceDN w:val="0"/>
        <w:adjustRightInd w:val="0"/>
        <w:spacing w:line="480" w:lineRule="auto"/>
        <w:rPr>
          <w:rFonts w:cs="Times New Roman"/>
          <w:iCs/>
          <w:szCs w:val="24"/>
        </w:rPr>
      </w:pPr>
    </w:p>
    <w:p w:rsidR="008147EA" w:rsidRDefault="008147EA" w:rsidP="007327D2">
      <w:pPr>
        <w:autoSpaceDE w:val="0"/>
        <w:autoSpaceDN w:val="0"/>
        <w:adjustRightInd w:val="0"/>
        <w:spacing w:line="480" w:lineRule="auto"/>
        <w:rPr>
          <w:rFonts w:cs="Times New Roman"/>
          <w:iCs/>
          <w:szCs w:val="24"/>
        </w:rPr>
      </w:pPr>
    </w:p>
    <w:p w:rsidR="008147EA" w:rsidRDefault="008147EA" w:rsidP="007327D2">
      <w:pPr>
        <w:autoSpaceDE w:val="0"/>
        <w:autoSpaceDN w:val="0"/>
        <w:adjustRightInd w:val="0"/>
        <w:spacing w:line="480" w:lineRule="auto"/>
        <w:rPr>
          <w:rFonts w:cs="Times New Roman"/>
          <w:iCs/>
          <w:szCs w:val="24"/>
        </w:rPr>
      </w:pPr>
    </w:p>
    <w:p w:rsidR="008147EA" w:rsidRPr="00892248" w:rsidRDefault="004D067D" w:rsidP="007327D2">
      <w:pPr>
        <w:autoSpaceDE w:val="0"/>
        <w:autoSpaceDN w:val="0"/>
        <w:adjustRightInd w:val="0"/>
        <w:spacing w:line="480" w:lineRule="auto"/>
        <w:rPr>
          <w:rFonts w:cs="Times New Roman"/>
          <w:b/>
          <w:iCs/>
          <w:szCs w:val="24"/>
        </w:rPr>
      </w:pPr>
      <w:r>
        <w:rPr>
          <w:rFonts w:cs="Times New Roman"/>
          <w:b/>
          <w:iCs/>
          <w:szCs w:val="24"/>
        </w:rPr>
        <w:t>Suggestions</w:t>
      </w:r>
      <w:r w:rsidR="00FF48FA">
        <w:rPr>
          <w:rFonts w:cs="Times New Roman"/>
          <w:b/>
          <w:iCs/>
          <w:szCs w:val="24"/>
        </w:rPr>
        <w:t xml:space="preserve"> fo</w:t>
      </w:r>
      <w:r>
        <w:rPr>
          <w:rFonts w:cs="Times New Roman"/>
          <w:b/>
          <w:iCs/>
          <w:szCs w:val="24"/>
        </w:rPr>
        <w:t>r</w:t>
      </w:r>
      <w:r w:rsidR="00FF48FA">
        <w:rPr>
          <w:rFonts w:cs="Times New Roman"/>
          <w:b/>
          <w:iCs/>
          <w:szCs w:val="24"/>
        </w:rPr>
        <w:t xml:space="preserve"> f</w:t>
      </w:r>
      <w:r w:rsidR="008147EA" w:rsidRPr="00892248">
        <w:rPr>
          <w:rFonts w:cs="Times New Roman"/>
          <w:b/>
          <w:iCs/>
          <w:szCs w:val="24"/>
        </w:rPr>
        <w:t xml:space="preserve">urther </w:t>
      </w:r>
      <w:r w:rsidR="00FF48FA">
        <w:rPr>
          <w:rFonts w:cs="Times New Roman"/>
          <w:b/>
          <w:iCs/>
          <w:szCs w:val="24"/>
        </w:rPr>
        <w:t>r</w:t>
      </w:r>
      <w:r w:rsidR="008147EA" w:rsidRPr="00892248">
        <w:rPr>
          <w:rFonts w:cs="Times New Roman"/>
          <w:b/>
          <w:iCs/>
          <w:szCs w:val="24"/>
        </w:rPr>
        <w:t>eading</w:t>
      </w:r>
    </w:p>
    <w:p w:rsidR="008147EA" w:rsidRDefault="00892248" w:rsidP="00FF48FA">
      <w:pPr>
        <w:rPr>
          <w:lang w:val="en-US"/>
        </w:rPr>
      </w:pPr>
      <w:r w:rsidRPr="00E21DEF">
        <w:rPr>
          <w:lang w:val="en-US"/>
        </w:rPr>
        <w:t>Jolley, N</w:t>
      </w:r>
      <w:r>
        <w:rPr>
          <w:lang w:val="en-US"/>
        </w:rPr>
        <w:t>. (2004)</w:t>
      </w:r>
      <w:r w:rsidR="00B23A45">
        <w:rPr>
          <w:lang w:val="en-US"/>
        </w:rPr>
        <w:t>,</w:t>
      </w:r>
      <w:r w:rsidRPr="00E21DEF">
        <w:rPr>
          <w:lang w:val="en-US"/>
        </w:rPr>
        <w:t xml:space="preserve"> </w:t>
      </w:r>
      <w:r>
        <w:rPr>
          <w:lang w:val="en-US"/>
        </w:rPr>
        <w:t>“</w:t>
      </w:r>
      <w:r w:rsidRPr="00E21DEF">
        <w:rPr>
          <w:lang w:val="en-US"/>
        </w:rPr>
        <w:t>Leibniz and the excellence of minds,</w:t>
      </w:r>
      <w:r>
        <w:rPr>
          <w:lang w:val="en-US"/>
        </w:rPr>
        <w:t>”</w:t>
      </w:r>
      <w:r w:rsidRPr="00E21DEF">
        <w:rPr>
          <w:lang w:val="en-US"/>
        </w:rPr>
        <w:t xml:space="preserve"> in </w:t>
      </w:r>
      <w:r w:rsidRPr="00001C2F">
        <w:rPr>
          <w:lang w:val="en-US"/>
        </w:rPr>
        <w:t xml:space="preserve">M. Carrara, A. Nunziante, and G. </w:t>
      </w:r>
      <w:r w:rsidR="00E05C75">
        <w:rPr>
          <w:lang w:val="en-US"/>
        </w:rPr>
        <w:tab/>
      </w:r>
      <w:r w:rsidRPr="00001C2F">
        <w:rPr>
          <w:lang w:val="en-US"/>
        </w:rPr>
        <w:t>Tomasi</w:t>
      </w:r>
      <w:r>
        <w:rPr>
          <w:lang w:val="en-US"/>
        </w:rPr>
        <w:t xml:space="preserve"> (</w:t>
      </w:r>
      <w:r w:rsidR="00B23A45">
        <w:rPr>
          <w:lang w:val="en-US"/>
        </w:rPr>
        <w:t>e</w:t>
      </w:r>
      <w:r>
        <w:rPr>
          <w:lang w:val="en-US"/>
        </w:rPr>
        <w:t>ds.),</w:t>
      </w:r>
      <w:r w:rsidRPr="00E21DEF">
        <w:rPr>
          <w:i/>
          <w:lang w:val="en-US"/>
        </w:rPr>
        <w:t xml:space="preserve"> Individuals, Minds and Bodies: Themes from Leibniz</w:t>
      </w:r>
      <w:r>
        <w:rPr>
          <w:lang w:val="en-US"/>
        </w:rPr>
        <w:t xml:space="preserve"> (Stuttgart: Franz </w:t>
      </w:r>
      <w:r w:rsidR="00E05C75">
        <w:rPr>
          <w:lang w:val="en-US"/>
        </w:rPr>
        <w:tab/>
      </w:r>
      <w:r>
        <w:rPr>
          <w:lang w:val="en-US"/>
        </w:rPr>
        <w:t>Steiner Verlag)</w:t>
      </w:r>
      <w:r w:rsidR="00B23A45">
        <w:rPr>
          <w:lang w:val="en-US"/>
        </w:rPr>
        <w:t>:</w:t>
      </w:r>
      <w:r>
        <w:rPr>
          <w:lang w:val="en-US"/>
        </w:rPr>
        <w:t xml:space="preserve"> 125-140</w:t>
      </w:r>
      <w:r w:rsidRPr="00E21DEF">
        <w:rPr>
          <w:lang w:val="en-US"/>
        </w:rPr>
        <w:t>.</w:t>
      </w:r>
    </w:p>
    <w:p w:rsidR="008147EA" w:rsidRDefault="008147EA" w:rsidP="00FF48FA">
      <w:pPr>
        <w:autoSpaceDE w:val="0"/>
        <w:autoSpaceDN w:val="0"/>
        <w:adjustRightInd w:val="0"/>
        <w:rPr>
          <w:rFonts w:cs="Times New Roman"/>
          <w:iCs/>
          <w:szCs w:val="24"/>
        </w:rPr>
      </w:pPr>
    </w:p>
    <w:p w:rsidR="008147EA" w:rsidRDefault="008147EA" w:rsidP="00FF48FA">
      <w:pPr>
        <w:rPr>
          <w:szCs w:val="24"/>
        </w:rPr>
      </w:pPr>
      <w:r>
        <w:rPr>
          <w:szCs w:val="24"/>
        </w:rPr>
        <w:t xml:space="preserve">Leibniz, G. </w:t>
      </w:r>
      <w:r w:rsidR="00220B74">
        <w:rPr>
          <w:szCs w:val="24"/>
        </w:rPr>
        <w:t>(</w:t>
      </w:r>
      <w:r>
        <w:rPr>
          <w:szCs w:val="24"/>
        </w:rPr>
        <w:t>1988</w:t>
      </w:r>
      <w:r w:rsidR="00892248">
        <w:rPr>
          <w:szCs w:val="24"/>
        </w:rPr>
        <w:t>)</w:t>
      </w:r>
      <w:r w:rsidR="00B23A45">
        <w:rPr>
          <w:szCs w:val="24"/>
        </w:rPr>
        <w:t>,</w:t>
      </w:r>
      <w:r>
        <w:rPr>
          <w:szCs w:val="24"/>
        </w:rPr>
        <w:t xml:space="preserve"> </w:t>
      </w:r>
      <w:r>
        <w:rPr>
          <w:i/>
          <w:szCs w:val="24"/>
        </w:rPr>
        <w:t>Discourse on Metaphysics and Related Writings</w:t>
      </w:r>
      <w:r>
        <w:rPr>
          <w:szCs w:val="24"/>
        </w:rPr>
        <w:t>, ed. and trans. R.</w:t>
      </w:r>
      <w:r w:rsidR="00B23A45">
        <w:rPr>
          <w:szCs w:val="24"/>
        </w:rPr>
        <w:t xml:space="preserve"> </w:t>
      </w:r>
      <w:r>
        <w:rPr>
          <w:szCs w:val="24"/>
        </w:rPr>
        <w:t xml:space="preserve">Martin </w:t>
      </w:r>
      <w:r w:rsidR="00E05C75">
        <w:rPr>
          <w:szCs w:val="24"/>
        </w:rPr>
        <w:tab/>
      </w:r>
      <w:r>
        <w:rPr>
          <w:szCs w:val="24"/>
        </w:rPr>
        <w:t>and S</w:t>
      </w:r>
      <w:r w:rsidR="00B23A45">
        <w:rPr>
          <w:szCs w:val="24"/>
        </w:rPr>
        <w:t>.</w:t>
      </w:r>
      <w:r>
        <w:rPr>
          <w:szCs w:val="24"/>
        </w:rPr>
        <w:t xml:space="preserve"> Brown</w:t>
      </w:r>
      <w:r w:rsidR="00892248">
        <w:rPr>
          <w:szCs w:val="24"/>
        </w:rPr>
        <w:t xml:space="preserve"> (Manchester:</w:t>
      </w:r>
      <w:r>
        <w:rPr>
          <w:szCs w:val="24"/>
        </w:rPr>
        <w:t xml:space="preserve"> Manchester University Press</w:t>
      </w:r>
      <w:r w:rsidR="00892248">
        <w:rPr>
          <w:szCs w:val="24"/>
        </w:rPr>
        <w:t>)</w:t>
      </w:r>
      <w:r>
        <w:rPr>
          <w:szCs w:val="24"/>
        </w:rPr>
        <w:t>.</w:t>
      </w:r>
    </w:p>
    <w:p w:rsidR="008147EA" w:rsidRDefault="008147EA" w:rsidP="00FF48FA">
      <w:pPr>
        <w:autoSpaceDE w:val="0"/>
        <w:autoSpaceDN w:val="0"/>
        <w:adjustRightInd w:val="0"/>
        <w:rPr>
          <w:rFonts w:cs="Times New Roman"/>
          <w:iCs/>
          <w:szCs w:val="24"/>
        </w:rPr>
      </w:pPr>
    </w:p>
    <w:p w:rsidR="00153D6C" w:rsidRDefault="00153D6C" w:rsidP="00FF48FA">
      <w:pPr>
        <w:autoSpaceDE w:val="0"/>
        <w:autoSpaceDN w:val="0"/>
        <w:adjustRightInd w:val="0"/>
        <w:rPr>
          <w:rFonts w:cs="Times New Roman"/>
          <w:iCs/>
          <w:szCs w:val="24"/>
        </w:rPr>
      </w:pPr>
      <w:r>
        <w:rPr>
          <w:rFonts w:cs="Times New Roman"/>
          <w:iCs/>
          <w:szCs w:val="24"/>
        </w:rPr>
        <w:t>Look, B</w:t>
      </w:r>
      <w:r w:rsidR="00B23A45">
        <w:rPr>
          <w:rFonts w:cs="Times New Roman"/>
          <w:iCs/>
          <w:szCs w:val="24"/>
        </w:rPr>
        <w:t>.</w:t>
      </w:r>
      <w:r>
        <w:rPr>
          <w:rFonts w:cs="Times New Roman"/>
          <w:iCs/>
          <w:szCs w:val="24"/>
        </w:rPr>
        <w:t xml:space="preserve"> (2011)</w:t>
      </w:r>
      <w:r w:rsidR="00B23A45">
        <w:rPr>
          <w:rFonts w:cs="Times New Roman"/>
          <w:iCs/>
          <w:szCs w:val="24"/>
        </w:rPr>
        <w:t>,</w:t>
      </w:r>
      <w:r>
        <w:rPr>
          <w:rFonts w:cs="Times New Roman"/>
          <w:iCs/>
          <w:szCs w:val="24"/>
        </w:rPr>
        <w:t xml:space="preserve"> “Leibniz’</w:t>
      </w:r>
      <w:r w:rsidRPr="00153D6C">
        <w:rPr>
          <w:rFonts w:cs="Times New Roman"/>
          <w:iCs/>
          <w:szCs w:val="24"/>
        </w:rPr>
        <w:t>s metaphysics: The path to the Monadology,</w:t>
      </w:r>
      <w:r>
        <w:rPr>
          <w:rFonts w:cs="Times New Roman"/>
          <w:iCs/>
          <w:szCs w:val="24"/>
        </w:rPr>
        <w:t>”</w:t>
      </w:r>
      <w:r w:rsidRPr="00153D6C">
        <w:rPr>
          <w:rFonts w:cs="Times New Roman"/>
          <w:iCs/>
          <w:szCs w:val="24"/>
        </w:rPr>
        <w:t xml:space="preserve"> in B. Look (</w:t>
      </w:r>
      <w:r w:rsidR="00B23A45">
        <w:rPr>
          <w:rFonts w:cs="Times New Roman"/>
          <w:iCs/>
          <w:szCs w:val="24"/>
        </w:rPr>
        <w:t>e</w:t>
      </w:r>
      <w:r w:rsidRPr="00153D6C">
        <w:rPr>
          <w:rFonts w:cs="Times New Roman"/>
          <w:iCs/>
          <w:szCs w:val="24"/>
        </w:rPr>
        <w:t xml:space="preserve">d.), </w:t>
      </w:r>
      <w:r w:rsidR="00E05C75">
        <w:rPr>
          <w:rFonts w:cs="Times New Roman"/>
          <w:iCs/>
          <w:szCs w:val="24"/>
        </w:rPr>
        <w:tab/>
      </w:r>
      <w:r w:rsidRPr="00153D6C">
        <w:rPr>
          <w:rFonts w:cs="Times New Roman"/>
          <w:i/>
          <w:iCs/>
          <w:szCs w:val="24"/>
        </w:rPr>
        <w:t>The Continuum Companion to Leibniz</w:t>
      </w:r>
      <w:r w:rsidRPr="00153D6C">
        <w:rPr>
          <w:rFonts w:cs="Times New Roman"/>
          <w:iCs/>
          <w:szCs w:val="24"/>
        </w:rPr>
        <w:t xml:space="preserve"> (London: Continuum)</w:t>
      </w:r>
      <w:r w:rsidR="00B23A45">
        <w:rPr>
          <w:rFonts w:cs="Times New Roman"/>
          <w:iCs/>
          <w:szCs w:val="24"/>
        </w:rPr>
        <w:t>:</w:t>
      </w:r>
      <w:r w:rsidRPr="00153D6C">
        <w:rPr>
          <w:rFonts w:cs="Times New Roman"/>
          <w:iCs/>
          <w:szCs w:val="24"/>
        </w:rPr>
        <w:t xml:space="preserve"> 89-109.</w:t>
      </w:r>
    </w:p>
    <w:p w:rsidR="00153D6C" w:rsidRDefault="00153D6C" w:rsidP="00FF48FA">
      <w:pPr>
        <w:autoSpaceDE w:val="0"/>
        <w:autoSpaceDN w:val="0"/>
        <w:adjustRightInd w:val="0"/>
        <w:rPr>
          <w:rFonts w:cs="Times New Roman"/>
          <w:iCs/>
          <w:szCs w:val="24"/>
        </w:rPr>
      </w:pPr>
    </w:p>
    <w:p w:rsidR="00AE7F4C" w:rsidRPr="00AE7F4C" w:rsidRDefault="00AE7F4C" w:rsidP="00FF48FA">
      <w:pPr>
        <w:autoSpaceDE w:val="0"/>
        <w:autoSpaceDN w:val="0"/>
        <w:adjustRightInd w:val="0"/>
        <w:rPr>
          <w:rFonts w:cs="Times New Roman"/>
          <w:iCs/>
          <w:szCs w:val="24"/>
        </w:rPr>
      </w:pPr>
      <w:r w:rsidRPr="00AE7F4C">
        <w:rPr>
          <w:rFonts w:cs="Times New Roman"/>
          <w:iCs/>
          <w:szCs w:val="24"/>
        </w:rPr>
        <w:t>Mare, L. and R. Ariew</w:t>
      </w:r>
      <w:r>
        <w:rPr>
          <w:rFonts w:cs="Times New Roman"/>
          <w:iCs/>
          <w:szCs w:val="24"/>
        </w:rPr>
        <w:t xml:space="preserve"> (2015)</w:t>
      </w:r>
      <w:r w:rsidR="00B23A45">
        <w:rPr>
          <w:rFonts w:cs="Times New Roman"/>
          <w:iCs/>
          <w:szCs w:val="24"/>
        </w:rPr>
        <w:t>,</w:t>
      </w:r>
      <w:r>
        <w:rPr>
          <w:rFonts w:cs="Times New Roman"/>
          <w:iCs/>
          <w:szCs w:val="24"/>
        </w:rPr>
        <w:t xml:space="preserve"> “</w:t>
      </w:r>
      <w:r w:rsidRPr="00AE7F4C">
        <w:rPr>
          <w:rFonts w:cs="Times New Roman"/>
          <w:iCs/>
          <w:szCs w:val="24"/>
        </w:rPr>
        <w:t>The Individual in Leibniz’s Philosophy, 1663–1686,</w:t>
      </w:r>
      <w:r>
        <w:rPr>
          <w:rFonts w:cs="Times New Roman"/>
          <w:iCs/>
          <w:szCs w:val="24"/>
        </w:rPr>
        <w:t xml:space="preserve">” in A. </w:t>
      </w:r>
      <w:r w:rsidR="00E05C75">
        <w:rPr>
          <w:rFonts w:cs="Times New Roman"/>
          <w:iCs/>
          <w:szCs w:val="24"/>
        </w:rPr>
        <w:tab/>
      </w:r>
      <w:r>
        <w:rPr>
          <w:rFonts w:cs="Times New Roman"/>
          <w:iCs/>
          <w:szCs w:val="24"/>
        </w:rPr>
        <w:t>Nita (</w:t>
      </w:r>
      <w:r w:rsidR="00B23A45">
        <w:rPr>
          <w:rFonts w:cs="Times New Roman"/>
          <w:iCs/>
          <w:szCs w:val="24"/>
        </w:rPr>
        <w:t>e</w:t>
      </w:r>
      <w:r>
        <w:rPr>
          <w:rFonts w:cs="Times New Roman"/>
          <w:iCs/>
          <w:szCs w:val="24"/>
        </w:rPr>
        <w:t xml:space="preserve">d.), </w:t>
      </w:r>
      <w:r w:rsidRPr="00AE7F4C">
        <w:rPr>
          <w:rFonts w:cs="Times New Roman"/>
          <w:i/>
          <w:iCs/>
          <w:szCs w:val="24"/>
        </w:rPr>
        <w:t xml:space="preserve">Leibniz’s Metaphysics and Adoption of Substantial Forms: Between </w:t>
      </w:r>
      <w:r w:rsidR="00E05C75">
        <w:rPr>
          <w:rFonts w:cs="Times New Roman"/>
          <w:i/>
          <w:iCs/>
          <w:szCs w:val="24"/>
        </w:rPr>
        <w:tab/>
      </w:r>
      <w:r w:rsidRPr="00AE7F4C">
        <w:rPr>
          <w:rFonts w:cs="Times New Roman"/>
          <w:i/>
          <w:iCs/>
          <w:szCs w:val="24"/>
        </w:rPr>
        <w:t>Continuity and Transformation</w:t>
      </w:r>
      <w:r w:rsidR="00B23A45">
        <w:rPr>
          <w:rFonts w:cs="Times New Roman"/>
          <w:iCs/>
          <w:szCs w:val="24"/>
        </w:rPr>
        <w:t xml:space="preserve"> (Dordrecht: Springer): </w:t>
      </w:r>
      <w:r w:rsidRPr="00AE7F4C">
        <w:rPr>
          <w:rFonts w:cs="Times New Roman"/>
          <w:iCs/>
          <w:szCs w:val="24"/>
        </w:rPr>
        <w:t>11-25.</w:t>
      </w:r>
    </w:p>
    <w:p w:rsidR="00AE7F4C" w:rsidRDefault="00AE7F4C" w:rsidP="00FF48FA">
      <w:pPr>
        <w:autoSpaceDE w:val="0"/>
        <w:autoSpaceDN w:val="0"/>
        <w:adjustRightInd w:val="0"/>
        <w:rPr>
          <w:rFonts w:cs="Times New Roman"/>
          <w:iCs/>
          <w:szCs w:val="24"/>
        </w:rPr>
      </w:pPr>
    </w:p>
    <w:p w:rsidR="00C425E6" w:rsidRDefault="008147EA" w:rsidP="00FF48FA">
      <w:pPr>
        <w:autoSpaceDE w:val="0"/>
        <w:autoSpaceDN w:val="0"/>
        <w:adjustRightInd w:val="0"/>
        <w:rPr>
          <w:rFonts w:cs="Times New Roman"/>
          <w:szCs w:val="24"/>
        </w:rPr>
      </w:pPr>
      <w:r w:rsidRPr="0078276E">
        <w:rPr>
          <w:szCs w:val="24"/>
        </w:rPr>
        <w:t xml:space="preserve">Wilson, C. </w:t>
      </w:r>
      <w:r w:rsidR="00220B74">
        <w:rPr>
          <w:szCs w:val="24"/>
        </w:rPr>
        <w:t>(</w:t>
      </w:r>
      <w:r w:rsidRPr="0078276E">
        <w:rPr>
          <w:szCs w:val="24"/>
        </w:rPr>
        <w:t>1989</w:t>
      </w:r>
      <w:r w:rsidR="00892248">
        <w:rPr>
          <w:szCs w:val="24"/>
        </w:rPr>
        <w:t>)</w:t>
      </w:r>
      <w:r w:rsidR="00B23A45">
        <w:rPr>
          <w:szCs w:val="24"/>
        </w:rPr>
        <w:t>,</w:t>
      </w:r>
      <w:r w:rsidRPr="0078276E">
        <w:rPr>
          <w:szCs w:val="24"/>
        </w:rPr>
        <w:t xml:space="preserve"> </w:t>
      </w:r>
      <w:r>
        <w:rPr>
          <w:i/>
          <w:szCs w:val="24"/>
        </w:rPr>
        <w:t>Leibniz’</w:t>
      </w:r>
      <w:r w:rsidRPr="0078276E">
        <w:rPr>
          <w:i/>
          <w:szCs w:val="24"/>
        </w:rPr>
        <w:t>s Metaphysics: A Historical and Comparative Study</w:t>
      </w:r>
      <w:r w:rsidRPr="0078276E">
        <w:rPr>
          <w:szCs w:val="24"/>
        </w:rPr>
        <w:t xml:space="preserve"> </w:t>
      </w:r>
      <w:r w:rsidR="00892248">
        <w:rPr>
          <w:szCs w:val="24"/>
        </w:rPr>
        <w:t xml:space="preserve">(Princeton: </w:t>
      </w:r>
      <w:r w:rsidR="00E05C75">
        <w:rPr>
          <w:szCs w:val="24"/>
        </w:rPr>
        <w:tab/>
      </w:r>
      <w:r w:rsidRPr="0078276E">
        <w:rPr>
          <w:szCs w:val="24"/>
        </w:rPr>
        <w:t>Princeton University Press</w:t>
      </w:r>
      <w:r w:rsidR="00892248">
        <w:rPr>
          <w:szCs w:val="24"/>
        </w:rPr>
        <w:t>)</w:t>
      </w:r>
      <w:r w:rsidR="00B23A45">
        <w:rPr>
          <w:szCs w:val="24"/>
        </w:rPr>
        <w:t>:</w:t>
      </w:r>
      <w:r w:rsidR="00892248">
        <w:rPr>
          <w:szCs w:val="24"/>
        </w:rPr>
        <w:t xml:space="preserve"> </w:t>
      </w:r>
      <w:r w:rsidR="00B23A45">
        <w:rPr>
          <w:szCs w:val="24"/>
        </w:rPr>
        <w:t>C</w:t>
      </w:r>
      <w:r w:rsidR="00EE1C83">
        <w:rPr>
          <w:szCs w:val="24"/>
        </w:rPr>
        <w:t>hapter 3 (“The Discourse on Metaphysics”</w:t>
      </w:r>
      <w:r>
        <w:rPr>
          <w:szCs w:val="24"/>
        </w:rPr>
        <w:t>).</w:t>
      </w:r>
    </w:p>
    <w:sectPr w:rsidR="00C425E6" w:rsidSect="00BC413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17" w:rsidRDefault="00496D17" w:rsidP="00DA2483">
      <w:r>
        <w:separator/>
      </w:r>
    </w:p>
  </w:endnote>
  <w:endnote w:type="continuationSeparator" w:id="0">
    <w:p w:rsidR="00496D17" w:rsidRDefault="00496D17" w:rsidP="00DA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dvOT9a61103f+f6">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MinionPro-It">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5001"/>
      <w:docPartObj>
        <w:docPartGallery w:val="Page Numbers (Bottom of Page)"/>
        <w:docPartUnique/>
      </w:docPartObj>
    </w:sdtPr>
    <w:sdtContent>
      <w:p w:rsidR="0000004C" w:rsidRDefault="00F27109">
        <w:pPr>
          <w:pStyle w:val="Footer"/>
          <w:jc w:val="center"/>
        </w:pPr>
        <w:r>
          <w:rPr>
            <w:noProof/>
          </w:rPr>
          <w:fldChar w:fldCharType="begin"/>
        </w:r>
        <w:r w:rsidR="00266C5B">
          <w:rPr>
            <w:noProof/>
          </w:rPr>
          <w:instrText xml:space="preserve"> PAGE   \* MERGEFORMAT </w:instrText>
        </w:r>
        <w:r>
          <w:rPr>
            <w:noProof/>
          </w:rPr>
          <w:fldChar w:fldCharType="separate"/>
        </w:r>
        <w:r w:rsidR="00B203E4">
          <w:rPr>
            <w:noProof/>
          </w:rPr>
          <w:t>33</w:t>
        </w:r>
        <w:r>
          <w:rPr>
            <w:noProof/>
          </w:rPr>
          <w:fldChar w:fldCharType="end"/>
        </w:r>
      </w:p>
    </w:sdtContent>
  </w:sdt>
  <w:p w:rsidR="0000004C" w:rsidRDefault="00000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17" w:rsidRDefault="00496D17" w:rsidP="00DA2483">
      <w:r>
        <w:separator/>
      </w:r>
    </w:p>
  </w:footnote>
  <w:footnote w:type="continuationSeparator" w:id="0">
    <w:p w:rsidR="00496D17" w:rsidRDefault="00496D17" w:rsidP="00DA2483">
      <w:r>
        <w:continuationSeparator/>
      </w:r>
    </w:p>
  </w:footnote>
  <w:footnote w:id="1">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w:t>
      </w:r>
      <w:r w:rsidR="00BE64BB">
        <w:rPr>
          <w:rFonts w:cs="Times New Roman"/>
        </w:rPr>
        <w:t>F</w:t>
      </w:r>
      <w:r w:rsidRPr="000C1622">
        <w:rPr>
          <w:rFonts w:cs="Times New Roman"/>
        </w:rPr>
        <w:t>or details of the venture, see Wakefield (2010).</w:t>
      </w:r>
    </w:p>
  </w:footnote>
  <w:footnote w:id="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Note that I have often modified the translations cited.</w:t>
      </w:r>
    </w:p>
  </w:footnote>
  <w:footnote w:id="3">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Though the first cataloguer of Leibniz’s manuscripts, Eduard Bodemann, elected to give it the title </w:t>
      </w:r>
      <w:r>
        <w:rPr>
          <w:rFonts w:cs="Times New Roman"/>
        </w:rPr>
        <w:t>“</w:t>
      </w:r>
      <w:r w:rsidRPr="000C1622">
        <w:rPr>
          <w:rFonts w:cs="Times New Roman"/>
        </w:rPr>
        <w:t>Tre</w:t>
      </w:r>
      <w:r>
        <w:rPr>
          <w:rFonts w:cs="Times New Roman"/>
        </w:rPr>
        <w:t>atise on the perfections of God”</w:t>
      </w:r>
      <w:r w:rsidRPr="000C1622">
        <w:rPr>
          <w:rFonts w:cs="Times New Roman"/>
        </w:rPr>
        <w:t>; see Bodemann (1895</w:t>
      </w:r>
      <w:r w:rsidR="00BE64BB">
        <w:rPr>
          <w:rFonts w:cs="Times New Roman"/>
        </w:rPr>
        <w:t>:</w:t>
      </w:r>
      <w:r w:rsidRPr="000C1622">
        <w:rPr>
          <w:rFonts w:cs="Times New Roman"/>
        </w:rPr>
        <w:t xml:space="preserve"> 5).</w:t>
      </w:r>
    </w:p>
  </w:footnote>
  <w:footnote w:id="4">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for example Belaval (1969</w:t>
      </w:r>
      <w:r w:rsidR="00BE64BB">
        <w:rPr>
          <w:rFonts w:cs="Times New Roman"/>
        </w:rPr>
        <w:t>:</w:t>
      </w:r>
      <w:r w:rsidRPr="000C1622">
        <w:rPr>
          <w:rFonts w:cs="Times New Roman"/>
        </w:rPr>
        <w:t xml:space="preserve"> 158).</w:t>
      </w:r>
    </w:p>
  </w:footnote>
  <w:footnote w:id="5">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for example Russell (19</w:t>
      </w:r>
      <w:r w:rsidR="00E05C75">
        <w:rPr>
          <w:rFonts w:cs="Times New Roman"/>
        </w:rPr>
        <w:t>37</w:t>
      </w:r>
      <w:r w:rsidR="00BE64BB">
        <w:rPr>
          <w:rFonts w:cs="Times New Roman"/>
        </w:rPr>
        <w:t>:</w:t>
      </w:r>
      <w:r w:rsidRPr="000C1622">
        <w:rPr>
          <w:rFonts w:cs="Times New Roman"/>
        </w:rPr>
        <w:t xml:space="preserve"> 8).</w:t>
      </w:r>
    </w:p>
  </w:footnote>
  <w:footnote w:id="6">
    <w:p w:rsidR="0000004C" w:rsidRPr="000C1622" w:rsidRDefault="0000004C" w:rsidP="00BE64BB">
      <w:pPr>
        <w:rPr>
          <w:rFonts w:cs="Times New Roman"/>
          <w:sz w:val="20"/>
          <w:szCs w:val="20"/>
        </w:rPr>
      </w:pPr>
      <w:r w:rsidRPr="000C1622">
        <w:rPr>
          <w:rStyle w:val="FootnoteReference"/>
          <w:rFonts w:cs="Times New Roman"/>
          <w:sz w:val="20"/>
          <w:szCs w:val="20"/>
        </w:rPr>
        <w:footnoteRef/>
      </w:r>
      <w:r w:rsidRPr="000C1622">
        <w:rPr>
          <w:rFonts w:cs="Times New Roman"/>
          <w:sz w:val="20"/>
          <w:szCs w:val="20"/>
        </w:rPr>
        <w:t xml:space="preserve"> The original draft is likely to have been written in January 1686. The Akademie editors speculate that work continued on the fair copies until March 1686 (A VI 4</w:t>
      </w:r>
      <w:r w:rsidR="00BE64BB">
        <w:rPr>
          <w:rFonts w:cs="Times New Roman"/>
          <w:sz w:val="20"/>
          <w:szCs w:val="20"/>
        </w:rPr>
        <w:t>:</w:t>
      </w:r>
      <w:r w:rsidRPr="000C1622">
        <w:rPr>
          <w:rFonts w:cs="Times New Roman"/>
          <w:sz w:val="20"/>
          <w:szCs w:val="20"/>
        </w:rPr>
        <w:t xml:space="preserve"> 1530).</w:t>
      </w:r>
    </w:p>
  </w:footnote>
  <w:footnote w:id="7">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In the fair copy, §§1-2 are in Leibniz’s hand, the rest in the hand of an amanuensis.</w:t>
      </w:r>
    </w:p>
  </w:footnote>
  <w:footnote w:id="8">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The reason for the dual date of the letter is that Germany used the Julian calendar until March 1700, at which time it adopted the Gregorian calendar that had been in use in many other European countries since 1582. Due to the differing methods of calculation, the Julian calendar was ten days (or dates) behind the Gregorian calendar.</w:t>
      </w:r>
    </w:p>
  </w:footnote>
  <w:footnote w:id="9">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Note that there are some slight differences between the section headings in Leibniz’s original draft of the </w:t>
      </w:r>
      <w:r w:rsidR="008474E0">
        <w:rPr>
          <w:rFonts w:cs="Times New Roman"/>
        </w:rPr>
        <w:t>“</w:t>
      </w:r>
      <w:r w:rsidRPr="008474E0">
        <w:rPr>
          <w:rFonts w:cs="Times New Roman"/>
        </w:rPr>
        <w:t>Discourse</w:t>
      </w:r>
      <w:r w:rsidR="008474E0">
        <w:rPr>
          <w:rFonts w:cs="Times New Roman"/>
        </w:rPr>
        <w:t>”</w:t>
      </w:r>
      <w:r w:rsidRPr="000C1622">
        <w:rPr>
          <w:rFonts w:cs="Times New Roman"/>
        </w:rPr>
        <w:t xml:space="preserve"> and in the document sent to Landgrave Ernst for Arnauld.</w:t>
      </w:r>
    </w:p>
  </w:footnote>
  <w:footnote w:id="10">
    <w:p w:rsidR="0035632B" w:rsidRDefault="0035632B">
      <w:pPr>
        <w:pStyle w:val="FootnoteText"/>
      </w:pPr>
      <w:r>
        <w:rPr>
          <w:rStyle w:val="FootnoteReference"/>
        </w:rPr>
        <w:footnoteRef/>
      </w:r>
      <w:r>
        <w:t xml:space="preserve"> For discussion of the correspondence with Arnauld, see the chapter by Julia Jorati in this volume.</w:t>
      </w:r>
    </w:p>
  </w:footnote>
  <w:footnote w:id="11">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There are also two fair copies of parts of the text, one of §§1-17, the other of §§5-7.</w:t>
      </w:r>
    </w:p>
  </w:footnote>
  <w:footnote w:id="1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Grotefend (1846</w:t>
      </w:r>
      <w:r w:rsidR="00BE64BB">
        <w:rPr>
          <w:rFonts w:cs="Times New Roman"/>
        </w:rPr>
        <w:t>:</w:t>
      </w:r>
      <w:r w:rsidRPr="000C1622">
        <w:rPr>
          <w:rFonts w:cs="Times New Roman"/>
        </w:rPr>
        <w:t xml:space="preserve"> 154-93) for the </w:t>
      </w:r>
      <w:r w:rsidRPr="000C1622">
        <w:rPr>
          <w:rFonts w:cs="Times New Roman"/>
          <w:i/>
        </w:rPr>
        <w:t>Discourse</w:t>
      </w:r>
      <w:r w:rsidRPr="000C1622">
        <w:rPr>
          <w:rFonts w:cs="Times New Roman"/>
        </w:rPr>
        <w:t xml:space="preserve"> itself, and (1846</w:t>
      </w:r>
      <w:r w:rsidR="00BE64BB">
        <w:rPr>
          <w:rFonts w:cs="Times New Roman"/>
        </w:rPr>
        <w:t>:</w:t>
      </w:r>
      <w:r w:rsidRPr="000C1622">
        <w:rPr>
          <w:rFonts w:cs="Times New Roman"/>
        </w:rPr>
        <w:t xml:space="preserve"> 2-5) for the section headings.</w:t>
      </w:r>
    </w:p>
  </w:footnote>
  <w:footnote w:id="13">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G</w:t>
      </w:r>
      <w:r w:rsidR="005E6F06">
        <w:rPr>
          <w:rFonts w:cs="Times New Roman"/>
        </w:rPr>
        <w:t>P</w:t>
      </w:r>
      <w:r w:rsidRPr="000C1622">
        <w:rPr>
          <w:rFonts w:cs="Times New Roman"/>
        </w:rPr>
        <w:t xml:space="preserve"> IV 427-63 for the </w:t>
      </w:r>
      <w:r w:rsidRPr="000C1622">
        <w:rPr>
          <w:rFonts w:cs="Times New Roman"/>
          <w:i/>
        </w:rPr>
        <w:t>Discourse</w:t>
      </w:r>
      <w:r w:rsidRPr="000C1622">
        <w:rPr>
          <w:rFonts w:cs="Times New Roman"/>
        </w:rPr>
        <w:t xml:space="preserve"> itself, and G</w:t>
      </w:r>
      <w:r w:rsidR="005E6F06">
        <w:rPr>
          <w:rFonts w:cs="Times New Roman"/>
        </w:rPr>
        <w:t>P</w:t>
      </w:r>
      <w:r w:rsidRPr="000C1622">
        <w:rPr>
          <w:rFonts w:cs="Times New Roman"/>
        </w:rPr>
        <w:t xml:space="preserve"> II 12-14 for the section headings.</w:t>
      </w:r>
    </w:p>
  </w:footnote>
  <w:footnote w:id="14">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God is mentioned explicitly in 29 of the </w:t>
      </w:r>
      <w:r w:rsidRPr="000C1622">
        <w:rPr>
          <w:rFonts w:cs="Times New Roman"/>
          <w:i/>
        </w:rPr>
        <w:t>Discourse</w:t>
      </w:r>
      <w:r w:rsidRPr="000C1622">
        <w:rPr>
          <w:rFonts w:cs="Times New Roman"/>
        </w:rPr>
        <w:t xml:space="preserve">’s 37 sections; those that do not mention God are §§11, 18, 20, 24, 25, 27, 33, and 34, though in some of these Leibniz uses other </w:t>
      </w:r>
      <w:r w:rsidR="00EE1C83">
        <w:rPr>
          <w:rFonts w:cs="Times New Roman"/>
        </w:rPr>
        <w:t>terms to refer to God, such as “universal cause”</w:t>
      </w:r>
      <w:r w:rsidRPr="000C1622">
        <w:rPr>
          <w:rFonts w:cs="Times New Roman"/>
        </w:rPr>
        <w:t xml:space="preserve"> (§33).</w:t>
      </w:r>
    </w:p>
  </w:footnote>
  <w:footnote w:id="15">
    <w:p w:rsidR="0000004C" w:rsidRDefault="0000004C" w:rsidP="00BE64BB">
      <w:pPr>
        <w:pStyle w:val="FootnoteText"/>
      </w:pPr>
      <w:r>
        <w:rPr>
          <w:rStyle w:val="FootnoteReference"/>
        </w:rPr>
        <w:footnoteRef/>
      </w:r>
      <w:r>
        <w:t xml:space="preserve"> In a text written c.1680-2, Leibniz is clear that, although God chooses freely and without necessity, it is nevertheless the case that he could choose </w:t>
      </w:r>
      <w:r w:rsidR="00FF2762">
        <w:t>only the best</w:t>
      </w:r>
      <w:r>
        <w:t>: “</w:t>
      </w:r>
      <w:r w:rsidRPr="0000004C">
        <w:t xml:space="preserve">even if God does not will something to exist, it is possible for it to exist, since, by its nature, it could exist if God were to will it to exist. </w:t>
      </w:r>
      <w:r>
        <w:t>‘</w:t>
      </w:r>
      <w:r w:rsidRPr="0000004C">
        <w:t>But God cannot will it to exist.</w:t>
      </w:r>
      <w:r>
        <w:t>’</w:t>
      </w:r>
      <w:r w:rsidRPr="0000004C">
        <w:t xml:space="preserve"> I concede this, yet, such a thing remains possible in its nature, even if it is not possible with respect to the divine will</w:t>
      </w:r>
      <w:r>
        <w:t>” (</w:t>
      </w:r>
      <w:r w:rsidR="003750EB">
        <w:t>PE</w:t>
      </w:r>
      <w:r>
        <w:t xml:space="preserve"> 21). Such claims recall the old Thomistic distinction between absolute and relative possibility. In Aquinas</w:t>
      </w:r>
      <w:r w:rsidR="00674320">
        <w:t>’</w:t>
      </w:r>
      <w:r>
        <w:t xml:space="preserve"> philosophy, a thing or state of affairs can be said to</w:t>
      </w:r>
      <w:r w:rsidR="00674320">
        <w:t xml:space="preserve"> </w:t>
      </w:r>
      <w:r>
        <w:t>be absolutely possible if it is internally consistent, i.e. involves no contradiction,</w:t>
      </w:r>
      <w:r w:rsidR="00674320">
        <w:t xml:space="preserve"> </w:t>
      </w:r>
      <w:r>
        <w:t>and relatively possible if some agent or other being could actually bring it about,</w:t>
      </w:r>
      <w:r w:rsidR="00674320">
        <w:t xml:space="preserve"> </w:t>
      </w:r>
      <w:r>
        <w:t>i.e. supply the means of generation for it. See Aquinas</w:t>
      </w:r>
      <w:r w:rsidR="00674320">
        <w:t xml:space="preserve"> </w:t>
      </w:r>
      <w:r w:rsidR="00FF2762">
        <w:t>(</w:t>
      </w:r>
      <w:r w:rsidR="00674320">
        <w:t>1993</w:t>
      </w:r>
      <w:r w:rsidR="000D2F60">
        <w:t>:</w:t>
      </w:r>
      <w:r w:rsidR="00674320">
        <w:t xml:space="preserve"> 244-5</w:t>
      </w:r>
      <w:r w:rsidR="00FF2762">
        <w:t>).</w:t>
      </w:r>
    </w:p>
  </w:footnote>
  <w:footnote w:id="16">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Descartes (1984-</w:t>
      </w:r>
      <w:r w:rsidR="005E6F06">
        <w:rPr>
          <w:rFonts w:cs="Times New Roman"/>
        </w:rPr>
        <w:t>19</w:t>
      </w:r>
      <w:r w:rsidRPr="000C1622">
        <w:rPr>
          <w:rFonts w:cs="Times New Roman"/>
        </w:rPr>
        <w:t>91 II: 293-4).</w:t>
      </w:r>
    </w:p>
  </w:footnote>
  <w:footnote w:id="17">
    <w:p w:rsidR="000D2F60" w:rsidRDefault="000D2F60">
      <w:pPr>
        <w:pStyle w:val="FootnoteText"/>
      </w:pPr>
      <w:r>
        <w:rPr>
          <w:rStyle w:val="FootnoteReference"/>
        </w:rPr>
        <w:footnoteRef/>
      </w:r>
      <w:r>
        <w:t xml:space="preserve"> See, for example, </w:t>
      </w:r>
      <w:r>
        <w:rPr>
          <w:rFonts w:cs="Times New Roman"/>
          <w:szCs w:val="24"/>
        </w:rPr>
        <w:t xml:space="preserve">A II 1: 787/PPL 273; </w:t>
      </w:r>
      <w:r>
        <w:rPr>
          <w:rFonts w:cs="Times New Roman"/>
        </w:rPr>
        <w:t xml:space="preserve">A VI 4: 1478; </w:t>
      </w:r>
      <w:r w:rsidRPr="00C136F8">
        <w:rPr>
          <w:rFonts w:cs="Times New Roman"/>
        </w:rPr>
        <w:t>A VI 4</w:t>
      </w:r>
      <w:r>
        <w:rPr>
          <w:rFonts w:cs="Times New Roman"/>
        </w:rPr>
        <w:t>:</w:t>
      </w:r>
      <w:r w:rsidRPr="00C136F8">
        <w:rPr>
          <w:rFonts w:cs="Times New Roman"/>
        </w:rPr>
        <w:t xml:space="preserve"> 1481</w:t>
      </w:r>
      <w:r>
        <w:rPr>
          <w:rFonts w:cs="Times New Roman"/>
        </w:rPr>
        <w:t>.</w:t>
      </w:r>
    </w:p>
  </w:footnote>
  <w:footnote w:id="18">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The claim is made in other contemporaneous writings, e.g. A VI 4</w:t>
      </w:r>
      <w:r w:rsidR="000D2F60">
        <w:rPr>
          <w:rFonts w:cs="Times New Roman"/>
        </w:rPr>
        <w:t>:</w:t>
      </w:r>
      <w:r w:rsidRPr="000C1622">
        <w:rPr>
          <w:rFonts w:cs="Times New Roman"/>
        </w:rPr>
        <w:t xml:space="preserve"> 1481, as well as many later ones, e.g. </w:t>
      </w:r>
      <w:r w:rsidR="007C3FF9">
        <w:rPr>
          <w:rFonts w:cs="Times New Roman"/>
          <w:i/>
        </w:rPr>
        <w:t xml:space="preserve">Theodicy </w:t>
      </w:r>
      <w:r w:rsidR="007C3FF9">
        <w:rPr>
          <w:rFonts w:cs="Times New Roman"/>
        </w:rPr>
        <w:t>Pt 3 §137</w:t>
      </w:r>
      <w:r w:rsidRPr="000C1622">
        <w:rPr>
          <w:rFonts w:cs="Times New Roman"/>
        </w:rPr>
        <w:t>/H</w:t>
      </w:r>
      <w:r>
        <w:rPr>
          <w:rFonts w:cs="Times New Roman"/>
        </w:rPr>
        <w:t xml:space="preserve"> </w:t>
      </w:r>
      <w:r w:rsidRPr="000C1622">
        <w:rPr>
          <w:rFonts w:cs="Times New Roman"/>
        </w:rPr>
        <w:t>237.</w:t>
      </w:r>
    </w:p>
  </w:footnote>
  <w:footnote w:id="19">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his extensive notes on it in A II 1</w:t>
      </w:r>
      <w:r w:rsidR="000D2F60">
        <w:rPr>
          <w:rFonts w:cs="Times New Roman"/>
        </w:rPr>
        <w:t>:</w:t>
      </w:r>
      <w:r w:rsidRPr="000C1622">
        <w:rPr>
          <w:rFonts w:cs="Times New Roman"/>
        </w:rPr>
        <w:t xml:space="preserve"> 646–59.</w:t>
      </w:r>
    </w:p>
  </w:footnote>
  <w:footnote w:id="20">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w:t>
      </w:r>
      <w:r w:rsidR="000D2F60">
        <w:rPr>
          <w:rFonts w:cs="Times New Roman"/>
        </w:rPr>
        <w:t>,</w:t>
      </w:r>
      <w:r w:rsidRPr="000C1622">
        <w:rPr>
          <w:rFonts w:cs="Times New Roman"/>
        </w:rPr>
        <w:t xml:space="preserve"> for example</w:t>
      </w:r>
      <w:r w:rsidR="000D2F60">
        <w:rPr>
          <w:rFonts w:cs="Times New Roman"/>
        </w:rPr>
        <w:t>,</w:t>
      </w:r>
      <w:r w:rsidRPr="000C1622">
        <w:rPr>
          <w:rFonts w:cs="Times New Roman"/>
        </w:rPr>
        <w:t xml:space="preserve"> Gale (1976</w:t>
      </w:r>
      <w:r w:rsidR="000D2F60">
        <w:rPr>
          <w:rFonts w:cs="Times New Roman"/>
        </w:rPr>
        <w:t>:</w:t>
      </w:r>
      <w:r w:rsidRPr="000C1622">
        <w:rPr>
          <w:rFonts w:cs="Times New Roman"/>
        </w:rPr>
        <w:t xml:space="preserve"> 81); Rescher (1981</w:t>
      </w:r>
      <w:r w:rsidR="000D2F60">
        <w:rPr>
          <w:rFonts w:cs="Times New Roman"/>
        </w:rPr>
        <w:t>:</w:t>
      </w:r>
      <w:r w:rsidRPr="000C1622">
        <w:rPr>
          <w:rFonts w:cs="Times New Roman"/>
        </w:rPr>
        <w:t xml:space="preserve"> 4); Brown (1987</w:t>
      </w:r>
      <w:r w:rsidR="000D2F60">
        <w:rPr>
          <w:rFonts w:cs="Times New Roman"/>
        </w:rPr>
        <w:t>:</w:t>
      </w:r>
      <w:r w:rsidRPr="000C1622">
        <w:rPr>
          <w:rFonts w:cs="Times New Roman"/>
        </w:rPr>
        <w:t xml:space="preserve"> 197f).</w:t>
      </w:r>
    </w:p>
  </w:footnote>
  <w:footnote w:id="21">
    <w:p w:rsidR="000D2F60" w:rsidRDefault="000D2F60">
      <w:pPr>
        <w:pStyle w:val="FootnoteText"/>
      </w:pPr>
      <w:r>
        <w:rPr>
          <w:rStyle w:val="FootnoteReference"/>
        </w:rPr>
        <w:footnoteRef/>
      </w:r>
      <w:r>
        <w:t xml:space="preserve"> See, for example, </w:t>
      </w:r>
      <w:r>
        <w:rPr>
          <w:rFonts w:cs="Times New Roman"/>
          <w:szCs w:val="24"/>
        </w:rPr>
        <w:t>LM 275 from 1714.</w:t>
      </w:r>
    </w:p>
  </w:footnote>
  <w:footnote w:id="2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for example A VI 4, 1363/SLT 194-</w:t>
      </w:r>
      <w:r w:rsidR="005E6F06">
        <w:rPr>
          <w:rFonts w:cs="Times New Roman"/>
        </w:rPr>
        <w:t>19</w:t>
      </w:r>
      <w:r w:rsidRPr="000C1622">
        <w:rPr>
          <w:rFonts w:cs="Times New Roman"/>
        </w:rPr>
        <w:t xml:space="preserve">5; </w:t>
      </w:r>
      <w:r w:rsidRPr="000C1622">
        <w:rPr>
          <w:rFonts w:eastAsia="MinionPro-Regular" w:cs="Times New Roman"/>
        </w:rPr>
        <w:t>A II 1, 787/PPL 273</w:t>
      </w:r>
      <w:r w:rsidRPr="000C1622">
        <w:rPr>
          <w:rFonts w:cs="Times New Roman"/>
        </w:rPr>
        <w:t>. Leibniz is notoriously unclear about what it is that makes some possible things incompossible with others. For good discussions on this topic, see Brown and Chiek (2016).</w:t>
      </w:r>
    </w:p>
  </w:footnote>
  <w:footnote w:id="23">
    <w:p w:rsidR="007C3FF9" w:rsidRPr="007C3FF9" w:rsidRDefault="007C3FF9">
      <w:pPr>
        <w:pStyle w:val="FootnoteText"/>
      </w:pPr>
      <w:r>
        <w:rPr>
          <w:rStyle w:val="FootnoteReference"/>
        </w:rPr>
        <w:footnoteRef/>
      </w:r>
      <w:r>
        <w:t xml:space="preserve"> For discussion of the </w:t>
      </w:r>
      <w:r w:rsidRPr="006C09CF">
        <w:t>“Confessio”,</w:t>
      </w:r>
      <w:r>
        <w:t xml:space="preserve"> see the chapter by Lucy Sheaf in this volume.</w:t>
      </w:r>
    </w:p>
  </w:footnote>
  <w:footnote w:id="24">
    <w:p w:rsidR="008845CF" w:rsidRDefault="008845CF">
      <w:pPr>
        <w:pStyle w:val="FootnoteText"/>
      </w:pPr>
      <w:r>
        <w:rPr>
          <w:rStyle w:val="FootnoteReference"/>
        </w:rPr>
        <w:footnoteRef/>
      </w:r>
      <w:r>
        <w:t xml:space="preserve"> See, for example, </w:t>
      </w:r>
      <w:r>
        <w:rPr>
          <w:rFonts w:eastAsia="MinionPro-Regular" w:cs="Times New Roman"/>
          <w:szCs w:val="24"/>
        </w:rPr>
        <w:t>A II 1: 777-9/</w:t>
      </w:r>
      <w:r w:rsidR="003750EB">
        <w:rPr>
          <w:rFonts w:eastAsia="MinionPro-Regular" w:cs="Times New Roman"/>
          <w:szCs w:val="24"/>
        </w:rPr>
        <w:t>PE</w:t>
      </w:r>
      <w:r>
        <w:rPr>
          <w:rFonts w:eastAsia="MinionPro-Regular" w:cs="Times New Roman"/>
          <w:szCs w:val="24"/>
        </w:rPr>
        <w:t xml:space="preserve"> 241-242; A II 1: 1482.</w:t>
      </w:r>
    </w:p>
  </w:footnote>
  <w:footnote w:id="25">
    <w:p w:rsidR="0000004C" w:rsidRDefault="0000004C" w:rsidP="00BE64BB">
      <w:pPr>
        <w:pStyle w:val="FootnoteText"/>
      </w:pPr>
      <w:r>
        <w:rPr>
          <w:rStyle w:val="FootnoteReference"/>
        </w:rPr>
        <w:footnoteRef/>
      </w:r>
      <w:r>
        <w:t xml:space="preserve"> English translation available here: </w:t>
      </w:r>
      <w:hyperlink r:id="rId1" w:history="1">
        <w:r w:rsidRPr="00CE0A1D">
          <w:rPr>
            <w:rStyle w:val="Hyperlink"/>
            <w:rFonts w:cs="Times New Roman"/>
            <w:szCs w:val="24"/>
          </w:rPr>
          <w:t>http://www.leibniz-translations.com/particularwill.htm</w:t>
        </w:r>
      </w:hyperlink>
    </w:p>
  </w:footnote>
  <w:footnote w:id="26">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This is based upon one of Aristotle’s (1984</w:t>
      </w:r>
      <w:r w:rsidR="008A4D33">
        <w:rPr>
          <w:rFonts w:cs="Times New Roman"/>
        </w:rPr>
        <w:t>:</w:t>
      </w:r>
      <w:r w:rsidRPr="000C1622">
        <w:rPr>
          <w:rFonts w:cs="Times New Roman"/>
        </w:rPr>
        <w:t xml:space="preserve"> II 1625) definitions of substance.</w:t>
      </w:r>
    </w:p>
  </w:footnote>
  <w:footnote w:id="27">
    <w:p w:rsidR="008A4D33" w:rsidRDefault="008A4D33">
      <w:pPr>
        <w:pStyle w:val="FootnoteText"/>
      </w:pPr>
      <w:r>
        <w:rPr>
          <w:rStyle w:val="FootnoteReference"/>
        </w:rPr>
        <w:footnoteRef/>
      </w:r>
      <w:r>
        <w:t xml:space="preserve"> See AT VI 55-9/CSM I 139-41.</w:t>
      </w:r>
    </w:p>
  </w:footnote>
  <w:footnote w:id="28">
    <w:p w:rsidR="008A4D33" w:rsidRDefault="008A4D33">
      <w:pPr>
        <w:pStyle w:val="FootnoteText"/>
      </w:pPr>
      <w:r>
        <w:rPr>
          <w:rStyle w:val="FootnoteReference"/>
        </w:rPr>
        <w:footnoteRef/>
      </w:r>
      <w:r>
        <w:t xml:space="preserve"> See </w:t>
      </w:r>
      <w:r>
        <w:rPr>
          <w:rFonts w:eastAsia="MinionPro-Regular" w:cs="Times New Roman"/>
          <w:szCs w:val="24"/>
        </w:rPr>
        <w:t xml:space="preserve">Malebranche </w:t>
      </w:r>
      <w:r w:rsidR="00A93826">
        <w:rPr>
          <w:rFonts w:eastAsia="MinionPro-Regular" w:cs="Times New Roman"/>
          <w:szCs w:val="24"/>
        </w:rPr>
        <w:t>(</w:t>
      </w:r>
      <w:r>
        <w:rPr>
          <w:rFonts w:eastAsia="MinionPro-Regular" w:cs="Times New Roman"/>
          <w:szCs w:val="24"/>
        </w:rPr>
        <w:t>1997: 446-52</w:t>
      </w:r>
      <w:r w:rsidR="00A93826">
        <w:rPr>
          <w:rFonts w:eastAsia="MinionPro-Regular" w:cs="Times New Roman"/>
          <w:szCs w:val="24"/>
        </w:rPr>
        <w:t>)</w:t>
      </w:r>
      <w:r>
        <w:rPr>
          <w:rFonts w:eastAsia="MinionPro-Regular" w:cs="Times New Roman"/>
          <w:szCs w:val="24"/>
        </w:rPr>
        <w:t>.</w:t>
      </w:r>
    </w:p>
  </w:footnote>
  <w:footnote w:id="29">
    <w:p w:rsidR="00A93826" w:rsidRDefault="00A93826">
      <w:pPr>
        <w:pStyle w:val="FootnoteText"/>
      </w:pPr>
      <w:r>
        <w:rPr>
          <w:rStyle w:val="FootnoteReference"/>
        </w:rPr>
        <w:footnoteRef/>
      </w:r>
      <w:r>
        <w:t xml:space="preserve"> See </w:t>
      </w:r>
      <w:r>
        <w:rPr>
          <w:rFonts w:eastAsia="MinionPro-Regular" w:cs="Times New Roman"/>
          <w:szCs w:val="24"/>
        </w:rPr>
        <w:t>AT VIIIA 61/CSM I</w:t>
      </w:r>
      <w:r w:rsidRPr="001811DD">
        <w:rPr>
          <w:rFonts w:eastAsia="MinionPro-Regular" w:cs="Times New Roman"/>
          <w:szCs w:val="24"/>
        </w:rPr>
        <w:t xml:space="preserve"> </w:t>
      </w:r>
      <w:r>
        <w:rPr>
          <w:rFonts w:eastAsia="MinionPro-Regular" w:cs="Times New Roman"/>
          <w:szCs w:val="24"/>
        </w:rPr>
        <w:t xml:space="preserve">240; AT VIIIA 100-1/CSM I </w:t>
      </w:r>
      <w:r w:rsidRPr="001811DD">
        <w:rPr>
          <w:rFonts w:eastAsia="MinionPro-Regular" w:cs="Times New Roman"/>
          <w:szCs w:val="24"/>
        </w:rPr>
        <w:t>256-7</w:t>
      </w:r>
      <w:r>
        <w:rPr>
          <w:rFonts w:eastAsia="MinionPro-Regular" w:cs="Times New Roman"/>
          <w:szCs w:val="24"/>
        </w:rPr>
        <w:t>.</w:t>
      </w:r>
    </w:p>
  </w:footnote>
  <w:footnote w:id="30">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For more information, see de Libera (2006).</w:t>
      </w:r>
    </w:p>
  </w:footnote>
  <w:footnote w:id="31">
    <w:p w:rsidR="0000004C" w:rsidRDefault="0000004C" w:rsidP="00BE64BB">
      <w:pPr>
        <w:pStyle w:val="FootnoteText"/>
      </w:pPr>
      <w:r>
        <w:rPr>
          <w:rStyle w:val="FootnoteReference"/>
        </w:rPr>
        <w:footnoteRef/>
      </w:r>
      <w:r>
        <w:t xml:space="preserve"> Though note that God does not deduce the predicates but simply “sees” (intellectually) that they are contained in the subject; see </w:t>
      </w:r>
      <w:r w:rsidRPr="00683DC9">
        <w:t>A VI 4</w:t>
      </w:r>
      <w:r w:rsidR="00A93826">
        <w:t>:</w:t>
      </w:r>
      <w:r w:rsidRPr="00683DC9">
        <w:t xml:space="preserve"> 1650/S</w:t>
      </w:r>
      <w:r>
        <w:t>L</w:t>
      </w:r>
      <w:r w:rsidRPr="00683DC9">
        <w:t>T 111</w:t>
      </w:r>
      <w:r>
        <w:t>.</w:t>
      </w:r>
    </w:p>
  </w:footnote>
  <w:footnote w:id="3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Leibniz effectively confirms this in §28, where he states that </w:t>
      </w:r>
      <w:r>
        <w:rPr>
          <w:rFonts w:cs="Times New Roman"/>
        </w:rPr>
        <w:t>“</w:t>
      </w:r>
      <w:r w:rsidRPr="000C1622">
        <w:rPr>
          <w:rFonts w:cs="Times New Roman"/>
        </w:rPr>
        <w:t>since every effect expresses its cause, the essence of our soul is a certain expression, imitation, or image of the divine essence, thought, and will and of all the ideas which are comprised in God</w:t>
      </w:r>
      <w:r>
        <w:rPr>
          <w:rFonts w:cs="Times New Roman"/>
        </w:rPr>
        <w:t>”</w:t>
      </w:r>
      <w:r w:rsidRPr="000C1622">
        <w:rPr>
          <w:rFonts w:cs="Times New Roman"/>
        </w:rPr>
        <w:t xml:space="preserve"> (A VI 4</w:t>
      </w:r>
      <w:r w:rsidR="0035632B">
        <w:rPr>
          <w:rFonts w:cs="Times New Roman"/>
        </w:rPr>
        <w:t>:</w:t>
      </w:r>
      <w:r w:rsidRPr="000C1622">
        <w:rPr>
          <w:rFonts w:cs="Times New Roman"/>
        </w:rPr>
        <w:t xml:space="preserve"> 1573/PPL 321), though here Leibniz appears to be restricting himself to human souls rather than all substances.</w:t>
      </w:r>
    </w:p>
  </w:footnote>
  <w:footnote w:id="33">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Look (2011</w:t>
      </w:r>
      <w:r w:rsidR="0035632B">
        <w:rPr>
          <w:rFonts w:cs="Times New Roman"/>
        </w:rPr>
        <w:t>:</w:t>
      </w:r>
      <w:r w:rsidRPr="000C1622">
        <w:rPr>
          <w:rFonts w:cs="Times New Roman"/>
        </w:rPr>
        <w:t xml:space="preserve"> 95) for more information.</w:t>
      </w:r>
    </w:p>
  </w:footnote>
  <w:footnote w:id="34">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For more information of Leibniz’s notions of perception and expression, see Swoyer 1995.</w:t>
      </w:r>
    </w:p>
  </w:footnote>
  <w:footnote w:id="35">
    <w:p w:rsidR="0035632B" w:rsidRDefault="0035632B">
      <w:pPr>
        <w:pStyle w:val="FootnoteText"/>
      </w:pPr>
      <w:r>
        <w:rPr>
          <w:rStyle w:val="FootnoteReference"/>
        </w:rPr>
        <w:footnoteRef/>
      </w:r>
      <w:r>
        <w:t xml:space="preserve"> S</w:t>
      </w:r>
      <w:r>
        <w:rPr>
          <w:rFonts w:eastAsia="MinionPro-Regular" w:cs="Times New Roman"/>
          <w:szCs w:val="24"/>
        </w:rPr>
        <w:t>ee A VI 4: 1554-5/PPL 313-14.</w:t>
      </w:r>
    </w:p>
  </w:footnote>
  <w:footnote w:id="36">
    <w:p w:rsidR="0035632B" w:rsidRDefault="0035632B">
      <w:pPr>
        <w:pStyle w:val="FootnoteText"/>
      </w:pPr>
      <w:r>
        <w:rPr>
          <w:rStyle w:val="FootnoteReference"/>
        </w:rPr>
        <w:footnoteRef/>
      </w:r>
      <w:r>
        <w:t xml:space="preserve"> See </w:t>
      </w:r>
      <w:r>
        <w:rPr>
          <w:rFonts w:eastAsia="MinionPro-Regular" w:cs="Times New Roman"/>
          <w:szCs w:val="24"/>
        </w:rPr>
        <w:t>A VI 4: 1988-9/PPL 278-9; A II 1: 757/LGR 48-</w:t>
      </w:r>
      <w:r w:rsidRPr="00AA7DD7">
        <w:rPr>
          <w:rFonts w:eastAsia="MinionPro-Regular" w:cs="Times New Roman"/>
          <w:szCs w:val="24"/>
        </w:rPr>
        <w:t>9</w:t>
      </w:r>
      <w:r>
        <w:rPr>
          <w:rFonts w:eastAsia="MinionPro-Regular" w:cs="Times New Roman"/>
          <w:szCs w:val="24"/>
        </w:rPr>
        <w:t>.</w:t>
      </w:r>
    </w:p>
  </w:footnote>
  <w:footnote w:id="37">
    <w:p w:rsidR="0035632B" w:rsidRDefault="0035632B">
      <w:pPr>
        <w:pStyle w:val="FootnoteText"/>
      </w:pPr>
      <w:r>
        <w:rPr>
          <w:rStyle w:val="FootnoteReference"/>
        </w:rPr>
        <w:footnoteRef/>
      </w:r>
      <w:r>
        <w:t xml:space="preserve"> S</w:t>
      </w:r>
      <w:r>
        <w:rPr>
          <w:rFonts w:eastAsia="MinionPro-Regular" w:cs="Times New Roman"/>
          <w:szCs w:val="24"/>
        </w:rPr>
        <w:t xml:space="preserve">ee </w:t>
      </w:r>
      <w:r w:rsidRPr="007B0FC8">
        <w:rPr>
          <w:rFonts w:eastAsia="MinionPro-Regular" w:cs="Times New Roman"/>
          <w:szCs w:val="24"/>
        </w:rPr>
        <w:t>A VI 4</w:t>
      </w:r>
      <w:r>
        <w:rPr>
          <w:rFonts w:eastAsia="MinionPro-Regular" w:cs="Times New Roman"/>
          <w:szCs w:val="24"/>
        </w:rPr>
        <w:t>:</w:t>
      </w:r>
      <w:r w:rsidRPr="007B0FC8">
        <w:rPr>
          <w:rFonts w:eastAsia="MinionPro-Regular" w:cs="Times New Roman"/>
          <w:szCs w:val="24"/>
        </w:rPr>
        <w:t xml:space="preserve"> 1988/LC 233-5</w:t>
      </w:r>
      <w:r>
        <w:rPr>
          <w:rFonts w:eastAsia="MinionPro-Regular" w:cs="Times New Roman"/>
          <w:szCs w:val="24"/>
        </w:rPr>
        <w:t>.</w:t>
      </w:r>
    </w:p>
  </w:footnote>
  <w:footnote w:id="38">
    <w:p w:rsidR="0035632B" w:rsidRDefault="0035632B">
      <w:pPr>
        <w:pStyle w:val="FootnoteText"/>
      </w:pPr>
      <w:r>
        <w:rPr>
          <w:rStyle w:val="FootnoteReference"/>
        </w:rPr>
        <w:footnoteRef/>
      </w:r>
      <w:r>
        <w:t xml:space="preserve"> See </w:t>
      </w:r>
      <w:r w:rsidRPr="008474E3">
        <w:rPr>
          <w:rFonts w:eastAsia="MinionPro-Regular" w:cs="Times New Roman"/>
          <w:szCs w:val="24"/>
        </w:rPr>
        <w:t>A VI 4, 1465/LC 265</w:t>
      </w:r>
      <w:r>
        <w:rPr>
          <w:rFonts w:eastAsia="MinionPro-Regular" w:cs="Times New Roman"/>
          <w:szCs w:val="24"/>
        </w:rPr>
        <w:t xml:space="preserve">; </w:t>
      </w:r>
      <w:r w:rsidRPr="00720B72">
        <w:rPr>
          <w:rFonts w:eastAsia="MinionPro-Regular" w:cs="Times New Roman"/>
          <w:szCs w:val="24"/>
        </w:rPr>
        <w:t>A VI 4</w:t>
      </w:r>
      <w:r>
        <w:rPr>
          <w:rFonts w:eastAsia="MinionPro-Regular" w:cs="Times New Roman"/>
          <w:szCs w:val="24"/>
        </w:rPr>
        <w:t>:</w:t>
      </w:r>
      <w:r w:rsidRPr="00720B72">
        <w:rPr>
          <w:rFonts w:eastAsia="MinionPro-Regular" w:cs="Times New Roman"/>
          <w:szCs w:val="24"/>
        </w:rPr>
        <w:t xml:space="preserve"> 1508/LC 285</w:t>
      </w:r>
      <w:r>
        <w:rPr>
          <w:rFonts w:eastAsia="MinionPro-Regular" w:cs="Times New Roman"/>
          <w:szCs w:val="24"/>
        </w:rPr>
        <w:t>.</w:t>
      </w:r>
    </w:p>
  </w:footnote>
  <w:footnote w:id="39">
    <w:p w:rsidR="0035632B" w:rsidRDefault="0035632B">
      <w:pPr>
        <w:pStyle w:val="FootnoteText"/>
      </w:pPr>
      <w:r>
        <w:rPr>
          <w:rStyle w:val="FootnoteReference"/>
        </w:rPr>
        <w:footnoteRef/>
      </w:r>
      <w:r>
        <w:t xml:space="preserve"> See </w:t>
      </w:r>
      <w:r>
        <w:rPr>
          <w:rFonts w:eastAsia="MinionPro-Regular" w:cs="Times New Roman"/>
          <w:szCs w:val="24"/>
        </w:rPr>
        <w:t>A VI 4:</w:t>
      </w:r>
      <w:r w:rsidRPr="00720B72">
        <w:rPr>
          <w:rFonts w:eastAsia="MinionPro-Regular" w:cs="Times New Roman"/>
          <w:szCs w:val="24"/>
        </w:rPr>
        <w:t xml:space="preserve"> 1508/LC 287</w:t>
      </w:r>
      <w:r>
        <w:rPr>
          <w:rFonts w:eastAsia="MinionPro-Regular" w:cs="Times New Roman"/>
          <w:szCs w:val="24"/>
        </w:rPr>
        <w:t>; A VI 4: 1625/LC 321.</w:t>
      </w:r>
    </w:p>
  </w:footnote>
  <w:footnote w:id="40">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Note that in §12 Leibniz treats the idea of a soul in animals as hypothetical, writing </w:t>
      </w:r>
      <w:r>
        <w:rPr>
          <w:rFonts w:cs="Times New Roman"/>
        </w:rPr>
        <w:t>“if they have one”</w:t>
      </w:r>
      <w:r w:rsidRPr="000C1622">
        <w:rPr>
          <w:rFonts w:cs="Times New Roman"/>
        </w:rPr>
        <w:t xml:space="preserve"> (A VI 4</w:t>
      </w:r>
      <w:r w:rsidR="0035632B">
        <w:rPr>
          <w:rFonts w:cs="Times New Roman"/>
        </w:rPr>
        <w:t>:</w:t>
      </w:r>
      <w:r w:rsidRPr="000C1622">
        <w:rPr>
          <w:rFonts w:cs="Times New Roman"/>
        </w:rPr>
        <w:t xml:space="preserve"> 1545/PPL 309), while in §34 he merely </w:t>
      </w:r>
      <w:r w:rsidRPr="000C1622">
        <w:rPr>
          <w:rFonts w:cs="Times New Roman"/>
          <w:i/>
        </w:rPr>
        <w:t>supposes</w:t>
      </w:r>
      <w:r w:rsidRPr="000C1622">
        <w:rPr>
          <w:rFonts w:cs="Times New Roman"/>
        </w:rPr>
        <w:t xml:space="preserve"> that animals have souls (A VI 4</w:t>
      </w:r>
      <w:r w:rsidR="0035632B">
        <w:rPr>
          <w:rFonts w:cs="Times New Roman"/>
        </w:rPr>
        <w:t>:</w:t>
      </w:r>
      <w:r w:rsidRPr="000C1622">
        <w:rPr>
          <w:rFonts w:cs="Times New Roman"/>
        </w:rPr>
        <w:t xml:space="preserve"> 1583/PPL 325). This stands in sharp contrast to other writings of the early- to mid-1680s, where Leibniz is happy to state that animals do have souls and to criticize the Cartesians for denying it and thus for construing animals as pure machines (e.g. A II 1</w:t>
      </w:r>
      <w:r w:rsidR="0035632B">
        <w:rPr>
          <w:rFonts w:cs="Times New Roman"/>
        </w:rPr>
        <w:t>:</w:t>
      </w:r>
      <w:r w:rsidRPr="000C1622">
        <w:rPr>
          <w:rFonts w:cs="Times New Roman"/>
        </w:rPr>
        <w:t xml:space="preserve"> 860-1/</w:t>
      </w:r>
      <w:hyperlink r:id="rId2" w:history="1">
        <w:r w:rsidRPr="000C1622">
          <w:rPr>
            <w:rStyle w:val="Hyperlink"/>
            <w:rFonts w:cs="Times New Roman"/>
          </w:rPr>
          <w:t>http://www.leibniz-translations.com/tschirnhaus.htm</w:t>
        </w:r>
      </w:hyperlink>
      <w:r w:rsidRPr="000C1622">
        <w:rPr>
          <w:rFonts w:cs="Times New Roman"/>
        </w:rPr>
        <w:t xml:space="preserve">; </w:t>
      </w:r>
      <w:r w:rsidRPr="000C1622">
        <w:rPr>
          <w:rFonts w:cs="Times New Roman"/>
          <w:lang w:val="en-US"/>
        </w:rPr>
        <w:t>A VI 4</w:t>
      </w:r>
      <w:r w:rsidR="0035632B">
        <w:rPr>
          <w:rFonts w:cs="Times New Roman"/>
          <w:lang w:val="en-US"/>
        </w:rPr>
        <w:t>:</w:t>
      </w:r>
      <w:r w:rsidRPr="000C1622">
        <w:rPr>
          <w:rFonts w:cs="Times New Roman"/>
          <w:lang w:val="en-US"/>
        </w:rPr>
        <w:t xml:space="preserve"> 1624/LC 319</w:t>
      </w:r>
      <w:r w:rsidRPr="000C1622">
        <w:rPr>
          <w:rFonts w:cs="Times New Roman"/>
        </w:rPr>
        <w:t>).</w:t>
      </w:r>
    </w:p>
  </w:footnote>
  <w:footnote w:id="41">
    <w:p w:rsidR="0000004C" w:rsidRDefault="0000004C" w:rsidP="00BE64BB">
      <w:pPr>
        <w:pStyle w:val="FootnoteText"/>
      </w:pPr>
      <w:r>
        <w:rPr>
          <w:rStyle w:val="FootnoteReference"/>
        </w:rPr>
        <w:footnoteRef/>
      </w:r>
      <w:r>
        <w:t xml:space="preserve"> Note that there has been a good deal of scholarly discussion and disagreement about </w:t>
      </w:r>
      <w:r>
        <w:rPr>
          <w:rFonts w:cs="Times New Roman"/>
        </w:rPr>
        <w:t>Leibniz’s views on the reality of bodies in his</w:t>
      </w:r>
      <w:r w:rsidRPr="000C1622">
        <w:rPr>
          <w:rFonts w:cs="Times New Roman"/>
        </w:rPr>
        <w:t xml:space="preserve"> middle and later periods</w:t>
      </w:r>
      <w:r>
        <w:rPr>
          <w:rFonts w:cs="Times New Roman"/>
        </w:rPr>
        <w:t>. For an account of some of these</w:t>
      </w:r>
      <w:r w:rsidRPr="000C1622">
        <w:rPr>
          <w:rFonts w:cs="Times New Roman"/>
        </w:rPr>
        <w:t xml:space="preserve">, see </w:t>
      </w:r>
      <w:r>
        <w:rPr>
          <w:rFonts w:cs="Times New Roman"/>
        </w:rPr>
        <w:t xml:space="preserve">Lodge </w:t>
      </w:r>
      <w:r w:rsidR="00540825">
        <w:rPr>
          <w:rFonts w:cs="Times New Roman"/>
        </w:rPr>
        <w:t>(</w:t>
      </w:r>
      <w:r>
        <w:rPr>
          <w:rFonts w:cs="Times New Roman"/>
        </w:rPr>
        <w:t>2005</w:t>
      </w:r>
      <w:r w:rsidR="00540825">
        <w:rPr>
          <w:rFonts w:cs="Times New Roman"/>
        </w:rPr>
        <w:t>)</w:t>
      </w:r>
      <w:r>
        <w:rPr>
          <w:rFonts w:cs="Times New Roman"/>
        </w:rPr>
        <w:t>.</w:t>
      </w:r>
    </w:p>
  </w:footnote>
  <w:footnote w:id="4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Leibniz’s uncertainty over whether bodies were substances or phenomena is also apparent in a remark deleted from §35 of the fair copy: </w:t>
      </w:r>
      <w:r>
        <w:rPr>
          <w:rFonts w:eastAsia="MinionPro-Regular" w:cs="Times New Roman"/>
        </w:rPr>
        <w:t>“</w:t>
      </w:r>
      <w:r w:rsidRPr="000C1622">
        <w:rPr>
          <w:rFonts w:eastAsia="MinionPro-Regular" w:cs="Times New Roman"/>
        </w:rPr>
        <w:t>For assuredly minds are either the only substances found in the world (in the event that bodies are only true phenomena) or else they are</w:t>
      </w:r>
      <w:r>
        <w:rPr>
          <w:rFonts w:eastAsia="MinionPro-Regular" w:cs="Times New Roman"/>
        </w:rPr>
        <w:t xml:space="preserve"> at least the most perfect ones”</w:t>
      </w:r>
      <w:r w:rsidRPr="000C1622">
        <w:rPr>
          <w:rFonts w:eastAsia="MinionPro-Regular" w:cs="Times New Roman"/>
        </w:rPr>
        <w:t xml:space="preserve"> (A VI 4</w:t>
      </w:r>
      <w:r w:rsidR="00540825">
        <w:rPr>
          <w:rFonts w:eastAsia="MinionPro-Regular" w:cs="Times New Roman"/>
        </w:rPr>
        <w:t>:</w:t>
      </w:r>
      <w:r w:rsidRPr="000C1622">
        <w:rPr>
          <w:rFonts w:eastAsia="MinionPro-Regular" w:cs="Times New Roman"/>
        </w:rPr>
        <w:t xml:space="preserve"> 1585).</w:t>
      </w:r>
    </w:p>
  </w:footnote>
  <w:footnote w:id="43">
    <w:p w:rsidR="0000004C" w:rsidRDefault="0000004C" w:rsidP="00BE64BB">
      <w:pPr>
        <w:pStyle w:val="FootnoteText"/>
      </w:pPr>
      <w:r>
        <w:rPr>
          <w:rStyle w:val="FootnoteReference"/>
        </w:rPr>
        <w:footnoteRef/>
      </w:r>
      <w:r>
        <w:t xml:space="preserve"> Leibniz here implies that a body such as that of a human being </w:t>
      </w:r>
      <w:r w:rsidRPr="00516CD7">
        <w:t xml:space="preserve">is made up of (numerous) bodies each with </w:t>
      </w:r>
      <w:r>
        <w:t>its own substantial form.</w:t>
      </w:r>
    </w:p>
  </w:footnote>
  <w:footnote w:id="44">
    <w:p w:rsidR="0035632B" w:rsidRDefault="0035632B">
      <w:pPr>
        <w:pStyle w:val="FootnoteText"/>
      </w:pPr>
      <w:r>
        <w:rPr>
          <w:rStyle w:val="FootnoteReference"/>
        </w:rPr>
        <w:footnoteRef/>
      </w:r>
      <w:r>
        <w:t xml:space="preserve"> See, </w:t>
      </w:r>
      <w:r>
        <w:rPr>
          <w:rFonts w:eastAsia="MinionPro-Regular" w:cs="Times New Roman"/>
          <w:szCs w:val="24"/>
        </w:rPr>
        <w:t xml:space="preserve">for example, A VI 4: </w:t>
      </w:r>
      <w:r w:rsidRPr="00970A13">
        <w:rPr>
          <w:rFonts w:eastAsia="MinionPro-Regular" w:cs="Times New Roman"/>
          <w:szCs w:val="24"/>
        </w:rPr>
        <w:t>1398-9/LC 245-7</w:t>
      </w:r>
      <w:r>
        <w:rPr>
          <w:rFonts w:eastAsia="MinionPro-Regular" w:cs="Times New Roman"/>
          <w:szCs w:val="24"/>
        </w:rPr>
        <w:t>.</w:t>
      </w:r>
    </w:p>
  </w:footnote>
  <w:footnote w:id="45">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w:t>
      </w:r>
      <w:r>
        <w:rPr>
          <w:rFonts w:cs="Times New Roman"/>
        </w:rPr>
        <w:t xml:space="preserve">English translation available here: </w:t>
      </w:r>
      <w:hyperlink r:id="rId3" w:history="1">
        <w:r w:rsidRPr="004B2900">
          <w:rPr>
            <w:rStyle w:val="Hyperlink"/>
          </w:rPr>
          <w:t>http://www.leibniz-translations.com/descartes.htm</w:t>
        </w:r>
      </w:hyperlink>
      <w:r>
        <w:t xml:space="preserve"> </w:t>
      </w:r>
    </w:p>
  </w:footnote>
  <w:footnote w:id="46">
    <w:p w:rsidR="0035632B" w:rsidRDefault="0035632B">
      <w:pPr>
        <w:pStyle w:val="FootnoteText"/>
      </w:pPr>
      <w:r>
        <w:rPr>
          <w:rStyle w:val="FootnoteReference"/>
        </w:rPr>
        <w:footnoteRef/>
      </w:r>
      <w:r>
        <w:t xml:space="preserve"> For</w:t>
      </w:r>
      <w:r>
        <w:rPr>
          <w:rFonts w:eastAsia="MinionPro-Regular" w:cs="Times New Roman"/>
          <w:szCs w:val="24"/>
        </w:rPr>
        <w:t xml:space="preserve"> more information, see John Whipple’s essay on the De Volder correspondence in this volume.</w:t>
      </w:r>
    </w:p>
  </w:footnote>
  <w:footnote w:id="47">
    <w:p w:rsidR="0000004C" w:rsidRDefault="0000004C" w:rsidP="00BE64BB">
      <w:pPr>
        <w:pStyle w:val="FootnoteText"/>
      </w:pPr>
      <w:r>
        <w:rPr>
          <w:rStyle w:val="FootnoteReference"/>
        </w:rPr>
        <w:footnoteRef/>
      </w:r>
      <w:r>
        <w:t xml:space="preserve"> </w:t>
      </w:r>
      <w:r w:rsidR="006572EB" w:rsidRPr="000943B5">
        <w:t xml:space="preserve">See </w:t>
      </w:r>
      <w:r w:rsidR="006572EB" w:rsidRPr="000943B5">
        <w:rPr>
          <w:rFonts w:cs="Times New Roman"/>
          <w:szCs w:val="24"/>
        </w:rPr>
        <w:t xml:space="preserve">(CSM I: 240-241, 243) </w:t>
      </w:r>
      <w:r w:rsidRPr="000943B5">
        <w:t xml:space="preserve">Note that when expressing this law, Descartes uses “matter”, “parts of matter”, or “body” rather than “mass”, though in one formulation he indicates that quantity of motion is determined by the size of a body times its speed. See </w:t>
      </w:r>
      <w:r w:rsidR="006572EB" w:rsidRPr="000943B5">
        <w:t xml:space="preserve">CSM </w:t>
      </w:r>
      <w:r w:rsidRPr="000943B5">
        <w:t>I: 244.</w:t>
      </w:r>
    </w:p>
  </w:footnote>
  <w:footnote w:id="48">
    <w:p w:rsidR="0000004C" w:rsidRDefault="0000004C" w:rsidP="00BE64BB">
      <w:pPr>
        <w:pStyle w:val="FootnoteText"/>
      </w:pPr>
      <w:r>
        <w:rPr>
          <w:rStyle w:val="FootnoteReference"/>
        </w:rPr>
        <w:footnoteRef/>
      </w:r>
      <w:r>
        <w:t xml:space="preserve"> </w:t>
      </w:r>
      <w:r w:rsidR="006572EB">
        <w:t>S</w:t>
      </w:r>
      <w:r w:rsidR="006572EB">
        <w:rPr>
          <w:rFonts w:eastAsia="MinionPro-Regular" w:cs="Times New Roman"/>
          <w:szCs w:val="24"/>
        </w:rPr>
        <w:t xml:space="preserve">ee, for example, A II 1: 778. </w:t>
      </w:r>
      <w:r>
        <w:t xml:space="preserve">English translation available </w:t>
      </w:r>
      <w:r w:rsidR="006572EB">
        <w:t>at</w:t>
      </w:r>
      <w:r>
        <w:t xml:space="preserve">: </w:t>
      </w:r>
      <w:hyperlink r:id="rId4" w:history="1">
        <w:r w:rsidRPr="00C66683">
          <w:rPr>
            <w:rStyle w:val="Hyperlink"/>
            <w:rFonts w:eastAsia="MinionPro-Regular" w:cs="Times New Roman"/>
            <w:szCs w:val="24"/>
          </w:rPr>
          <w:t>http://www.leibniz-translations.com/cartesianism1679.htm</w:t>
        </w:r>
      </w:hyperlink>
    </w:p>
  </w:footnote>
  <w:footnote w:id="49">
    <w:p w:rsidR="006572EB" w:rsidRDefault="006572EB" w:rsidP="006572EB">
      <w:pPr>
        <w:pStyle w:val="FootnoteText"/>
      </w:pPr>
      <w:r>
        <w:rPr>
          <w:rStyle w:val="FootnoteReference"/>
        </w:rPr>
        <w:footnoteRef/>
      </w:r>
      <w:r>
        <w:t xml:space="preserve"> S</w:t>
      </w:r>
      <w:r>
        <w:rPr>
          <w:rFonts w:eastAsia="MinionPro-Regular" w:cs="Times New Roman"/>
          <w:szCs w:val="24"/>
        </w:rPr>
        <w:t>ee, for example, A VI 4: 1481.</w:t>
      </w:r>
    </w:p>
  </w:footnote>
  <w:footnote w:id="50">
    <w:p w:rsidR="00540825" w:rsidRDefault="00540825">
      <w:pPr>
        <w:pStyle w:val="FootnoteText"/>
      </w:pPr>
      <w:r>
        <w:rPr>
          <w:rStyle w:val="FootnoteReference"/>
        </w:rPr>
        <w:footnoteRef/>
      </w:r>
      <w:r>
        <w:t xml:space="preserve"> See Augustine </w:t>
      </w:r>
      <w:r>
        <w:rPr>
          <w:rFonts w:cs="Times New Roman"/>
          <w:szCs w:val="24"/>
        </w:rPr>
        <w:t>(</w:t>
      </w:r>
      <w:r w:rsidRPr="008064AC">
        <w:rPr>
          <w:rFonts w:cs="Times New Roman"/>
          <w:szCs w:val="24"/>
        </w:rPr>
        <w:t>1991</w:t>
      </w:r>
      <w:r>
        <w:rPr>
          <w:rFonts w:cs="Times New Roman"/>
          <w:szCs w:val="24"/>
        </w:rPr>
        <w:t>:</w:t>
      </w:r>
      <w:r w:rsidRPr="008064AC">
        <w:rPr>
          <w:rFonts w:cs="Times New Roman"/>
          <w:szCs w:val="24"/>
        </w:rPr>
        <w:t xml:space="preserve"> 68</w:t>
      </w:r>
      <w:r>
        <w:rPr>
          <w:rFonts w:cs="Times New Roman"/>
          <w:szCs w:val="24"/>
        </w:rPr>
        <w:t>).</w:t>
      </w:r>
    </w:p>
  </w:footnote>
  <w:footnote w:id="51">
    <w:p w:rsidR="0000004C" w:rsidRDefault="0000004C" w:rsidP="00BE64BB">
      <w:pPr>
        <w:pStyle w:val="FootnoteText"/>
      </w:pPr>
      <w:r>
        <w:rPr>
          <w:rStyle w:val="FootnoteReference"/>
        </w:rPr>
        <w:footnoteRef/>
      </w:r>
      <w:r>
        <w:t xml:space="preserve"> English translation available here: </w:t>
      </w:r>
      <w:hyperlink r:id="rId5" w:history="1">
        <w:r w:rsidRPr="001C4EA6">
          <w:rPr>
            <w:rStyle w:val="Hyperlink"/>
            <w:rFonts w:cs="Times New Roman"/>
            <w:szCs w:val="24"/>
          </w:rPr>
          <w:t>http://www.leibniz-translations.com/freedomgrace.htm</w:t>
        </w:r>
      </w:hyperlink>
    </w:p>
  </w:footnote>
  <w:footnote w:id="52">
    <w:p w:rsidR="006572EB" w:rsidRPr="006572EB" w:rsidRDefault="006572EB" w:rsidP="006572EB">
      <w:pPr>
        <w:autoSpaceDE w:val="0"/>
        <w:autoSpaceDN w:val="0"/>
        <w:adjustRightInd w:val="0"/>
        <w:spacing w:line="480" w:lineRule="auto"/>
        <w:rPr>
          <w:rFonts w:cs="Times New Roman"/>
          <w:sz w:val="20"/>
          <w:szCs w:val="24"/>
        </w:rPr>
      </w:pPr>
      <w:r w:rsidRPr="006572EB">
        <w:rPr>
          <w:rStyle w:val="FootnoteReference"/>
          <w:sz w:val="20"/>
        </w:rPr>
        <w:footnoteRef/>
      </w:r>
      <w:r w:rsidRPr="006572EB">
        <w:rPr>
          <w:sz w:val="20"/>
        </w:rPr>
        <w:t xml:space="preserve"> F</w:t>
      </w:r>
      <w:r w:rsidRPr="006572EB">
        <w:rPr>
          <w:rFonts w:cs="Times New Roman"/>
          <w:sz w:val="20"/>
          <w:szCs w:val="24"/>
        </w:rPr>
        <w:t xml:space="preserve">or more </w:t>
      </w:r>
      <w:r>
        <w:rPr>
          <w:rFonts w:cs="Times New Roman"/>
          <w:sz w:val="20"/>
          <w:szCs w:val="24"/>
        </w:rPr>
        <w:t>information</w:t>
      </w:r>
      <w:r w:rsidRPr="006572EB">
        <w:rPr>
          <w:rFonts w:cs="Times New Roman"/>
          <w:sz w:val="20"/>
          <w:szCs w:val="24"/>
        </w:rPr>
        <w:t>, see Julia Borcherding’s chapter in this volume.</w:t>
      </w:r>
    </w:p>
    <w:p w:rsidR="006572EB" w:rsidRDefault="006572EB">
      <w:pPr>
        <w:pStyle w:val="FootnoteText"/>
      </w:pPr>
    </w:p>
  </w:footnote>
  <w:footnote w:id="53">
    <w:p w:rsidR="0000004C" w:rsidRPr="000C1622" w:rsidRDefault="0000004C" w:rsidP="00BE64BB">
      <w:pPr>
        <w:pStyle w:val="FootnoteText"/>
        <w:rPr>
          <w:rFonts w:cs="Times New Roman"/>
        </w:rPr>
      </w:pPr>
      <w:r w:rsidRPr="000C1622">
        <w:rPr>
          <w:rStyle w:val="FootnoteReference"/>
          <w:rFonts w:cs="Times New Roman"/>
        </w:rPr>
        <w:footnoteRef/>
      </w:r>
      <w:r>
        <w:rPr>
          <w:rFonts w:cs="Times New Roman"/>
        </w:rPr>
        <w:t xml:space="preserve"> Leibniz uses the term “expression”</w:t>
      </w:r>
      <w:r w:rsidRPr="000C1622">
        <w:rPr>
          <w:rFonts w:cs="Times New Roman"/>
        </w:rPr>
        <w:t xml:space="preserve"> in this second sense in other contemporaneous texts too; see for example </w:t>
      </w:r>
      <w:r w:rsidRPr="000C1622">
        <w:rPr>
          <w:rFonts w:cs="Times New Roman"/>
          <w:lang w:val="en-US"/>
        </w:rPr>
        <w:t>A VI 4, 1624/LC 319.</w:t>
      </w:r>
    </w:p>
  </w:footnote>
  <w:footnote w:id="54">
    <w:p w:rsidR="0000004C" w:rsidRPr="000C1622" w:rsidRDefault="0000004C" w:rsidP="00BE64BB">
      <w:pPr>
        <w:pStyle w:val="FootnoteText"/>
        <w:rPr>
          <w:rFonts w:cs="Times New Roman"/>
        </w:rPr>
      </w:pPr>
      <w:r w:rsidRPr="000C1622">
        <w:rPr>
          <w:rStyle w:val="FootnoteReference"/>
          <w:rFonts w:cs="Times New Roman"/>
        </w:rPr>
        <w:footnoteRef/>
      </w:r>
      <w:r w:rsidR="00540825">
        <w:rPr>
          <w:rFonts w:cs="Times New Roman"/>
        </w:rPr>
        <w:t xml:space="preserve"> See </w:t>
      </w:r>
      <w:r w:rsidR="00540825" w:rsidRPr="00C81E7C">
        <w:rPr>
          <w:rFonts w:cs="Times New Roman"/>
          <w:szCs w:val="24"/>
        </w:rPr>
        <w:t>A VI 4</w:t>
      </w:r>
      <w:r w:rsidR="00540825">
        <w:rPr>
          <w:rFonts w:cs="Times New Roman"/>
          <w:szCs w:val="24"/>
        </w:rPr>
        <w:t>:</w:t>
      </w:r>
      <w:r w:rsidR="00540825" w:rsidRPr="00C81E7C">
        <w:rPr>
          <w:rFonts w:cs="Times New Roman"/>
          <w:szCs w:val="24"/>
        </w:rPr>
        <w:t xml:space="preserve"> 1586/PPL 327</w:t>
      </w:r>
      <w:r w:rsidR="00540825">
        <w:rPr>
          <w:rFonts w:cs="Times New Roman"/>
          <w:szCs w:val="24"/>
        </w:rPr>
        <w:t xml:space="preserve">. </w:t>
      </w:r>
      <w:r w:rsidR="00540825">
        <w:rPr>
          <w:rFonts w:cs="Times New Roman"/>
        </w:rPr>
        <w:t xml:space="preserve">Malebranche (1993: </w:t>
      </w:r>
      <w:r w:rsidRPr="000C1622">
        <w:rPr>
          <w:rFonts w:cs="Times New Roman"/>
        </w:rPr>
        <w:t xml:space="preserve">163), by contrast, offered a Trinitarian account of our being made in God’s image, fusing it with some of his central philosophical doctrines; he claimed that the Father shares with us some of his power (making us occasional causes of our actions), the Son some of his wisdom (disclosing truths to us via our union with God), and the Holy Spirit a tendency to the good. </w:t>
      </w:r>
    </w:p>
  </w:footnote>
  <w:footnote w:id="55">
    <w:p w:rsidR="00540825" w:rsidRDefault="00540825">
      <w:pPr>
        <w:pStyle w:val="FootnoteText"/>
      </w:pPr>
      <w:r>
        <w:rPr>
          <w:rStyle w:val="FootnoteReference"/>
        </w:rPr>
        <w:footnoteRef/>
      </w:r>
      <w:r>
        <w:t xml:space="preserve"> </w:t>
      </w:r>
      <w:r>
        <w:rPr>
          <w:rFonts w:cs="Times New Roman"/>
          <w:szCs w:val="24"/>
        </w:rPr>
        <w:t>S</w:t>
      </w:r>
      <w:r w:rsidRPr="00ED166F">
        <w:rPr>
          <w:rFonts w:cs="Times New Roman"/>
          <w:szCs w:val="24"/>
        </w:rPr>
        <w:t>ee A VI 4</w:t>
      </w:r>
      <w:r>
        <w:rPr>
          <w:rFonts w:cs="Times New Roman"/>
          <w:szCs w:val="24"/>
        </w:rPr>
        <w:t>:</w:t>
      </w:r>
      <w:r w:rsidRPr="00ED166F">
        <w:rPr>
          <w:rFonts w:cs="Times New Roman"/>
          <w:szCs w:val="24"/>
        </w:rPr>
        <w:t xml:space="preserve"> 1507/LC 285</w:t>
      </w:r>
      <w:r>
        <w:rPr>
          <w:rFonts w:cs="Times New Roman"/>
          <w:szCs w:val="24"/>
        </w:rPr>
        <w:t>.</w:t>
      </w:r>
    </w:p>
  </w:footnote>
  <w:footnote w:id="56">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The idea of such a city of God is rooted in Scripture, for example Psalm 87.3, Psalm 48.1, and Psalm 46.4.</w:t>
      </w:r>
    </w:p>
  </w:footnote>
  <w:footnote w:id="57">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For others, see Wilson (1989</w:t>
      </w:r>
      <w:r w:rsidR="00B23A45">
        <w:rPr>
          <w:rFonts w:cs="Times New Roman"/>
        </w:rPr>
        <w:t>:</w:t>
      </w:r>
      <w:r w:rsidRPr="000C1622">
        <w:rPr>
          <w:rFonts w:cs="Times New Roman"/>
        </w:rPr>
        <w:t xml:space="preserve"> 79), who views the </w:t>
      </w:r>
      <w:r w:rsidRPr="000C1622">
        <w:rPr>
          <w:rFonts w:cs="Times New Roman"/>
          <w:i/>
        </w:rPr>
        <w:t>Discourse</w:t>
      </w:r>
      <w:r w:rsidRPr="000C1622">
        <w:rPr>
          <w:rFonts w:cs="Times New Roman"/>
        </w:rPr>
        <w:t xml:space="preserve"> as a trial balloon for Leibniz’s possible conversion to Catholicism, and Jolley (2004</w:t>
      </w:r>
      <w:r w:rsidR="00B23A45">
        <w:rPr>
          <w:rFonts w:cs="Times New Roman"/>
        </w:rPr>
        <w:t>:</w:t>
      </w:r>
      <w:r w:rsidRPr="000C1622">
        <w:rPr>
          <w:rFonts w:cs="Times New Roman"/>
        </w:rPr>
        <w:t xml:space="preserve"> 126), who argues that the </w:t>
      </w:r>
      <w:r w:rsidRPr="000C1622">
        <w:rPr>
          <w:rFonts w:cs="Times New Roman"/>
          <w:i/>
        </w:rPr>
        <w:t>Discourse</w:t>
      </w:r>
      <w:r>
        <w:rPr>
          <w:rFonts w:cs="Times New Roman"/>
        </w:rPr>
        <w:t xml:space="preserve"> is “</w:t>
      </w:r>
      <w:r w:rsidRPr="000C1622">
        <w:rPr>
          <w:rFonts w:cs="Times New Roman"/>
        </w:rPr>
        <w:t>a syste</w:t>
      </w:r>
      <w:r>
        <w:rPr>
          <w:rFonts w:cs="Times New Roman"/>
        </w:rPr>
        <w:t>matic refutation of Malebranche</w:t>
      </w:r>
      <w:r w:rsidR="00B23A45">
        <w:rPr>
          <w:rFonts w:cs="Times New Roman"/>
        </w:rPr>
        <w:t>.</w:t>
      </w:r>
      <w:r>
        <w:rPr>
          <w:rFonts w:cs="Times New Roman"/>
        </w:rPr>
        <w:t>”</w:t>
      </w:r>
    </w:p>
  </w:footnote>
  <w:footnote w:id="58">
    <w:p w:rsidR="006572EB" w:rsidRDefault="006572EB" w:rsidP="006572EB">
      <w:pPr>
        <w:pStyle w:val="FootnoteText"/>
      </w:pPr>
      <w:r>
        <w:rPr>
          <w:rStyle w:val="FootnoteReference"/>
        </w:rPr>
        <w:footnoteRef/>
      </w:r>
      <w:r>
        <w:t xml:space="preserve"> See Lestienne </w:t>
      </w:r>
      <w:r w:rsidRPr="00F12B85">
        <w:rPr>
          <w:rFonts w:cs="Times New Roman"/>
          <w:szCs w:val="24"/>
        </w:rPr>
        <w:t>(</w:t>
      </w:r>
      <w:r>
        <w:rPr>
          <w:rFonts w:cs="Times New Roman"/>
          <w:szCs w:val="24"/>
        </w:rPr>
        <w:t xml:space="preserve">1907: </w:t>
      </w:r>
      <w:r w:rsidRPr="00F12B85">
        <w:rPr>
          <w:rFonts w:cs="Times New Roman"/>
          <w:szCs w:val="24"/>
        </w:rPr>
        <w:t>10)</w:t>
      </w:r>
    </w:p>
  </w:footnote>
  <w:footnote w:id="59">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For some of the texts of this project, see </w:t>
      </w:r>
      <w:r w:rsidRPr="000C1622">
        <w:rPr>
          <w:rFonts w:cs="Times New Roman"/>
          <w:iCs/>
        </w:rPr>
        <w:t>A VI 1</w:t>
      </w:r>
      <w:r w:rsidR="00B23A45">
        <w:rPr>
          <w:rFonts w:cs="Times New Roman"/>
          <w:iCs/>
        </w:rPr>
        <w:t>:</w:t>
      </w:r>
      <w:r w:rsidRPr="000C1622">
        <w:rPr>
          <w:rFonts w:cs="Times New Roman"/>
          <w:iCs/>
        </w:rPr>
        <w:t xml:space="preserve"> 489-559; partial English translation in </w:t>
      </w:r>
      <w:r w:rsidRPr="000C1622">
        <w:rPr>
          <w:rFonts w:cs="Times New Roman"/>
        </w:rPr>
        <w:t>LGR 21-46.</w:t>
      </w:r>
    </w:p>
  </w:footnote>
  <w:footnote w:id="60">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w:t>
      </w:r>
      <w:r w:rsidR="00B23A45">
        <w:rPr>
          <w:rFonts w:cs="Times New Roman"/>
        </w:rPr>
        <w:t>F</w:t>
      </w:r>
      <w:r w:rsidR="00B23A45">
        <w:rPr>
          <w:rFonts w:cs="Times New Roman"/>
          <w:szCs w:val="24"/>
        </w:rPr>
        <w:t>or cognate suggestions, see that of Martin and Brown at Leibniz (1998: 2), and Woolhouse and F</w:t>
      </w:r>
      <w:r w:rsidR="006B3286">
        <w:rPr>
          <w:rFonts w:cs="Times New Roman"/>
          <w:szCs w:val="24"/>
        </w:rPr>
        <w:t>r</w:t>
      </w:r>
      <w:r w:rsidR="00B23A45">
        <w:rPr>
          <w:rFonts w:cs="Times New Roman"/>
          <w:szCs w:val="24"/>
        </w:rPr>
        <w:t xml:space="preserve">ancks at WFT 53. </w:t>
      </w:r>
      <w:r w:rsidRPr="000C1622">
        <w:rPr>
          <w:rFonts w:cs="Times New Roman"/>
        </w:rPr>
        <w:t>It should be noted that in reaching this view Loemker (1947</w:t>
      </w:r>
      <w:r w:rsidR="00B23A45">
        <w:rPr>
          <w:rFonts w:cs="Times New Roman"/>
        </w:rPr>
        <w:t>:</w:t>
      </w:r>
      <w:r w:rsidRPr="000C1622">
        <w:rPr>
          <w:rFonts w:cs="Times New Roman"/>
        </w:rPr>
        <w:t xml:space="preserve"> 452) supposed that the central problem of the </w:t>
      </w:r>
      <w:r w:rsidRPr="000C1622">
        <w:rPr>
          <w:rFonts w:cs="Times New Roman"/>
          <w:i/>
        </w:rPr>
        <w:t>Discourse</w:t>
      </w:r>
      <w:r w:rsidRPr="000C1622">
        <w:rPr>
          <w:rFonts w:cs="Times New Roman"/>
        </w:rPr>
        <w:t xml:space="preserve"> was that of God’s grace and human freedom, which is scarcely credible given the sheer range of topics Leibniz treats in the text (not to mention that grace is mentioned in only three of the </w:t>
      </w:r>
      <w:r w:rsidR="00FF48FA">
        <w:rPr>
          <w:rFonts w:cs="Times New Roman"/>
        </w:rPr>
        <w:t>“</w:t>
      </w:r>
      <w:r w:rsidRPr="00FF48FA">
        <w:rPr>
          <w:rFonts w:cs="Times New Roman"/>
        </w:rPr>
        <w:t>Discourse’s</w:t>
      </w:r>
      <w:r w:rsidR="00FF48FA">
        <w:rPr>
          <w:rFonts w:cs="Times New Roman"/>
        </w:rPr>
        <w:t>”</w:t>
      </w:r>
      <w:r w:rsidRPr="000C1622">
        <w:rPr>
          <w:rFonts w:cs="Times New Roman"/>
        </w:rPr>
        <w:t xml:space="preserve"> </w:t>
      </w:r>
      <w:r w:rsidR="00FF48FA">
        <w:rPr>
          <w:rFonts w:cs="Times New Roman"/>
        </w:rPr>
        <w:t>thirty-seven</w:t>
      </w:r>
      <w:r w:rsidRPr="000C1622">
        <w:rPr>
          <w:rFonts w:cs="Times New Roman"/>
        </w:rPr>
        <w:t xml:space="preserve"> sections).</w:t>
      </w:r>
    </w:p>
  </w:footnote>
  <w:footnote w:id="61">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See A II 1</w:t>
      </w:r>
      <w:r w:rsidR="00B23A45">
        <w:rPr>
          <w:rFonts w:cs="Times New Roman"/>
        </w:rPr>
        <w:t>:</w:t>
      </w:r>
      <w:r w:rsidRPr="000C1622">
        <w:rPr>
          <w:rFonts w:cs="Times New Roman"/>
        </w:rPr>
        <w:t xml:space="preserve"> 756-9/LGR 47-51.</w:t>
      </w:r>
    </w:p>
  </w:footnote>
  <w:footnote w:id="62">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For example, </w:t>
      </w:r>
      <w:r>
        <w:rPr>
          <w:rFonts w:cs="Times New Roman"/>
        </w:rPr>
        <w:t>“</w:t>
      </w:r>
      <w:r w:rsidR="00B23A45" w:rsidRPr="000C1622">
        <w:rPr>
          <w:rFonts w:eastAsia="MinionPro-Regular" w:cs="Times New Roman"/>
        </w:rPr>
        <w:t>Apolo</w:t>
      </w:r>
      <w:r w:rsidR="00B23A45">
        <w:rPr>
          <w:rFonts w:eastAsia="MinionPro-Regular" w:cs="Times New Roman"/>
        </w:rPr>
        <w:t xml:space="preserve">gy for the Catholic faith through </w:t>
      </w:r>
      <w:r w:rsidR="00B203E4">
        <w:rPr>
          <w:rFonts w:eastAsia="MinionPro-Regular" w:cs="Times New Roman"/>
        </w:rPr>
        <w:t>right</w:t>
      </w:r>
      <w:r w:rsidR="00B23A45">
        <w:rPr>
          <w:rFonts w:eastAsia="MinionPro-Regular" w:cs="Times New Roman"/>
        </w:rPr>
        <w:t xml:space="preserve"> reason</w:t>
      </w:r>
      <w:r>
        <w:rPr>
          <w:rFonts w:cs="Times New Roman"/>
        </w:rPr>
        <w:t>”</w:t>
      </w:r>
      <w:r w:rsidRPr="000C1622">
        <w:rPr>
          <w:rFonts w:cs="Times New Roman"/>
        </w:rPr>
        <w:t xml:space="preserve"> (A IV 3</w:t>
      </w:r>
      <w:r w:rsidR="00B23A45">
        <w:rPr>
          <w:rFonts w:cs="Times New Roman"/>
        </w:rPr>
        <w:t>:</w:t>
      </w:r>
      <w:r w:rsidRPr="000C1622">
        <w:rPr>
          <w:rFonts w:cs="Times New Roman"/>
        </w:rPr>
        <w:t xml:space="preserve"> 226–33); </w:t>
      </w:r>
      <w:r>
        <w:rPr>
          <w:rFonts w:cs="Times New Roman"/>
        </w:rPr>
        <w:t>“</w:t>
      </w:r>
      <w:r w:rsidRPr="000C1622">
        <w:rPr>
          <w:rFonts w:cs="Times New Roman"/>
        </w:rPr>
        <w:t>On Scripture, the Church and the Trinity</w:t>
      </w:r>
      <w:r>
        <w:rPr>
          <w:rFonts w:cs="Times New Roman"/>
        </w:rPr>
        <w:t>”</w:t>
      </w:r>
      <w:r w:rsidRPr="000C1622">
        <w:rPr>
          <w:rFonts w:cs="Times New Roman"/>
        </w:rPr>
        <w:t xml:space="preserve"> (A VI 4</w:t>
      </w:r>
      <w:r w:rsidR="00B23A45">
        <w:rPr>
          <w:rFonts w:cs="Times New Roman"/>
        </w:rPr>
        <w:t>:</w:t>
      </w:r>
      <w:r w:rsidRPr="000C1622">
        <w:rPr>
          <w:rFonts w:cs="Times New Roman"/>
        </w:rPr>
        <w:t xml:space="preserve"> 2286-91/LGR 227-32); </w:t>
      </w:r>
      <w:r>
        <w:rPr>
          <w:rFonts w:cs="Times New Roman"/>
        </w:rPr>
        <w:t>“On G</w:t>
      </w:r>
      <w:r w:rsidR="00B23A45">
        <w:rPr>
          <w:rFonts w:cs="Times New Roman"/>
        </w:rPr>
        <w:t>o</w:t>
      </w:r>
      <w:r>
        <w:rPr>
          <w:rFonts w:cs="Times New Roman"/>
        </w:rPr>
        <w:t>d and the Church”</w:t>
      </w:r>
      <w:r w:rsidRPr="000C1622">
        <w:rPr>
          <w:rFonts w:cs="Times New Roman"/>
        </w:rPr>
        <w:t xml:space="preserve"> (A VI 4, 2347–50/LGR 232-5).</w:t>
      </w:r>
    </w:p>
  </w:footnote>
  <w:footnote w:id="63">
    <w:p w:rsidR="0000004C" w:rsidRPr="000C1622" w:rsidRDefault="0000004C" w:rsidP="00BE64BB">
      <w:pPr>
        <w:autoSpaceDE w:val="0"/>
        <w:autoSpaceDN w:val="0"/>
        <w:adjustRightInd w:val="0"/>
        <w:rPr>
          <w:rFonts w:cs="Times New Roman"/>
          <w:sz w:val="20"/>
          <w:szCs w:val="20"/>
        </w:rPr>
      </w:pPr>
      <w:r w:rsidRPr="000C1622">
        <w:rPr>
          <w:rStyle w:val="FootnoteReference"/>
          <w:rFonts w:cs="Times New Roman"/>
          <w:sz w:val="20"/>
          <w:szCs w:val="20"/>
        </w:rPr>
        <w:footnoteRef/>
      </w:r>
      <w:r w:rsidRPr="000C1622">
        <w:rPr>
          <w:rFonts w:cs="Times New Roman"/>
          <w:sz w:val="20"/>
          <w:szCs w:val="20"/>
        </w:rPr>
        <w:t xml:space="preserve"> Namely, </w:t>
      </w:r>
      <w:r>
        <w:rPr>
          <w:rFonts w:cs="Times New Roman"/>
          <w:sz w:val="20"/>
          <w:szCs w:val="20"/>
        </w:rPr>
        <w:t>“</w:t>
      </w:r>
      <w:r w:rsidRPr="000C1622">
        <w:rPr>
          <w:rFonts w:eastAsia="MinionPro-Regular" w:cs="Times New Roman"/>
          <w:sz w:val="20"/>
          <w:szCs w:val="20"/>
        </w:rPr>
        <w:t xml:space="preserve">Specimen of </w:t>
      </w:r>
      <w:r w:rsidRPr="000C1622">
        <w:rPr>
          <w:rFonts w:eastAsia="MinionPro-It" w:cs="Times New Roman"/>
          <w:i/>
          <w:iCs/>
          <w:sz w:val="20"/>
          <w:szCs w:val="20"/>
        </w:rPr>
        <w:t>Catholic Demonstrations</w:t>
      </w:r>
      <w:r w:rsidRPr="000C1622">
        <w:rPr>
          <w:rFonts w:eastAsia="MinionPro-Regular" w:cs="Times New Roman"/>
          <w:sz w:val="20"/>
          <w:szCs w:val="20"/>
        </w:rPr>
        <w:t>, or, Apolo</w:t>
      </w:r>
      <w:r>
        <w:rPr>
          <w:rFonts w:eastAsia="MinionPro-Regular" w:cs="Times New Roman"/>
          <w:sz w:val="20"/>
          <w:szCs w:val="20"/>
        </w:rPr>
        <w:t>gy for the faith through reason”</w:t>
      </w:r>
      <w:r w:rsidRPr="000C1622">
        <w:rPr>
          <w:rFonts w:eastAsia="MinionPro-Regular" w:cs="Times New Roman"/>
          <w:sz w:val="20"/>
          <w:szCs w:val="20"/>
        </w:rPr>
        <w:t xml:space="preserve"> (A VI 4</w:t>
      </w:r>
      <w:r w:rsidR="00B23A45">
        <w:rPr>
          <w:rFonts w:eastAsia="MinionPro-Regular" w:cs="Times New Roman"/>
          <w:sz w:val="20"/>
          <w:szCs w:val="20"/>
        </w:rPr>
        <w:t>:</w:t>
      </w:r>
      <w:r w:rsidRPr="000C1622">
        <w:rPr>
          <w:rFonts w:eastAsia="MinionPro-Regular" w:cs="Times New Roman"/>
          <w:sz w:val="20"/>
          <w:szCs w:val="20"/>
        </w:rPr>
        <w:t xml:space="preserve"> 2323–7/LGR 103-8).</w:t>
      </w:r>
    </w:p>
  </w:footnote>
  <w:footnote w:id="64">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Leibniz would later wage a campaign against Descartes and the Cartesians in various journals; see for example Dutens II</w:t>
      </w:r>
      <w:r w:rsidR="00B23A45">
        <w:rPr>
          <w:rFonts w:cs="Times New Roman"/>
        </w:rPr>
        <w:t>:</w:t>
      </w:r>
      <w:r w:rsidRPr="000C1622">
        <w:rPr>
          <w:rFonts w:cs="Times New Roman"/>
        </w:rPr>
        <w:t xml:space="preserve"> 243-4; A I 20</w:t>
      </w:r>
      <w:r w:rsidR="00B23A45">
        <w:rPr>
          <w:rFonts w:cs="Times New Roman"/>
        </w:rPr>
        <w:t>:</w:t>
      </w:r>
      <w:r w:rsidRPr="000C1622">
        <w:rPr>
          <w:rFonts w:cs="Times New Roman"/>
        </w:rPr>
        <w:t xml:space="preserve"> 247-8/LGR 66-9.</w:t>
      </w:r>
    </w:p>
  </w:footnote>
  <w:footnote w:id="65">
    <w:p w:rsidR="0000004C" w:rsidRPr="000C1622" w:rsidRDefault="0000004C" w:rsidP="00BE64BB">
      <w:pPr>
        <w:pStyle w:val="FootnoteText"/>
        <w:rPr>
          <w:rFonts w:cs="Times New Roman"/>
        </w:rPr>
      </w:pPr>
      <w:r w:rsidRPr="000C1622">
        <w:rPr>
          <w:rStyle w:val="FootnoteReference"/>
          <w:rFonts w:cs="Times New Roman"/>
        </w:rPr>
        <w:footnoteRef/>
      </w:r>
      <w:r w:rsidRPr="000C1622">
        <w:rPr>
          <w:rFonts w:cs="Times New Roman"/>
        </w:rPr>
        <w:t xml:space="preserve"> However, in a trivial sense this is true of much of what Leibniz wrote. He once claimed that even his work in mathematics and the sciences was motivated by the advancement of piety; see A II 1</w:t>
      </w:r>
      <w:r w:rsidR="00B23A45">
        <w:rPr>
          <w:rFonts w:cs="Times New Roman"/>
        </w:rPr>
        <w:t>:</w:t>
      </w:r>
      <w:r w:rsidRPr="000C1622">
        <w:rPr>
          <w:rFonts w:cs="Times New Roman"/>
        </w:rPr>
        <w:t xml:space="preserve"> 758/LGR 49.</w:t>
      </w:r>
    </w:p>
  </w:footnote>
  <w:footnote w:id="66">
    <w:p w:rsidR="007327D2" w:rsidRDefault="007327D2" w:rsidP="00BE64BB">
      <w:pPr>
        <w:pStyle w:val="FootnoteText"/>
      </w:pPr>
      <w:r>
        <w:rPr>
          <w:rStyle w:val="FootnoteReference"/>
        </w:rPr>
        <w:footnoteRef/>
      </w:r>
      <w:r>
        <w:t xml:space="preserve"> I would like to thank Daniel J. Cook</w:t>
      </w:r>
      <w:r w:rsidR="00EE1C83">
        <w:t>,</w:t>
      </w:r>
      <w:r>
        <w:t xml:space="preserve"> Paul Lodge </w:t>
      </w:r>
      <w:r w:rsidR="00EE1C83">
        <w:t xml:space="preserve">and Julia Weckend </w:t>
      </w:r>
      <w:r>
        <w:t xml:space="preserve">for their helpful comments on an earlier draft of this </w:t>
      </w:r>
      <w:r w:rsidR="00B23A45">
        <w:t>chapter</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4AB"/>
    <w:multiLevelType w:val="hybridMultilevel"/>
    <w:tmpl w:val="97B6C2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CF300F"/>
    <w:multiLevelType w:val="hybridMultilevel"/>
    <w:tmpl w:val="FB3E1C38"/>
    <w:lvl w:ilvl="0" w:tplc="A97815EC">
      <w:start w:val="1"/>
      <w:numFmt w:val="decimal"/>
      <w:lvlText w:val="(%1)"/>
      <w:lvlJc w:val="left"/>
      <w:pPr>
        <w:ind w:left="1080" w:hanging="360"/>
      </w:pPr>
      <w:rPr>
        <w:rFonts w:ascii="Times New Roman" w:hAnsi="Times New Roman" w:cs="AdvOT9a61103f+f6"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945A2"/>
    <w:rsid w:val="0000004C"/>
    <w:rsid w:val="00001C2F"/>
    <w:rsid w:val="0000257E"/>
    <w:rsid w:val="00003C65"/>
    <w:rsid w:val="0000629A"/>
    <w:rsid w:val="0001623B"/>
    <w:rsid w:val="00016AA0"/>
    <w:rsid w:val="000265FE"/>
    <w:rsid w:val="00032A33"/>
    <w:rsid w:val="000358F4"/>
    <w:rsid w:val="000409A6"/>
    <w:rsid w:val="000420AF"/>
    <w:rsid w:val="00047121"/>
    <w:rsid w:val="00050769"/>
    <w:rsid w:val="00061729"/>
    <w:rsid w:val="00072988"/>
    <w:rsid w:val="00072BF0"/>
    <w:rsid w:val="00072D51"/>
    <w:rsid w:val="00076CF8"/>
    <w:rsid w:val="00082B9A"/>
    <w:rsid w:val="00086250"/>
    <w:rsid w:val="00086EC8"/>
    <w:rsid w:val="00092E0D"/>
    <w:rsid w:val="000943B5"/>
    <w:rsid w:val="000958EC"/>
    <w:rsid w:val="000A3062"/>
    <w:rsid w:val="000A561E"/>
    <w:rsid w:val="000A6E5B"/>
    <w:rsid w:val="000A7942"/>
    <w:rsid w:val="000B1170"/>
    <w:rsid w:val="000B2235"/>
    <w:rsid w:val="000B57ED"/>
    <w:rsid w:val="000B7122"/>
    <w:rsid w:val="000C042E"/>
    <w:rsid w:val="000C1622"/>
    <w:rsid w:val="000C20A8"/>
    <w:rsid w:val="000C2E51"/>
    <w:rsid w:val="000C349C"/>
    <w:rsid w:val="000C4164"/>
    <w:rsid w:val="000C5873"/>
    <w:rsid w:val="000D2F60"/>
    <w:rsid w:val="000D59F2"/>
    <w:rsid w:val="000E1294"/>
    <w:rsid w:val="000F0AE7"/>
    <w:rsid w:val="000F6899"/>
    <w:rsid w:val="001160C9"/>
    <w:rsid w:val="0011674D"/>
    <w:rsid w:val="001175E8"/>
    <w:rsid w:val="001238D8"/>
    <w:rsid w:val="001265A7"/>
    <w:rsid w:val="001277E7"/>
    <w:rsid w:val="00131623"/>
    <w:rsid w:val="001317D1"/>
    <w:rsid w:val="00135763"/>
    <w:rsid w:val="00136683"/>
    <w:rsid w:val="001372B9"/>
    <w:rsid w:val="00146F00"/>
    <w:rsid w:val="00150474"/>
    <w:rsid w:val="0015299D"/>
    <w:rsid w:val="00153D6C"/>
    <w:rsid w:val="00164340"/>
    <w:rsid w:val="0016738F"/>
    <w:rsid w:val="00167AF4"/>
    <w:rsid w:val="001746CF"/>
    <w:rsid w:val="001763B3"/>
    <w:rsid w:val="00176D61"/>
    <w:rsid w:val="001811DD"/>
    <w:rsid w:val="00181F97"/>
    <w:rsid w:val="00183442"/>
    <w:rsid w:val="0018790C"/>
    <w:rsid w:val="0019214B"/>
    <w:rsid w:val="001A7DC1"/>
    <w:rsid w:val="001B06E0"/>
    <w:rsid w:val="001B1BCF"/>
    <w:rsid w:val="001B37C5"/>
    <w:rsid w:val="001B3C21"/>
    <w:rsid w:val="001B5631"/>
    <w:rsid w:val="001B67B1"/>
    <w:rsid w:val="001B78D1"/>
    <w:rsid w:val="001C3C48"/>
    <w:rsid w:val="001C46B9"/>
    <w:rsid w:val="001C6530"/>
    <w:rsid w:val="001C7A72"/>
    <w:rsid w:val="001D2134"/>
    <w:rsid w:val="001D23B0"/>
    <w:rsid w:val="001D438E"/>
    <w:rsid w:val="001D4444"/>
    <w:rsid w:val="001E1499"/>
    <w:rsid w:val="001E22D7"/>
    <w:rsid w:val="001E2974"/>
    <w:rsid w:val="001E36AF"/>
    <w:rsid w:val="001E44C4"/>
    <w:rsid w:val="001E6C08"/>
    <w:rsid w:val="001E7677"/>
    <w:rsid w:val="001F0EA9"/>
    <w:rsid w:val="001F5CA5"/>
    <w:rsid w:val="00207A79"/>
    <w:rsid w:val="00210519"/>
    <w:rsid w:val="00210F4F"/>
    <w:rsid w:val="00216432"/>
    <w:rsid w:val="0021720A"/>
    <w:rsid w:val="00220B74"/>
    <w:rsid w:val="00231836"/>
    <w:rsid w:val="00232048"/>
    <w:rsid w:val="0023259D"/>
    <w:rsid w:val="0023452D"/>
    <w:rsid w:val="0023719E"/>
    <w:rsid w:val="0023747F"/>
    <w:rsid w:val="00237E1B"/>
    <w:rsid w:val="0024224B"/>
    <w:rsid w:val="002449AC"/>
    <w:rsid w:val="00246FDB"/>
    <w:rsid w:val="00247E48"/>
    <w:rsid w:val="002500CA"/>
    <w:rsid w:val="00257B5F"/>
    <w:rsid w:val="00261EC4"/>
    <w:rsid w:val="00263491"/>
    <w:rsid w:val="00263B7C"/>
    <w:rsid w:val="00266C5B"/>
    <w:rsid w:val="00267809"/>
    <w:rsid w:val="002747A9"/>
    <w:rsid w:val="0027489F"/>
    <w:rsid w:val="00275F44"/>
    <w:rsid w:val="002835CB"/>
    <w:rsid w:val="00283840"/>
    <w:rsid w:val="00287E50"/>
    <w:rsid w:val="00295673"/>
    <w:rsid w:val="00297786"/>
    <w:rsid w:val="002A06D7"/>
    <w:rsid w:val="002A1CD7"/>
    <w:rsid w:val="002A4ABD"/>
    <w:rsid w:val="002B03D1"/>
    <w:rsid w:val="002B28BE"/>
    <w:rsid w:val="002B4425"/>
    <w:rsid w:val="002B5378"/>
    <w:rsid w:val="002B5400"/>
    <w:rsid w:val="002B71D3"/>
    <w:rsid w:val="002C2AEB"/>
    <w:rsid w:val="002C6821"/>
    <w:rsid w:val="002D2442"/>
    <w:rsid w:val="002D3D72"/>
    <w:rsid w:val="002E58D9"/>
    <w:rsid w:val="002E595E"/>
    <w:rsid w:val="003027C6"/>
    <w:rsid w:val="00306EEE"/>
    <w:rsid w:val="00311F84"/>
    <w:rsid w:val="00314D2B"/>
    <w:rsid w:val="00323046"/>
    <w:rsid w:val="003235C8"/>
    <w:rsid w:val="0033012D"/>
    <w:rsid w:val="003329DA"/>
    <w:rsid w:val="00333385"/>
    <w:rsid w:val="0033505E"/>
    <w:rsid w:val="003462A2"/>
    <w:rsid w:val="00346BDA"/>
    <w:rsid w:val="003543E5"/>
    <w:rsid w:val="0035632B"/>
    <w:rsid w:val="00360ECB"/>
    <w:rsid w:val="003664A0"/>
    <w:rsid w:val="00367E23"/>
    <w:rsid w:val="00373A28"/>
    <w:rsid w:val="003750EB"/>
    <w:rsid w:val="003826E4"/>
    <w:rsid w:val="00383AA5"/>
    <w:rsid w:val="00384689"/>
    <w:rsid w:val="00384D67"/>
    <w:rsid w:val="003908BD"/>
    <w:rsid w:val="003911CE"/>
    <w:rsid w:val="00396F5D"/>
    <w:rsid w:val="003A4954"/>
    <w:rsid w:val="003A75CF"/>
    <w:rsid w:val="003A7DFD"/>
    <w:rsid w:val="003B3F27"/>
    <w:rsid w:val="003B5A1F"/>
    <w:rsid w:val="003C00B4"/>
    <w:rsid w:val="003C3E57"/>
    <w:rsid w:val="003C639A"/>
    <w:rsid w:val="003C6E16"/>
    <w:rsid w:val="003D1C05"/>
    <w:rsid w:val="003D4E71"/>
    <w:rsid w:val="003E1295"/>
    <w:rsid w:val="003E2C38"/>
    <w:rsid w:val="003E5D40"/>
    <w:rsid w:val="003F1D11"/>
    <w:rsid w:val="003F4185"/>
    <w:rsid w:val="003F61FF"/>
    <w:rsid w:val="003F7032"/>
    <w:rsid w:val="00401437"/>
    <w:rsid w:val="0040406B"/>
    <w:rsid w:val="00405544"/>
    <w:rsid w:val="0040643E"/>
    <w:rsid w:val="00410B65"/>
    <w:rsid w:val="00411A5A"/>
    <w:rsid w:val="004133B4"/>
    <w:rsid w:val="004133D6"/>
    <w:rsid w:val="004150E4"/>
    <w:rsid w:val="004168B8"/>
    <w:rsid w:val="004168D8"/>
    <w:rsid w:val="0041692A"/>
    <w:rsid w:val="00416E85"/>
    <w:rsid w:val="004253FC"/>
    <w:rsid w:val="00425617"/>
    <w:rsid w:val="004323DE"/>
    <w:rsid w:val="00433306"/>
    <w:rsid w:val="00440086"/>
    <w:rsid w:val="00440C43"/>
    <w:rsid w:val="0045001F"/>
    <w:rsid w:val="004540FE"/>
    <w:rsid w:val="004573B3"/>
    <w:rsid w:val="004676AE"/>
    <w:rsid w:val="00467923"/>
    <w:rsid w:val="00470DF2"/>
    <w:rsid w:val="00471011"/>
    <w:rsid w:val="00471C6C"/>
    <w:rsid w:val="00471F10"/>
    <w:rsid w:val="00472011"/>
    <w:rsid w:val="00472729"/>
    <w:rsid w:val="00473045"/>
    <w:rsid w:val="00475DE9"/>
    <w:rsid w:val="00483275"/>
    <w:rsid w:val="004844BE"/>
    <w:rsid w:val="00485E23"/>
    <w:rsid w:val="0048786F"/>
    <w:rsid w:val="004965EF"/>
    <w:rsid w:val="00496D17"/>
    <w:rsid w:val="004A3604"/>
    <w:rsid w:val="004A7EE6"/>
    <w:rsid w:val="004B00BC"/>
    <w:rsid w:val="004B01A7"/>
    <w:rsid w:val="004B1AF9"/>
    <w:rsid w:val="004B2AD9"/>
    <w:rsid w:val="004B7515"/>
    <w:rsid w:val="004C06C6"/>
    <w:rsid w:val="004C289D"/>
    <w:rsid w:val="004C7A70"/>
    <w:rsid w:val="004D067D"/>
    <w:rsid w:val="004D3107"/>
    <w:rsid w:val="004D54BA"/>
    <w:rsid w:val="004D77F2"/>
    <w:rsid w:val="004E033C"/>
    <w:rsid w:val="004E79BE"/>
    <w:rsid w:val="004F1FCB"/>
    <w:rsid w:val="005041F7"/>
    <w:rsid w:val="005067DB"/>
    <w:rsid w:val="00516CD7"/>
    <w:rsid w:val="005175AD"/>
    <w:rsid w:val="00530476"/>
    <w:rsid w:val="005339B3"/>
    <w:rsid w:val="00535EBB"/>
    <w:rsid w:val="00540825"/>
    <w:rsid w:val="005441E9"/>
    <w:rsid w:val="0054629A"/>
    <w:rsid w:val="005516A7"/>
    <w:rsid w:val="005523F0"/>
    <w:rsid w:val="0055455F"/>
    <w:rsid w:val="005555C7"/>
    <w:rsid w:val="005579F2"/>
    <w:rsid w:val="00557EB9"/>
    <w:rsid w:val="00561D40"/>
    <w:rsid w:val="00567746"/>
    <w:rsid w:val="00577C5B"/>
    <w:rsid w:val="00582228"/>
    <w:rsid w:val="00584A83"/>
    <w:rsid w:val="00587A21"/>
    <w:rsid w:val="00595A7F"/>
    <w:rsid w:val="00596769"/>
    <w:rsid w:val="00596962"/>
    <w:rsid w:val="00596A46"/>
    <w:rsid w:val="005A56C7"/>
    <w:rsid w:val="005B348B"/>
    <w:rsid w:val="005C0383"/>
    <w:rsid w:val="005C1D74"/>
    <w:rsid w:val="005D2861"/>
    <w:rsid w:val="005D46E8"/>
    <w:rsid w:val="005D47D2"/>
    <w:rsid w:val="005E0D29"/>
    <w:rsid w:val="005E6ED9"/>
    <w:rsid w:val="005E6F06"/>
    <w:rsid w:val="005F0A5E"/>
    <w:rsid w:val="005F1738"/>
    <w:rsid w:val="00601B3D"/>
    <w:rsid w:val="00602DDB"/>
    <w:rsid w:val="0061049C"/>
    <w:rsid w:val="00613055"/>
    <w:rsid w:val="0061355F"/>
    <w:rsid w:val="00613D6D"/>
    <w:rsid w:val="00617AF8"/>
    <w:rsid w:val="006205C1"/>
    <w:rsid w:val="00622BC7"/>
    <w:rsid w:val="00637E7D"/>
    <w:rsid w:val="00640825"/>
    <w:rsid w:val="006444EA"/>
    <w:rsid w:val="00656203"/>
    <w:rsid w:val="006572EB"/>
    <w:rsid w:val="00661A5E"/>
    <w:rsid w:val="0066528A"/>
    <w:rsid w:val="006670D9"/>
    <w:rsid w:val="00667473"/>
    <w:rsid w:val="0067380F"/>
    <w:rsid w:val="00674320"/>
    <w:rsid w:val="00682BA0"/>
    <w:rsid w:val="00683DC9"/>
    <w:rsid w:val="00685B94"/>
    <w:rsid w:val="00686F6B"/>
    <w:rsid w:val="0068743C"/>
    <w:rsid w:val="006909BD"/>
    <w:rsid w:val="00690ECB"/>
    <w:rsid w:val="006A07A7"/>
    <w:rsid w:val="006A2338"/>
    <w:rsid w:val="006A3ED3"/>
    <w:rsid w:val="006A5D88"/>
    <w:rsid w:val="006B3286"/>
    <w:rsid w:val="006C09CF"/>
    <w:rsid w:val="006C0F6C"/>
    <w:rsid w:val="006C256A"/>
    <w:rsid w:val="006C554A"/>
    <w:rsid w:val="006C5BF1"/>
    <w:rsid w:val="006C65C1"/>
    <w:rsid w:val="006D0933"/>
    <w:rsid w:val="006D7E0E"/>
    <w:rsid w:val="006E0689"/>
    <w:rsid w:val="006E18B0"/>
    <w:rsid w:val="006E3374"/>
    <w:rsid w:val="006E3468"/>
    <w:rsid w:val="006E3890"/>
    <w:rsid w:val="006E3B89"/>
    <w:rsid w:val="006E4D53"/>
    <w:rsid w:val="006F3AEF"/>
    <w:rsid w:val="006F700C"/>
    <w:rsid w:val="007003C8"/>
    <w:rsid w:val="007016BD"/>
    <w:rsid w:val="00704619"/>
    <w:rsid w:val="007129EB"/>
    <w:rsid w:val="00712C67"/>
    <w:rsid w:val="00713C81"/>
    <w:rsid w:val="007145F7"/>
    <w:rsid w:val="00720B72"/>
    <w:rsid w:val="0072210B"/>
    <w:rsid w:val="00725A43"/>
    <w:rsid w:val="0072778E"/>
    <w:rsid w:val="0073213D"/>
    <w:rsid w:val="007327D2"/>
    <w:rsid w:val="00737763"/>
    <w:rsid w:val="00741521"/>
    <w:rsid w:val="00744746"/>
    <w:rsid w:val="00744DFB"/>
    <w:rsid w:val="00744E18"/>
    <w:rsid w:val="00745070"/>
    <w:rsid w:val="007466B8"/>
    <w:rsid w:val="00752DDE"/>
    <w:rsid w:val="007538B5"/>
    <w:rsid w:val="00754430"/>
    <w:rsid w:val="007572D9"/>
    <w:rsid w:val="00757554"/>
    <w:rsid w:val="007618DB"/>
    <w:rsid w:val="007630C2"/>
    <w:rsid w:val="007644FB"/>
    <w:rsid w:val="007667EE"/>
    <w:rsid w:val="00766BB4"/>
    <w:rsid w:val="00773263"/>
    <w:rsid w:val="00773517"/>
    <w:rsid w:val="00774552"/>
    <w:rsid w:val="00775C25"/>
    <w:rsid w:val="007772FB"/>
    <w:rsid w:val="00777C41"/>
    <w:rsid w:val="007812EF"/>
    <w:rsid w:val="00781F4A"/>
    <w:rsid w:val="0078276E"/>
    <w:rsid w:val="007828C5"/>
    <w:rsid w:val="00782F7A"/>
    <w:rsid w:val="0078539B"/>
    <w:rsid w:val="00786B7F"/>
    <w:rsid w:val="00787C7A"/>
    <w:rsid w:val="007927D2"/>
    <w:rsid w:val="007A0495"/>
    <w:rsid w:val="007B0FC8"/>
    <w:rsid w:val="007B77F0"/>
    <w:rsid w:val="007C3FF9"/>
    <w:rsid w:val="007C4071"/>
    <w:rsid w:val="007C6DE6"/>
    <w:rsid w:val="007C7904"/>
    <w:rsid w:val="007D1E67"/>
    <w:rsid w:val="007D24D3"/>
    <w:rsid w:val="007E3FD8"/>
    <w:rsid w:val="007F3B05"/>
    <w:rsid w:val="007F4905"/>
    <w:rsid w:val="007F59AD"/>
    <w:rsid w:val="00801582"/>
    <w:rsid w:val="00802218"/>
    <w:rsid w:val="0080496D"/>
    <w:rsid w:val="00806310"/>
    <w:rsid w:val="008064AC"/>
    <w:rsid w:val="008147EA"/>
    <w:rsid w:val="00815CFC"/>
    <w:rsid w:val="00815D2E"/>
    <w:rsid w:val="00824345"/>
    <w:rsid w:val="008252DA"/>
    <w:rsid w:val="00825BC5"/>
    <w:rsid w:val="0083145C"/>
    <w:rsid w:val="0083445E"/>
    <w:rsid w:val="00837ECD"/>
    <w:rsid w:val="008474E0"/>
    <w:rsid w:val="008474E3"/>
    <w:rsid w:val="008620C8"/>
    <w:rsid w:val="008631C8"/>
    <w:rsid w:val="008634F7"/>
    <w:rsid w:val="0086401B"/>
    <w:rsid w:val="008643F7"/>
    <w:rsid w:val="00865FE8"/>
    <w:rsid w:val="0087379C"/>
    <w:rsid w:val="00880162"/>
    <w:rsid w:val="00882AD8"/>
    <w:rsid w:val="008845CF"/>
    <w:rsid w:val="0088497F"/>
    <w:rsid w:val="00885E20"/>
    <w:rsid w:val="00885E54"/>
    <w:rsid w:val="0088631A"/>
    <w:rsid w:val="00892248"/>
    <w:rsid w:val="008A09AB"/>
    <w:rsid w:val="008A4D33"/>
    <w:rsid w:val="008B20D1"/>
    <w:rsid w:val="008B537C"/>
    <w:rsid w:val="008B6460"/>
    <w:rsid w:val="008B6FA8"/>
    <w:rsid w:val="008C17C8"/>
    <w:rsid w:val="008C1B51"/>
    <w:rsid w:val="008C467D"/>
    <w:rsid w:val="008C6F27"/>
    <w:rsid w:val="008D5470"/>
    <w:rsid w:val="008D705B"/>
    <w:rsid w:val="008E045D"/>
    <w:rsid w:val="008E15AF"/>
    <w:rsid w:val="008E1CAD"/>
    <w:rsid w:val="008E44D7"/>
    <w:rsid w:val="008E71DA"/>
    <w:rsid w:val="008E7DE5"/>
    <w:rsid w:val="008F13E9"/>
    <w:rsid w:val="008F2AA8"/>
    <w:rsid w:val="008F48A3"/>
    <w:rsid w:val="008F51E9"/>
    <w:rsid w:val="008F5239"/>
    <w:rsid w:val="009004BE"/>
    <w:rsid w:val="009010CA"/>
    <w:rsid w:val="009036BB"/>
    <w:rsid w:val="0090738F"/>
    <w:rsid w:val="00910EEE"/>
    <w:rsid w:val="00920454"/>
    <w:rsid w:val="00921B21"/>
    <w:rsid w:val="009256C1"/>
    <w:rsid w:val="00925974"/>
    <w:rsid w:val="00930FC3"/>
    <w:rsid w:val="009312B9"/>
    <w:rsid w:val="009332F5"/>
    <w:rsid w:val="0093379F"/>
    <w:rsid w:val="00936523"/>
    <w:rsid w:val="0094409C"/>
    <w:rsid w:val="009445C5"/>
    <w:rsid w:val="009557EB"/>
    <w:rsid w:val="009621A0"/>
    <w:rsid w:val="00970A13"/>
    <w:rsid w:val="00981E6F"/>
    <w:rsid w:val="00985637"/>
    <w:rsid w:val="00985994"/>
    <w:rsid w:val="00987ED1"/>
    <w:rsid w:val="009902CB"/>
    <w:rsid w:val="00991236"/>
    <w:rsid w:val="00992850"/>
    <w:rsid w:val="00993F41"/>
    <w:rsid w:val="009A0521"/>
    <w:rsid w:val="009A1A95"/>
    <w:rsid w:val="009A3305"/>
    <w:rsid w:val="009B2FEB"/>
    <w:rsid w:val="009B318C"/>
    <w:rsid w:val="009B3D9C"/>
    <w:rsid w:val="009C23DA"/>
    <w:rsid w:val="009C3C50"/>
    <w:rsid w:val="009C7390"/>
    <w:rsid w:val="009D2E85"/>
    <w:rsid w:val="009D5FAD"/>
    <w:rsid w:val="009E0930"/>
    <w:rsid w:val="009E1EDF"/>
    <w:rsid w:val="009E306D"/>
    <w:rsid w:val="009E39E0"/>
    <w:rsid w:val="009F44C3"/>
    <w:rsid w:val="00A00D3D"/>
    <w:rsid w:val="00A0177C"/>
    <w:rsid w:val="00A13C9D"/>
    <w:rsid w:val="00A15382"/>
    <w:rsid w:val="00A22D0A"/>
    <w:rsid w:val="00A236B7"/>
    <w:rsid w:val="00A2467B"/>
    <w:rsid w:val="00A24A8B"/>
    <w:rsid w:val="00A2526F"/>
    <w:rsid w:val="00A273DC"/>
    <w:rsid w:val="00A276DD"/>
    <w:rsid w:val="00A31919"/>
    <w:rsid w:val="00A32120"/>
    <w:rsid w:val="00A32977"/>
    <w:rsid w:val="00A34EF1"/>
    <w:rsid w:val="00A36718"/>
    <w:rsid w:val="00A46E78"/>
    <w:rsid w:val="00A531D4"/>
    <w:rsid w:val="00A53F3C"/>
    <w:rsid w:val="00A626CA"/>
    <w:rsid w:val="00A629B9"/>
    <w:rsid w:val="00A63B3E"/>
    <w:rsid w:val="00A7063F"/>
    <w:rsid w:val="00A748FB"/>
    <w:rsid w:val="00A75506"/>
    <w:rsid w:val="00A75525"/>
    <w:rsid w:val="00A7759E"/>
    <w:rsid w:val="00A77812"/>
    <w:rsid w:val="00A80D6A"/>
    <w:rsid w:val="00A813BB"/>
    <w:rsid w:val="00A841EB"/>
    <w:rsid w:val="00A9032B"/>
    <w:rsid w:val="00A93826"/>
    <w:rsid w:val="00A94586"/>
    <w:rsid w:val="00A949D5"/>
    <w:rsid w:val="00A957E4"/>
    <w:rsid w:val="00A970DE"/>
    <w:rsid w:val="00AA1CF3"/>
    <w:rsid w:val="00AA46C7"/>
    <w:rsid w:val="00AA4976"/>
    <w:rsid w:val="00AA7DD7"/>
    <w:rsid w:val="00AB0504"/>
    <w:rsid w:val="00AB0AD3"/>
    <w:rsid w:val="00AB4352"/>
    <w:rsid w:val="00AB65CE"/>
    <w:rsid w:val="00AC6A3B"/>
    <w:rsid w:val="00AC7FD6"/>
    <w:rsid w:val="00AD164E"/>
    <w:rsid w:val="00AD16C3"/>
    <w:rsid w:val="00AD56AF"/>
    <w:rsid w:val="00AD6B61"/>
    <w:rsid w:val="00AD74F7"/>
    <w:rsid w:val="00AD777D"/>
    <w:rsid w:val="00AE23D5"/>
    <w:rsid w:val="00AE40B2"/>
    <w:rsid w:val="00AE4A40"/>
    <w:rsid w:val="00AE7F4C"/>
    <w:rsid w:val="00AF15B8"/>
    <w:rsid w:val="00AF1D4F"/>
    <w:rsid w:val="00AF5472"/>
    <w:rsid w:val="00B0326C"/>
    <w:rsid w:val="00B07C26"/>
    <w:rsid w:val="00B12B6A"/>
    <w:rsid w:val="00B167EB"/>
    <w:rsid w:val="00B17D6B"/>
    <w:rsid w:val="00B203E4"/>
    <w:rsid w:val="00B21373"/>
    <w:rsid w:val="00B23A45"/>
    <w:rsid w:val="00B26555"/>
    <w:rsid w:val="00B26AF4"/>
    <w:rsid w:val="00B2778D"/>
    <w:rsid w:val="00B30431"/>
    <w:rsid w:val="00B30A40"/>
    <w:rsid w:val="00B42F90"/>
    <w:rsid w:val="00B439DB"/>
    <w:rsid w:val="00B43A1D"/>
    <w:rsid w:val="00B45819"/>
    <w:rsid w:val="00B50B22"/>
    <w:rsid w:val="00B61973"/>
    <w:rsid w:val="00B63533"/>
    <w:rsid w:val="00B72D27"/>
    <w:rsid w:val="00B74619"/>
    <w:rsid w:val="00B75E22"/>
    <w:rsid w:val="00B764F1"/>
    <w:rsid w:val="00B768E2"/>
    <w:rsid w:val="00B77994"/>
    <w:rsid w:val="00B82514"/>
    <w:rsid w:val="00B83BCB"/>
    <w:rsid w:val="00B84170"/>
    <w:rsid w:val="00B92D9F"/>
    <w:rsid w:val="00B96EA1"/>
    <w:rsid w:val="00BA2013"/>
    <w:rsid w:val="00BA35CB"/>
    <w:rsid w:val="00BB5B36"/>
    <w:rsid w:val="00BB709A"/>
    <w:rsid w:val="00BC15D1"/>
    <w:rsid w:val="00BC33EC"/>
    <w:rsid w:val="00BC4130"/>
    <w:rsid w:val="00BC4977"/>
    <w:rsid w:val="00BC6CB7"/>
    <w:rsid w:val="00BC76E4"/>
    <w:rsid w:val="00BD304B"/>
    <w:rsid w:val="00BD38C2"/>
    <w:rsid w:val="00BE0096"/>
    <w:rsid w:val="00BE0723"/>
    <w:rsid w:val="00BE0C87"/>
    <w:rsid w:val="00BE64BB"/>
    <w:rsid w:val="00BF4661"/>
    <w:rsid w:val="00C0044A"/>
    <w:rsid w:val="00C0116A"/>
    <w:rsid w:val="00C027B3"/>
    <w:rsid w:val="00C05B85"/>
    <w:rsid w:val="00C068D9"/>
    <w:rsid w:val="00C12C25"/>
    <w:rsid w:val="00C134FD"/>
    <w:rsid w:val="00C136F8"/>
    <w:rsid w:val="00C162F5"/>
    <w:rsid w:val="00C21B5F"/>
    <w:rsid w:val="00C247C9"/>
    <w:rsid w:val="00C24F09"/>
    <w:rsid w:val="00C27BB1"/>
    <w:rsid w:val="00C323C0"/>
    <w:rsid w:val="00C32DA7"/>
    <w:rsid w:val="00C343AD"/>
    <w:rsid w:val="00C41C38"/>
    <w:rsid w:val="00C425E6"/>
    <w:rsid w:val="00C42866"/>
    <w:rsid w:val="00C42B51"/>
    <w:rsid w:val="00C42E85"/>
    <w:rsid w:val="00C50253"/>
    <w:rsid w:val="00C54F03"/>
    <w:rsid w:val="00C61481"/>
    <w:rsid w:val="00C63B6A"/>
    <w:rsid w:val="00C709BD"/>
    <w:rsid w:val="00C70C8B"/>
    <w:rsid w:val="00C72044"/>
    <w:rsid w:val="00C72A4F"/>
    <w:rsid w:val="00C77741"/>
    <w:rsid w:val="00C80CF4"/>
    <w:rsid w:val="00C80D35"/>
    <w:rsid w:val="00C81E7C"/>
    <w:rsid w:val="00C91EE4"/>
    <w:rsid w:val="00C96B0A"/>
    <w:rsid w:val="00CA7280"/>
    <w:rsid w:val="00CB17CE"/>
    <w:rsid w:val="00CB4A98"/>
    <w:rsid w:val="00CB6F51"/>
    <w:rsid w:val="00CC0E9A"/>
    <w:rsid w:val="00CC1ADB"/>
    <w:rsid w:val="00CC1F33"/>
    <w:rsid w:val="00CC2E8D"/>
    <w:rsid w:val="00CD0EA1"/>
    <w:rsid w:val="00CD1758"/>
    <w:rsid w:val="00CD2C61"/>
    <w:rsid w:val="00CD3791"/>
    <w:rsid w:val="00CE0137"/>
    <w:rsid w:val="00CE22D0"/>
    <w:rsid w:val="00CE6AA5"/>
    <w:rsid w:val="00CF35A2"/>
    <w:rsid w:val="00CF54C4"/>
    <w:rsid w:val="00CF7292"/>
    <w:rsid w:val="00CF788C"/>
    <w:rsid w:val="00D03765"/>
    <w:rsid w:val="00D06D8F"/>
    <w:rsid w:val="00D104DA"/>
    <w:rsid w:val="00D12BD5"/>
    <w:rsid w:val="00D137FA"/>
    <w:rsid w:val="00D21270"/>
    <w:rsid w:val="00D21644"/>
    <w:rsid w:val="00D264DF"/>
    <w:rsid w:val="00D352A3"/>
    <w:rsid w:val="00D35938"/>
    <w:rsid w:val="00D47A1E"/>
    <w:rsid w:val="00D47BE3"/>
    <w:rsid w:val="00D5093C"/>
    <w:rsid w:val="00D5265C"/>
    <w:rsid w:val="00D55C76"/>
    <w:rsid w:val="00D55E2A"/>
    <w:rsid w:val="00D5744A"/>
    <w:rsid w:val="00D63BC4"/>
    <w:rsid w:val="00D6609B"/>
    <w:rsid w:val="00D66352"/>
    <w:rsid w:val="00D71934"/>
    <w:rsid w:val="00D736E4"/>
    <w:rsid w:val="00D73D58"/>
    <w:rsid w:val="00D811E9"/>
    <w:rsid w:val="00D93E1B"/>
    <w:rsid w:val="00D97B47"/>
    <w:rsid w:val="00DA2483"/>
    <w:rsid w:val="00DA3BD6"/>
    <w:rsid w:val="00DB0355"/>
    <w:rsid w:val="00DB104C"/>
    <w:rsid w:val="00DB25B0"/>
    <w:rsid w:val="00DB73A9"/>
    <w:rsid w:val="00DB76E7"/>
    <w:rsid w:val="00DC23AD"/>
    <w:rsid w:val="00DC2ECD"/>
    <w:rsid w:val="00DD16CB"/>
    <w:rsid w:val="00DD2A85"/>
    <w:rsid w:val="00DD4847"/>
    <w:rsid w:val="00DE13FE"/>
    <w:rsid w:val="00DE1529"/>
    <w:rsid w:val="00DE2E93"/>
    <w:rsid w:val="00DE4643"/>
    <w:rsid w:val="00DF1263"/>
    <w:rsid w:val="00DF42DD"/>
    <w:rsid w:val="00DF6A84"/>
    <w:rsid w:val="00E05C75"/>
    <w:rsid w:val="00E06943"/>
    <w:rsid w:val="00E07B3D"/>
    <w:rsid w:val="00E1620C"/>
    <w:rsid w:val="00E1632E"/>
    <w:rsid w:val="00E22E35"/>
    <w:rsid w:val="00E24614"/>
    <w:rsid w:val="00E27049"/>
    <w:rsid w:val="00E30889"/>
    <w:rsid w:val="00E315F8"/>
    <w:rsid w:val="00E35B51"/>
    <w:rsid w:val="00E366EC"/>
    <w:rsid w:val="00E400C3"/>
    <w:rsid w:val="00E44E6A"/>
    <w:rsid w:val="00E52D00"/>
    <w:rsid w:val="00E53D06"/>
    <w:rsid w:val="00E55B01"/>
    <w:rsid w:val="00E56B03"/>
    <w:rsid w:val="00E638A9"/>
    <w:rsid w:val="00E63AC4"/>
    <w:rsid w:val="00E661B3"/>
    <w:rsid w:val="00E732FB"/>
    <w:rsid w:val="00E76C8E"/>
    <w:rsid w:val="00E77C01"/>
    <w:rsid w:val="00E816E1"/>
    <w:rsid w:val="00E84FC5"/>
    <w:rsid w:val="00E90085"/>
    <w:rsid w:val="00E92868"/>
    <w:rsid w:val="00E95B80"/>
    <w:rsid w:val="00E95EDB"/>
    <w:rsid w:val="00E960DE"/>
    <w:rsid w:val="00EA1108"/>
    <w:rsid w:val="00EA390E"/>
    <w:rsid w:val="00EB0685"/>
    <w:rsid w:val="00EB38C9"/>
    <w:rsid w:val="00EC0117"/>
    <w:rsid w:val="00EC1ADB"/>
    <w:rsid w:val="00EC1D5A"/>
    <w:rsid w:val="00ED166F"/>
    <w:rsid w:val="00ED468C"/>
    <w:rsid w:val="00ED4BF8"/>
    <w:rsid w:val="00ED52BC"/>
    <w:rsid w:val="00ED56A8"/>
    <w:rsid w:val="00EE17CF"/>
    <w:rsid w:val="00EE1C83"/>
    <w:rsid w:val="00EE41E4"/>
    <w:rsid w:val="00EE5918"/>
    <w:rsid w:val="00EE6D70"/>
    <w:rsid w:val="00EF102A"/>
    <w:rsid w:val="00EF2D3D"/>
    <w:rsid w:val="00EF3163"/>
    <w:rsid w:val="00EF7074"/>
    <w:rsid w:val="00EF7E35"/>
    <w:rsid w:val="00F016D7"/>
    <w:rsid w:val="00F01906"/>
    <w:rsid w:val="00F05B1B"/>
    <w:rsid w:val="00F05C30"/>
    <w:rsid w:val="00F07078"/>
    <w:rsid w:val="00F12B85"/>
    <w:rsid w:val="00F14844"/>
    <w:rsid w:val="00F15709"/>
    <w:rsid w:val="00F17681"/>
    <w:rsid w:val="00F17BAD"/>
    <w:rsid w:val="00F22EEE"/>
    <w:rsid w:val="00F27109"/>
    <w:rsid w:val="00F37D5C"/>
    <w:rsid w:val="00F53FB8"/>
    <w:rsid w:val="00F55229"/>
    <w:rsid w:val="00F84EA0"/>
    <w:rsid w:val="00F86E8D"/>
    <w:rsid w:val="00F945A2"/>
    <w:rsid w:val="00F959DF"/>
    <w:rsid w:val="00F97836"/>
    <w:rsid w:val="00FA2762"/>
    <w:rsid w:val="00FB04C2"/>
    <w:rsid w:val="00FB27BB"/>
    <w:rsid w:val="00FB34A9"/>
    <w:rsid w:val="00FC0701"/>
    <w:rsid w:val="00FC31F3"/>
    <w:rsid w:val="00FD0F1F"/>
    <w:rsid w:val="00FD330A"/>
    <w:rsid w:val="00FD4C72"/>
    <w:rsid w:val="00FE659B"/>
    <w:rsid w:val="00FE7A25"/>
    <w:rsid w:val="00FF2762"/>
    <w:rsid w:val="00FF48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A2483"/>
    <w:rPr>
      <w:sz w:val="20"/>
      <w:szCs w:val="20"/>
    </w:rPr>
  </w:style>
  <w:style w:type="character" w:customStyle="1" w:styleId="FootnoteTextChar">
    <w:name w:val="Footnote Text Char"/>
    <w:basedOn w:val="DefaultParagraphFont"/>
    <w:link w:val="FootnoteText"/>
    <w:uiPriority w:val="99"/>
    <w:rsid w:val="00DA2483"/>
    <w:rPr>
      <w:rFonts w:ascii="Times New Roman" w:hAnsi="Times New Roman"/>
      <w:sz w:val="20"/>
      <w:szCs w:val="20"/>
    </w:rPr>
  </w:style>
  <w:style w:type="character" w:styleId="FootnoteReference">
    <w:name w:val="footnote reference"/>
    <w:basedOn w:val="DefaultParagraphFont"/>
    <w:semiHidden/>
    <w:unhideWhenUsed/>
    <w:rsid w:val="00DA2483"/>
    <w:rPr>
      <w:vertAlign w:val="superscript"/>
    </w:rPr>
  </w:style>
  <w:style w:type="character" w:styleId="Hyperlink">
    <w:name w:val="Hyperlink"/>
    <w:basedOn w:val="DefaultParagraphFont"/>
    <w:uiPriority w:val="99"/>
    <w:unhideWhenUsed/>
    <w:rsid w:val="00910EEE"/>
    <w:rPr>
      <w:color w:val="0563C1" w:themeColor="hyperlink"/>
      <w:u w:val="single"/>
    </w:rPr>
  </w:style>
  <w:style w:type="paragraph" w:styleId="ListParagraph">
    <w:name w:val="List Paragraph"/>
    <w:basedOn w:val="Normal"/>
    <w:uiPriority w:val="34"/>
    <w:qFormat/>
    <w:rsid w:val="005C0383"/>
    <w:pPr>
      <w:ind w:left="720"/>
      <w:contextualSpacing/>
    </w:pPr>
  </w:style>
  <w:style w:type="paragraph" w:styleId="Header">
    <w:name w:val="header"/>
    <w:basedOn w:val="Normal"/>
    <w:link w:val="HeaderChar"/>
    <w:uiPriority w:val="99"/>
    <w:semiHidden/>
    <w:unhideWhenUsed/>
    <w:rsid w:val="00A276DD"/>
    <w:pPr>
      <w:tabs>
        <w:tab w:val="center" w:pos="4513"/>
        <w:tab w:val="right" w:pos="9026"/>
      </w:tabs>
    </w:pPr>
  </w:style>
  <w:style w:type="character" w:customStyle="1" w:styleId="HeaderChar">
    <w:name w:val="Header Char"/>
    <w:basedOn w:val="DefaultParagraphFont"/>
    <w:link w:val="Header"/>
    <w:uiPriority w:val="99"/>
    <w:semiHidden/>
    <w:rsid w:val="00A276DD"/>
    <w:rPr>
      <w:rFonts w:ascii="Times New Roman" w:hAnsi="Times New Roman"/>
      <w:sz w:val="24"/>
    </w:rPr>
  </w:style>
  <w:style w:type="paragraph" w:styleId="Footer">
    <w:name w:val="footer"/>
    <w:basedOn w:val="Normal"/>
    <w:link w:val="FooterChar"/>
    <w:uiPriority w:val="99"/>
    <w:unhideWhenUsed/>
    <w:rsid w:val="00A276DD"/>
    <w:pPr>
      <w:tabs>
        <w:tab w:val="center" w:pos="4513"/>
        <w:tab w:val="right" w:pos="9026"/>
      </w:tabs>
    </w:pPr>
  </w:style>
  <w:style w:type="character" w:customStyle="1" w:styleId="FooterChar">
    <w:name w:val="Footer Char"/>
    <w:basedOn w:val="DefaultParagraphFont"/>
    <w:link w:val="Footer"/>
    <w:uiPriority w:val="99"/>
    <w:rsid w:val="00A276DD"/>
    <w:rPr>
      <w:rFonts w:ascii="Times New Roman" w:hAnsi="Times New Roman"/>
      <w:sz w:val="24"/>
    </w:rPr>
  </w:style>
  <w:style w:type="character" w:styleId="FollowedHyperlink">
    <w:name w:val="FollowedHyperlink"/>
    <w:basedOn w:val="DefaultParagraphFont"/>
    <w:uiPriority w:val="99"/>
    <w:semiHidden/>
    <w:unhideWhenUsed/>
    <w:rsid w:val="007644FB"/>
    <w:rPr>
      <w:color w:val="954F72" w:themeColor="followedHyperlink"/>
      <w:u w:val="single"/>
    </w:rPr>
  </w:style>
  <w:style w:type="character" w:styleId="Emphasis">
    <w:name w:val="Emphasis"/>
    <w:basedOn w:val="DefaultParagraphFont"/>
    <w:uiPriority w:val="20"/>
    <w:qFormat/>
    <w:rsid w:val="00FA2762"/>
    <w:rPr>
      <w:i/>
      <w:iCs/>
    </w:rPr>
  </w:style>
  <w:style w:type="character" w:styleId="PlaceholderText">
    <w:name w:val="Placeholder Text"/>
    <w:basedOn w:val="DefaultParagraphFont"/>
    <w:uiPriority w:val="99"/>
    <w:semiHidden/>
    <w:rsid w:val="00E1632E"/>
    <w:rPr>
      <w:color w:val="808080"/>
    </w:rPr>
  </w:style>
  <w:style w:type="paragraph" w:styleId="BalloonText">
    <w:name w:val="Balloon Text"/>
    <w:basedOn w:val="Normal"/>
    <w:link w:val="BalloonTextChar"/>
    <w:uiPriority w:val="99"/>
    <w:semiHidden/>
    <w:unhideWhenUsed/>
    <w:rsid w:val="00E1632E"/>
    <w:rPr>
      <w:rFonts w:ascii="Tahoma" w:hAnsi="Tahoma" w:cs="Tahoma"/>
      <w:sz w:val="16"/>
      <w:szCs w:val="16"/>
    </w:rPr>
  </w:style>
  <w:style w:type="character" w:customStyle="1" w:styleId="BalloonTextChar">
    <w:name w:val="Balloon Text Char"/>
    <w:basedOn w:val="DefaultParagraphFont"/>
    <w:link w:val="BalloonText"/>
    <w:uiPriority w:val="99"/>
    <w:semiHidden/>
    <w:rsid w:val="00E1632E"/>
    <w:rPr>
      <w:rFonts w:ascii="Tahoma" w:hAnsi="Tahoma" w:cs="Tahoma"/>
      <w:sz w:val="16"/>
      <w:szCs w:val="16"/>
    </w:rPr>
  </w:style>
  <w:style w:type="paragraph" w:styleId="EndnoteText">
    <w:name w:val="endnote text"/>
    <w:basedOn w:val="Normal"/>
    <w:link w:val="EndnoteTextChar"/>
    <w:uiPriority w:val="99"/>
    <w:semiHidden/>
    <w:unhideWhenUsed/>
    <w:rsid w:val="000A561E"/>
    <w:rPr>
      <w:rFonts w:eastAsia="Calibri" w:cs="Times New Roman"/>
      <w:sz w:val="20"/>
      <w:szCs w:val="20"/>
      <w:lang w:val="en-US"/>
    </w:rPr>
  </w:style>
  <w:style w:type="character" w:customStyle="1" w:styleId="EndnoteTextChar">
    <w:name w:val="Endnote Text Char"/>
    <w:basedOn w:val="DefaultParagraphFont"/>
    <w:link w:val="EndnoteText"/>
    <w:uiPriority w:val="99"/>
    <w:semiHidden/>
    <w:rsid w:val="000A561E"/>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0A561E"/>
    <w:rPr>
      <w:vertAlign w:val="superscript"/>
    </w:rPr>
  </w:style>
  <w:style w:type="character" w:customStyle="1" w:styleId="st">
    <w:name w:val="st"/>
    <w:basedOn w:val="DefaultParagraphFont"/>
    <w:rsid w:val="00207A79"/>
  </w:style>
</w:styles>
</file>

<file path=word/webSettings.xml><?xml version="1.0" encoding="utf-8"?>
<w:webSettings xmlns:r="http://schemas.openxmlformats.org/officeDocument/2006/relationships" xmlns:w="http://schemas.openxmlformats.org/wordprocessingml/2006/main">
  <w:divs>
    <w:div w:id="4765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ibniz-translations.com/descartes.htm" TargetMode="External"/><Relationship Id="rId2" Type="http://schemas.openxmlformats.org/officeDocument/2006/relationships/hyperlink" Target="http://www.leibniz-translations.com/tschirnhaus.htm" TargetMode="External"/><Relationship Id="rId1" Type="http://schemas.openxmlformats.org/officeDocument/2006/relationships/hyperlink" Target="http://www.leibniz-translations.com/particularwill.htm" TargetMode="External"/><Relationship Id="rId5" Type="http://schemas.openxmlformats.org/officeDocument/2006/relationships/hyperlink" Target="http://www.leibniz-translations.com/freedomgrace.htm" TargetMode="External"/><Relationship Id="rId4" Type="http://schemas.openxmlformats.org/officeDocument/2006/relationships/hyperlink" Target="http://www.leibniz-translations.com/cartesianism16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5BF81-9F8E-4359-8357-D7B47B61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10052</Words>
  <Characters>52273</Characters>
  <Application>Microsoft Office Word</Application>
  <DocSecurity>0</DocSecurity>
  <Lines>757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2019-05-29T10:34:00Z</dcterms:created>
  <dcterms:modified xsi:type="dcterms:W3CDTF">2019-05-29T10:34:00Z</dcterms:modified>
</cp:coreProperties>
</file>