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A1D" w:rsidRDefault="0036616D" w:rsidP="00D230DF">
      <w:pPr>
        <w:jc w:val="center"/>
        <w:rPr>
          <w:rFonts w:cs="Times New Roman"/>
          <w:b/>
          <w:color w:val="000000"/>
          <w:sz w:val="32"/>
          <w:szCs w:val="32"/>
        </w:rPr>
      </w:pPr>
      <w:r>
        <w:rPr>
          <w:rFonts w:cs="Times New Roman"/>
          <w:b/>
          <w:color w:val="000000"/>
          <w:sz w:val="32"/>
          <w:szCs w:val="32"/>
        </w:rPr>
        <w:t xml:space="preserve">How </w:t>
      </w:r>
      <w:r w:rsidR="00677568">
        <w:rPr>
          <w:rFonts w:cs="Times New Roman"/>
          <w:b/>
          <w:color w:val="000000"/>
          <w:sz w:val="32"/>
          <w:szCs w:val="32"/>
        </w:rPr>
        <w:t>sincere</w:t>
      </w:r>
      <w:r>
        <w:rPr>
          <w:rFonts w:cs="Times New Roman"/>
          <w:b/>
          <w:color w:val="000000"/>
          <w:sz w:val="32"/>
          <w:szCs w:val="32"/>
        </w:rPr>
        <w:t xml:space="preserve"> was </w:t>
      </w:r>
      <w:r w:rsidR="00E3758C" w:rsidRPr="00E3758C">
        <w:rPr>
          <w:rFonts w:cs="Times New Roman"/>
          <w:b/>
          <w:color w:val="000000"/>
          <w:sz w:val="32"/>
          <w:szCs w:val="32"/>
        </w:rPr>
        <w:t>Leibniz</w:t>
      </w:r>
      <w:r w:rsidR="00EA5EC7">
        <w:rPr>
          <w:rFonts w:cs="Times New Roman"/>
          <w:b/>
          <w:color w:val="000000"/>
          <w:sz w:val="32"/>
          <w:szCs w:val="32"/>
        </w:rPr>
        <w:t>’</w:t>
      </w:r>
      <w:r w:rsidR="00E3758C" w:rsidRPr="00E3758C">
        <w:rPr>
          <w:rFonts w:cs="Times New Roman"/>
          <w:b/>
          <w:color w:val="000000"/>
          <w:sz w:val="32"/>
          <w:szCs w:val="32"/>
        </w:rPr>
        <w:t>s</w:t>
      </w:r>
      <w:r w:rsidR="00697587">
        <w:rPr>
          <w:rFonts w:cs="Times New Roman"/>
          <w:b/>
          <w:color w:val="000000"/>
          <w:sz w:val="32"/>
          <w:szCs w:val="32"/>
        </w:rPr>
        <w:t xml:space="preserve"> </w:t>
      </w:r>
      <w:r w:rsidR="00677568">
        <w:rPr>
          <w:rFonts w:cs="Times New Roman"/>
          <w:b/>
          <w:color w:val="000000"/>
          <w:sz w:val="32"/>
          <w:szCs w:val="32"/>
        </w:rPr>
        <w:t>religious justification for</w:t>
      </w:r>
      <w:r w:rsidR="00697587">
        <w:rPr>
          <w:rFonts w:cs="Times New Roman"/>
          <w:b/>
          <w:color w:val="000000"/>
          <w:sz w:val="32"/>
          <w:szCs w:val="32"/>
        </w:rPr>
        <w:t xml:space="preserve"> war</w:t>
      </w:r>
      <w:r w:rsidR="00677568">
        <w:rPr>
          <w:rFonts w:cs="Times New Roman"/>
          <w:b/>
          <w:color w:val="000000"/>
          <w:sz w:val="32"/>
          <w:szCs w:val="32"/>
        </w:rPr>
        <w:t xml:space="preserve"> in the </w:t>
      </w:r>
      <w:proofErr w:type="spellStart"/>
      <w:r w:rsidR="00677568">
        <w:rPr>
          <w:rFonts w:cs="Times New Roman"/>
          <w:b/>
          <w:i/>
          <w:color w:val="000000"/>
          <w:sz w:val="32"/>
          <w:szCs w:val="32"/>
        </w:rPr>
        <w:t>Justa</w:t>
      </w:r>
      <w:proofErr w:type="spellEnd"/>
      <w:r w:rsidR="00677568">
        <w:rPr>
          <w:rFonts w:cs="Times New Roman"/>
          <w:b/>
          <w:i/>
          <w:color w:val="000000"/>
          <w:sz w:val="32"/>
          <w:szCs w:val="32"/>
        </w:rPr>
        <w:t xml:space="preserve"> </w:t>
      </w:r>
      <w:proofErr w:type="spellStart"/>
      <w:r w:rsidR="00677568">
        <w:rPr>
          <w:rFonts w:cs="Times New Roman"/>
          <w:b/>
          <w:i/>
          <w:color w:val="000000"/>
          <w:sz w:val="32"/>
          <w:szCs w:val="32"/>
        </w:rPr>
        <w:t>Dissertatio</w:t>
      </w:r>
      <w:proofErr w:type="spellEnd"/>
      <w:r w:rsidR="00697587">
        <w:rPr>
          <w:rFonts w:cs="Times New Roman"/>
          <w:b/>
          <w:color w:val="000000"/>
          <w:sz w:val="32"/>
          <w:szCs w:val="32"/>
        </w:rPr>
        <w:t>?</w:t>
      </w:r>
    </w:p>
    <w:p w:rsidR="00697587" w:rsidRPr="00697587" w:rsidRDefault="00697587" w:rsidP="00D230DF">
      <w:pPr>
        <w:jc w:val="center"/>
        <w:rPr>
          <w:rFonts w:cs="Times New Roman"/>
          <w:color w:val="000000"/>
          <w:szCs w:val="24"/>
        </w:rPr>
      </w:pPr>
      <w:r w:rsidRPr="00697587">
        <w:rPr>
          <w:rFonts w:cs="Times New Roman"/>
          <w:color w:val="000000"/>
          <w:szCs w:val="24"/>
        </w:rPr>
        <w:t>Lloyd Strickland (Manchester, UK)</w:t>
      </w:r>
    </w:p>
    <w:p w:rsidR="00E3758C" w:rsidRDefault="00E3758C" w:rsidP="00D230DF">
      <w:pPr>
        <w:rPr>
          <w:b/>
        </w:rPr>
      </w:pPr>
    </w:p>
    <w:p w:rsidR="00A23BE1" w:rsidRDefault="00A23BE1" w:rsidP="00D230DF"/>
    <w:p w:rsidR="00C164C7" w:rsidRDefault="00A23BE1" w:rsidP="00D230DF">
      <w:pPr>
        <w:rPr>
          <w:rFonts w:cs="Times New Roman"/>
          <w:szCs w:val="24"/>
        </w:rPr>
      </w:pPr>
      <w:r>
        <w:t xml:space="preserve">This paper is concerned with Leibniz’s Egypt Plan, </w:t>
      </w:r>
      <w:r w:rsidR="000F25CB">
        <w:t>written</w:t>
      </w:r>
      <w:r>
        <w:t xml:space="preserve"> in 1671 and 1672</w:t>
      </w:r>
      <w:r w:rsidR="00D46B33">
        <w:t>, when Leibniz was in the service of the Elector of Mainz. Its aim was to persuade</w:t>
      </w:r>
      <w:r>
        <w:t xml:space="preserve"> Louis XIV to invade Egypt. </w:t>
      </w:r>
      <w:r w:rsidR="008131DF">
        <w:t>The circumstances surrounding the composition of this plan are widely known, and so may be sketched in brief: in the autumn of 1671, it was widely suspected in German states that the French would invade Holland in the spring of the following year. This was confirmed in December 1671 when Louis XIV despatched an ambassador to the Elector of Mainz, advising him of his intention to invade Holland, and to request that the Elector use his influence with the heads of other German territories to stop them entering the war. It was at this time that Leibniz began composing the Egypt plan. Scholars have generally supposed that Leibniz’s rationale for devising the plan was to divert Louis XIV from his intended war with Holland, and ensure that the French armies were sent not just away from Holland but – crucially – from German territories also.</w:t>
      </w:r>
      <w:r w:rsidR="001C3FFB">
        <w:rPr>
          <w:rStyle w:val="FootnoteReference"/>
        </w:rPr>
        <w:footnoteReference w:id="1"/>
      </w:r>
      <w:r w:rsidR="008131DF">
        <w:t xml:space="preserve"> N</w:t>
      </w:r>
      <w:r w:rsidR="001C3FFB">
        <w:t xml:space="preserve">eedless to say, </w:t>
      </w:r>
      <w:r w:rsidR="008131DF">
        <w:t xml:space="preserve">even if the desire to keep Louis’ armies at a comfortably safe distance from the Rhine was – in whole or in part – </w:t>
      </w:r>
      <w:r w:rsidR="000822B6">
        <w:t>Leibniz’s</w:t>
      </w:r>
      <w:r w:rsidR="008131DF">
        <w:t xml:space="preserve"> reason for writing the Egypt plan, it was not one that is explicitly stated in the plan itself. Instead, </w:t>
      </w:r>
      <w:r w:rsidR="00234E00">
        <w:t>Leibniz identifies</w:t>
      </w:r>
      <w:r w:rsidR="00134A8E">
        <w:t xml:space="preserve"> </w:t>
      </w:r>
      <w:r w:rsidR="008175D4">
        <w:t xml:space="preserve">a number of </w:t>
      </w:r>
      <w:r w:rsidR="00134A8E">
        <w:t xml:space="preserve">political, economic and religious </w:t>
      </w:r>
      <w:r w:rsidR="00234E00">
        <w:t>benefits that could be expected if the plan were to be successfully executed</w:t>
      </w:r>
      <w:r w:rsidR="00490D96">
        <w:t xml:space="preserve">; </w:t>
      </w:r>
      <w:r w:rsidR="007A37EC">
        <w:t xml:space="preserve">notoriously, </w:t>
      </w:r>
      <w:r w:rsidR="00490D96">
        <w:t xml:space="preserve">the </w:t>
      </w:r>
      <w:r w:rsidR="007A37EC">
        <w:t xml:space="preserve">identification of </w:t>
      </w:r>
      <w:r w:rsidR="00490D96">
        <w:t xml:space="preserve">religious benefits </w:t>
      </w:r>
      <w:r w:rsidR="007A37EC">
        <w:t>prompted Leibniz to</w:t>
      </w:r>
      <w:r w:rsidR="000822B6">
        <w:t xml:space="preserve"> characterize </w:t>
      </w:r>
      <w:r w:rsidR="00134A8E">
        <w:t>the plan as a holy war.</w:t>
      </w:r>
      <w:r w:rsidR="007A37EC">
        <w:rPr>
          <w:rStyle w:val="FootnoteReference"/>
        </w:rPr>
        <w:footnoteReference w:id="2"/>
      </w:r>
      <w:r w:rsidR="00134A8E">
        <w:t xml:space="preserve"> </w:t>
      </w:r>
      <w:r w:rsidR="008131DF">
        <w:t xml:space="preserve">To date, the religious </w:t>
      </w:r>
      <w:r w:rsidR="007A37EC">
        <w:t>benefits</w:t>
      </w:r>
      <w:r w:rsidR="008131DF">
        <w:t xml:space="preserve"> Leibniz </w:t>
      </w:r>
      <w:r w:rsidR="007A37EC">
        <w:t>identified have</w:t>
      </w:r>
      <w:r w:rsidR="008131DF">
        <w:t xml:space="preserve"> received little attention from scholars. Moreover, those who do acknowledge </w:t>
      </w:r>
      <w:r w:rsidR="007A37EC">
        <w:t>them</w:t>
      </w:r>
      <w:r w:rsidR="008131DF">
        <w:t xml:space="preserve"> are often quick to downplay </w:t>
      </w:r>
      <w:r w:rsidR="007A37EC">
        <w:t>them</w:t>
      </w:r>
      <w:r w:rsidR="008131DF">
        <w:t>, supposing that the “holiness” of invading Egypt was little more than a convenient religious motif added to a proposal that was essentially politically-</w:t>
      </w:r>
      <w:r w:rsidR="008131DF" w:rsidRPr="00AF1526">
        <w:rPr>
          <w:rFonts w:cs="Times New Roman"/>
          <w:szCs w:val="24"/>
        </w:rPr>
        <w:t xml:space="preserve">motivated. </w:t>
      </w:r>
      <w:r w:rsidR="008131DF">
        <w:rPr>
          <w:rFonts w:cs="Times New Roman"/>
          <w:szCs w:val="24"/>
        </w:rPr>
        <w:t xml:space="preserve">For example, Ian Almond suggests </w:t>
      </w:r>
      <w:r w:rsidR="008131DF" w:rsidRPr="00AF1526">
        <w:rPr>
          <w:rFonts w:cs="Times New Roman"/>
          <w:szCs w:val="24"/>
        </w:rPr>
        <w:t xml:space="preserve">that the Egypt plan involves “a rather cynical use of Christianity as a slightly superficial decoration, tacked on to an essentially strategic and thoroughly </w:t>
      </w:r>
      <w:proofErr w:type="spellStart"/>
      <w:r w:rsidR="008131DF" w:rsidRPr="00AF1526">
        <w:rPr>
          <w:rFonts w:cs="Times New Roman"/>
          <w:szCs w:val="24"/>
        </w:rPr>
        <w:t>untranscendental</w:t>
      </w:r>
      <w:proofErr w:type="spellEnd"/>
      <w:r w:rsidR="008131DF" w:rsidRPr="00AF1526">
        <w:rPr>
          <w:rFonts w:cs="Times New Roman"/>
          <w:szCs w:val="24"/>
        </w:rPr>
        <w:t xml:space="preserve"> project.”</w:t>
      </w:r>
      <w:r w:rsidR="008131DF">
        <w:rPr>
          <w:rStyle w:val="FootnoteReference"/>
          <w:rFonts w:cs="Times New Roman"/>
          <w:szCs w:val="24"/>
        </w:rPr>
        <w:footnoteReference w:id="3"/>
      </w:r>
      <w:r w:rsidR="008131DF">
        <w:rPr>
          <w:rFonts w:cs="Times New Roman"/>
          <w:szCs w:val="24"/>
        </w:rPr>
        <w:t xml:space="preserve"> This tendency to downplay or even dismiss the religious </w:t>
      </w:r>
      <w:r w:rsidR="007A37EC">
        <w:rPr>
          <w:rFonts w:cs="Times New Roman"/>
          <w:szCs w:val="24"/>
        </w:rPr>
        <w:t>benefits Leibniz claimed</w:t>
      </w:r>
      <w:r w:rsidR="008131DF">
        <w:rPr>
          <w:rFonts w:cs="Times New Roman"/>
          <w:szCs w:val="24"/>
        </w:rPr>
        <w:t xml:space="preserve"> of the Egypt plan is </w:t>
      </w:r>
      <w:proofErr w:type="spellStart"/>
      <w:r w:rsidR="008131DF">
        <w:rPr>
          <w:rFonts w:cs="Times New Roman"/>
          <w:szCs w:val="24"/>
        </w:rPr>
        <w:t>undermotivated</w:t>
      </w:r>
      <w:proofErr w:type="spellEnd"/>
      <w:r w:rsidR="008131DF">
        <w:rPr>
          <w:rFonts w:cs="Times New Roman"/>
          <w:szCs w:val="24"/>
        </w:rPr>
        <w:t xml:space="preserve"> and</w:t>
      </w:r>
      <w:r w:rsidR="002C10DC">
        <w:rPr>
          <w:rFonts w:cs="Times New Roman"/>
          <w:szCs w:val="24"/>
        </w:rPr>
        <w:t xml:space="preserve"> stems from a </w:t>
      </w:r>
      <w:r w:rsidR="008C663F">
        <w:rPr>
          <w:rFonts w:cs="Times New Roman"/>
          <w:szCs w:val="24"/>
        </w:rPr>
        <w:t xml:space="preserve">very superficial reading of the </w:t>
      </w:r>
      <w:r w:rsidR="00C93198">
        <w:rPr>
          <w:rFonts w:cs="Times New Roman"/>
          <w:szCs w:val="24"/>
        </w:rPr>
        <w:t>plan</w:t>
      </w:r>
      <w:r w:rsidR="008C663F">
        <w:rPr>
          <w:rFonts w:cs="Times New Roman"/>
          <w:szCs w:val="24"/>
        </w:rPr>
        <w:t>.</w:t>
      </w:r>
      <w:r w:rsidR="00C86CEE">
        <w:rPr>
          <w:rFonts w:cs="Times New Roman"/>
          <w:szCs w:val="24"/>
        </w:rPr>
        <w:t xml:space="preserve"> </w:t>
      </w:r>
      <w:r w:rsidR="00C164C7">
        <w:rPr>
          <w:rFonts w:cs="Times New Roman"/>
          <w:szCs w:val="24"/>
        </w:rPr>
        <w:t xml:space="preserve">As such, it </w:t>
      </w:r>
      <w:r w:rsidR="008131DF">
        <w:rPr>
          <w:rFonts w:cs="Times New Roman"/>
          <w:szCs w:val="24"/>
        </w:rPr>
        <w:t xml:space="preserve">stands in need of correction. Accordingly, one of the aims of this paper is to offer a more balanced and plausible reading of the religious </w:t>
      </w:r>
      <w:r w:rsidR="007A37EC">
        <w:rPr>
          <w:rFonts w:cs="Times New Roman"/>
          <w:szCs w:val="24"/>
        </w:rPr>
        <w:t>benefits</w:t>
      </w:r>
      <w:r w:rsidR="008131DF">
        <w:rPr>
          <w:rFonts w:cs="Times New Roman"/>
          <w:szCs w:val="24"/>
        </w:rPr>
        <w:t xml:space="preserve"> </w:t>
      </w:r>
      <w:r w:rsidR="00D46B33">
        <w:rPr>
          <w:rFonts w:cs="Times New Roman"/>
          <w:szCs w:val="24"/>
        </w:rPr>
        <w:t xml:space="preserve">of war </w:t>
      </w:r>
      <w:r w:rsidR="00C93198">
        <w:rPr>
          <w:rFonts w:cs="Times New Roman"/>
          <w:szCs w:val="24"/>
        </w:rPr>
        <w:t xml:space="preserve">that </w:t>
      </w:r>
      <w:r w:rsidR="008131DF">
        <w:rPr>
          <w:rFonts w:cs="Times New Roman"/>
          <w:szCs w:val="24"/>
        </w:rPr>
        <w:t>Leibniz</w:t>
      </w:r>
      <w:r w:rsidR="00C93198">
        <w:rPr>
          <w:rFonts w:cs="Times New Roman"/>
          <w:szCs w:val="24"/>
        </w:rPr>
        <w:t xml:space="preserve"> </w:t>
      </w:r>
      <w:r w:rsidR="00D46B33">
        <w:rPr>
          <w:rFonts w:cs="Times New Roman"/>
          <w:szCs w:val="24"/>
        </w:rPr>
        <w:t>outlines</w:t>
      </w:r>
      <w:r w:rsidR="00C93198">
        <w:rPr>
          <w:rFonts w:cs="Times New Roman"/>
          <w:szCs w:val="24"/>
        </w:rPr>
        <w:t xml:space="preserve"> in hi</w:t>
      </w:r>
      <w:r w:rsidR="008131DF">
        <w:rPr>
          <w:rFonts w:cs="Times New Roman"/>
          <w:szCs w:val="24"/>
        </w:rPr>
        <w:t>s Egypt plan</w:t>
      </w:r>
      <w:r w:rsidR="000F25CB">
        <w:rPr>
          <w:rFonts w:cs="Times New Roman"/>
          <w:szCs w:val="24"/>
        </w:rPr>
        <w:t>.</w:t>
      </w:r>
    </w:p>
    <w:p w:rsidR="008131DF" w:rsidRDefault="008131DF" w:rsidP="00D230DF">
      <w:pPr>
        <w:autoSpaceDE w:val="0"/>
        <w:autoSpaceDN w:val="0"/>
        <w:adjustRightInd w:val="0"/>
        <w:ind w:firstLine="720"/>
        <w:rPr>
          <w:rFonts w:cs="Times New Roman"/>
          <w:szCs w:val="24"/>
        </w:rPr>
      </w:pPr>
      <w:r>
        <w:rPr>
          <w:rFonts w:cs="Times New Roman"/>
          <w:szCs w:val="24"/>
        </w:rPr>
        <w:t xml:space="preserve">In offering such a reading, I argue that </w:t>
      </w:r>
      <w:r w:rsidR="00F86F95">
        <w:rPr>
          <w:rFonts w:cs="Times New Roman"/>
          <w:szCs w:val="24"/>
        </w:rPr>
        <w:t xml:space="preserve">we should take seriously Leibniz’s claim that a French invasion of Egypt would bring </w:t>
      </w:r>
      <w:r>
        <w:rPr>
          <w:rFonts w:cs="Times New Roman"/>
          <w:szCs w:val="24"/>
        </w:rPr>
        <w:t xml:space="preserve">religious </w:t>
      </w:r>
      <w:r w:rsidR="007A37EC">
        <w:rPr>
          <w:rFonts w:cs="Times New Roman"/>
          <w:szCs w:val="24"/>
        </w:rPr>
        <w:t xml:space="preserve">benefits </w:t>
      </w:r>
      <w:r>
        <w:rPr>
          <w:rFonts w:cs="Times New Roman"/>
          <w:szCs w:val="24"/>
        </w:rPr>
        <w:t>and that, far from being superficial or superfluous feature</w:t>
      </w:r>
      <w:r w:rsidR="007A37EC">
        <w:rPr>
          <w:rFonts w:cs="Times New Roman"/>
          <w:szCs w:val="24"/>
        </w:rPr>
        <w:t>s</w:t>
      </w:r>
      <w:r>
        <w:rPr>
          <w:rFonts w:cs="Times New Roman"/>
          <w:szCs w:val="24"/>
        </w:rPr>
        <w:t xml:space="preserve"> of the plan, </w:t>
      </w:r>
      <w:r w:rsidR="007A37EC">
        <w:rPr>
          <w:rFonts w:cs="Times New Roman"/>
          <w:szCs w:val="24"/>
        </w:rPr>
        <w:t>the</w:t>
      </w:r>
      <w:r w:rsidR="00F86F95">
        <w:rPr>
          <w:rFonts w:cs="Times New Roman"/>
          <w:szCs w:val="24"/>
        </w:rPr>
        <w:t>se benefits</w:t>
      </w:r>
      <w:r w:rsidR="007A37EC">
        <w:rPr>
          <w:rFonts w:cs="Times New Roman"/>
          <w:szCs w:val="24"/>
        </w:rPr>
        <w:t xml:space="preserve"> are ones</w:t>
      </w:r>
      <w:r>
        <w:rPr>
          <w:rFonts w:cs="Times New Roman"/>
          <w:szCs w:val="24"/>
        </w:rPr>
        <w:t xml:space="preserve"> that Leibniz </w:t>
      </w:r>
      <w:r w:rsidR="00C0124D">
        <w:rPr>
          <w:rFonts w:cs="Times New Roman"/>
          <w:szCs w:val="24"/>
        </w:rPr>
        <w:t>saw</w:t>
      </w:r>
      <w:r>
        <w:rPr>
          <w:rFonts w:cs="Times New Roman"/>
          <w:szCs w:val="24"/>
        </w:rPr>
        <w:t xml:space="preserve"> as important and intrinsically desirable inasmuch as he believe</w:t>
      </w:r>
      <w:r w:rsidR="00F4260B">
        <w:rPr>
          <w:rFonts w:cs="Times New Roman"/>
          <w:szCs w:val="24"/>
        </w:rPr>
        <w:t>d</w:t>
      </w:r>
      <w:r>
        <w:rPr>
          <w:rFonts w:cs="Times New Roman"/>
          <w:szCs w:val="24"/>
        </w:rPr>
        <w:t xml:space="preserve"> that the execution of the plan would </w:t>
      </w:r>
      <w:r w:rsidR="009F4AD4">
        <w:rPr>
          <w:rFonts w:cs="Times New Roman"/>
          <w:szCs w:val="24"/>
        </w:rPr>
        <w:t>yield</w:t>
      </w:r>
      <w:r w:rsidR="008175D4">
        <w:rPr>
          <w:rFonts w:cs="Times New Roman"/>
          <w:szCs w:val="24"/>
        </w:rPr>
        <w:t xml:space="preserve"> clear</w:t>
      </w:r>
      <w:r w:rsidR="009F4AD4">
        <w:rPr>
          <w:rFonts w:cs="Times New Roman"/>
          <w:szCs w:val="24"/>
        </w:rPr>
        <w:t xml:space="preserve"> ecumenical </w:t>
      </w:r>
      <w:r w:rsidR="007A37EC">
        <w:rPr>
          <w:rFonts w:cs="Times New Roman"/>
          <w:szCs w:val="24"/>
        </w:rPr>
        <w:t>results</w:t>
      </w:r>
      <w:r>
        <w:rPr>
          <w:rFonts w:cs="Times New Roman"/>
          <w:szCs w:val="24"/>
        </w:rPr>
        <w:t>. As such, the Egypt plan should be</w:t>
      </w:r>
      <w:r w:rsidR="00F5101A">
        <w:rPr>
          <w:rFonts w:cs="Times New Roman"/>
          <w:szCs w:val="24"/>
        </w:rPr>
        <w:t xml:space="preserve"> considered one of the earliest</w:t>
      </w:r>
      <w:r>
        <w:rPr>
          <w:rFonts w:cs="Times New Roman"/>
          <w:szCs w:val="24"/>
        </w:rPr>
        <w:t xml:space="preserve"> forays into the sort of ecumenism with which Leibniz’s name would later become </w:t>
      </w:r>
      <w:r>
        <w:rPr>
          <w:rFonts w:cs="Times New Roman"/>
          <w:szCs w:val="24"/>
        </w:rPr>
        <w:lastRenderedPageBreak/>
        <w:t xml:space="preserve">synonymous, as </w:t>
      </w:r>
      <w:r>
        <w:t>“</w:t>
      </w:r>
      <w:r w:rsidRPr="00B53DE3">
        <w:t>the greatest supporter of Church unity</w:t>
      </w:r>
      <w:r>
        <w:t xml:space="preserve"> that the world has yet known,”</w:t>
      </w:r>
      <w:r>
        <w:rPr>
          <w:rStyle w:val="FootnoteReference"/>
        </w:rPr>
        <w:footnoteReference w:id="4"/>
      </w:r>
      <w:r>
        <w:rPr>
          <w:rFonts w:cs="Times New Roman"/>
          <w:szCs w:val="24"/>
        </w:rPr>
        <w:t xml:space="preserve"> as one scholar aptly put it.</w:t>
      </w:r>
    </w:p>
    <w:p w:rsidR="000F25CB" w:rsidRDefault="000822B6" w:rsidP="00D230DF">
      <w:pPr>
        <w:autoSpaceDE w:val="0"/>
        <w:autoSpaceDN w:val="0"/>
        <w:adjustRightInd w:val="0"/>
        <w:ind w:firstLine="720"/>
      </w:pPr>
      <w:r>
        <w:rPr>
          <w:rFonts w:cs="Times New Roman"/>
          <w:szCs w:val="24"/>
        </w:rPr>
        <w:t xml:space="preserve">In arguing for this interpretation, I will focus on the chief document in which the Egypt plan is outlined, the </w:t>
      </w:r>
      <w:r w:rsidR="008131DF">
        <w:rPr>
          <w:rFonts w:cs="Times New Roman"/>
        </w:rPr>
        <w:t xml:space="preserve">lengthy </w:t>
      </w:r>
      <w:r w:rsidR="009E57AF">
        <w:rPr>
          <w:rFonts w:cs="Times New Roman"/>
        </w:rPr>
        <w:t>“</w:t>
      </w:r>
      <w:proofErr w:type="spellStart"/>
      <w:r w:rsidR="008131DF" w:rsidRPr="009E57AF">
        <w:rPr>
          <w:rFonts w:cs="Times New Roman"/>
        </w:rPr>
        <w:t>Justa</w:t>
      </w:r>
      <w:proofErr w:type="spellEnd"/>
      <w:r w:rsidR="008131DF" w:rsidRPr="009E57AF">
        <w:rPr>
          <w:rFonts w:cs="Times New Roman"/>
        </w:rPr>
        <w:t xml:space="preserve"> </w:t>
      </w:r>
      <w:proofErr w:type="spellStart"/>
      <w:r w:rsidR="008131DF" w:rsidRPr="009E57AF">
        <w:rPr>
          <w:rFonts w:cs="Times New Roman"/>
        </w:rPr>
        <w:t>Dissertatio</w:t>
      </w:r>
      <w:proofErr w:type="spellEnd"/>
      <w:r w:rsidR="00581C75">
        <w:rPr>
          <w:rFonts w:cs="Times New Roman"/>
        </w:rPr>
        <w:t>,</w:t>
      </w:r>
      <w:r w:rsidR="009E57AF">
        <w:rPr>
          <w:rFonts w:cs="Times New Roman"/>
        </w:rPr>
        <w:t>”</w:t>
      </w:r>
      <w:r w:rsidR="001F3817">
        <w:rPr>
          <w:rStyle w:val="FootnoteReference"/>
          <w:rFonts w:cs="Times New Roman"/>
        </w:rPr>
        <w:footnoteReference w:id="5"/>
      </w:r>
      <w:r w:rsidR="008131DF">
        <w:rPr>
          <w:rFonts w:cs="Times New Roman"/>
        </w:rPr>
        <w:t xml:space="preserve"> which was the document Leibniz ultimately intended for Louis. Indeed, </w:t>
      </w:r>
      <w:r w:rsidR="00F4260B">
        <w:rPr>
          <w:rFonts w:cs="Times New Roman"/>
        </w:rPr>
        <w:t>Leibniz</w:t>
      </w:r>
      <w:r w:rsidR="008131DF">
        <w:rPr>
          <w:rFonts w:cs="Times New Roman"/>
        </w:rPr>
        <w:t xml:space="preserve"> was still working on the </w:t>
      </w:r>
      <w:r w:rsidR="00C93198">
        <w:rPr>
          <w:rFonts w:cs="Times New Roman"/>
        </w:rPr>
        <w:t>“</w:t>
      </w:r>
      <w:proofErr w:type="spellStart"/>
      <w:r w:rsidR="008131DF" w:rsidRPr="00C93198">
        <w:rPr>
          <w:rFonts w:cs="Times New Roman"/>
        </w:rPr>
        <w:t>Justa</w:t>
      </w:r>
      <w:proofErr w:type="spellEnd"/>
      <w:r w:rsidR="008131DF" w:rsidRPr="00C93198">
        <w:rPr>
          <w:rFonts w:cs="Times New Roman"/>
        </w:rPr>
        <w:t xml:space="preserve"> </w:t>
      </w:r>
      <w:proofErr w:type="spellStart"/>
      <w:r w:rsidR="008131DF" w:rsidRPr="00C93198">
        <w:rPr>
          <w:rFonts w:cs="Times New Roman"/>
        </w:rPr>
        <w:t>Dissertatio</w:t>
      </w:r>
      <w:proofErr w:type="spellEnd"/>
      <w:r w:rsidR="00C93198">
        <w:rPr>
          <w:rFonts w:cs="Times New Roman"/>
        </w:rPr>
        <w:t>”</w:t>
      </w:r>
      <w:r w:rsidR="008131DF">
        <w:rPr>
          <w:rFonts w:cs="Times New Roman"/>
        </w:rPr>
        <w:t xml:space="preserve"> when he arrived in Paris at the end of March 1672, having been sent there by his </w:t>
      </w:r>
      <w:r w:rsidR="00403FCC">
        <w:rPr>
          <w:rFonts w:cs="Times New Roman"/>
        </w:rPr>
        <w:t>patron</w:t>
      </w:r>
      <w:r w:rsidR="008131DF">
        <w:rPr>
          <w:rFonts w:cs="Times New Roman"/>
        </w:rPr>
        <w:t xml:space="preserve"> at the court of Mainz specifically to present the plan to the French King. However, </w:t>
      </w:r>
      <w:r w:rsidR="008131DF">
        <w:t xml:space="preserve">events had moved faster than Leibniz could write and travel, and by the time he arrived in Paris the Dutch had already been attacked by the English, who had secretly joined forces with the French, and Louis declared war a week later, on 6 April. There is no evidence that Leibniz was able to present his proposal to Louis or indeed to any </w:t>
      </w:r>
      <w:r w:rsidR="00637AA9">
        <w:t>member of the French court.</w:t>
      </w:r>
      <w:r w:rsidR="000F25CB">
        <w:t xml:space="preserve"> Nevertheless, the “</w:t>
      </w:r>
      <w:proofErr w:type="spellStart"/>
      <w:r w:rsidR="000F25CB">
        <w:t>Justa</w:t>
      </w:r>
      <w:proofErr w:type="spellEnd"/>
      <w:r w:rsidR="000F25CB">
        <w:t xml:space="preserve"> </w:t>
      </w:r>
      <w:proofErr w:type="spellStart"/>
      <w:r w:rsidR="000F25CB">
        <w:t>Dissertatio</w:t>
      </w:r>
      <w:proofErr w:type="spellEnd"/>
      <w:r w:rsidR="000F25CB">
        <w:t>” was written for Louis, and as such</w:t>
      </w:r>
      <w:r w:rsidR="00637AA9">
        <w:t xml:space="preserve">, any scrutiny of the religious </w:t>
      </w:r>
      <w:r w:rsidR="007A37EC">
        <w:t>benefits of</w:t>
      </w:r>
      <w:r w:rsidR="000F25CB">
        <w:t xml:space="preserve"> invading</w:t>
      </w:r>
      <w:r w:rsidR="00637AA9">
        <w:t xml:space="preserve"> Egypt </w:t>
      </w:r>
      <w:r w:rsidR="00F02A5D">
        <w:t>identified</w:t>
      </w:r>
      <w:r w:rsidR="00637AA9">
        <w:t xml:space="preserve"> </w:t>
      </w:r>
      <w:r w:rsidR="000F25CB">
        <w:t>there</w:t>
      </w:r>
      <w:r w:rsidR="00637AA9">
        <w:t xml:space="preserve">in needs to be mindful of the fact that the document </w:t>
      </w:r>
      <w:r w:rsidR="000F25CB">
        <w:t>had</w:t>
      </w:r>
      <w:r w:rsidR="00637AA9">
        <w:t xml:space="preserve"> a clear diplomatic purpose. Accordingly, we need to consider not just what Leibniz says in this document, but also whether the claims he makes in it can reasonably be taken to represent his own thinking as opposed to being mad</w:t>
      </w:r>
      <w:r w:rsidR="000F25CB">
        <w:t>e out of calculated expediency.</w:t>
      </w:r>
    </w:p>
    <w:p w:rsidR="00637AA9" w:rsidRDefault="00637AA9" w:rsidP="00D230DF">
      <w:pPr>
        <w:autoSpaceDE w:val="0"/>
        <w:autoSpaceDN w:val="0"/>
        <w:adjustRightInd w:val="0"/>
        <w:ind w:firstLine="720"/>
      </w:pPr>
      <w:r>
        <w:t xml:space="preserve">The plan of the remainder of the paper is therefore as follows. In section 1 I shall outline the religious </w:t>
      </w:r>
      <w:r w:rsidR="00F02A5D">
        <w:t>benefits</w:t>
      </w:r>
      <w:r>
        <w:t xml:space="preserve"> of the Egypt plan </w:t>
      </w:r>
      <w:r w:rsidR="00F02A5D">
        <w:t>that Leibniz identifies</w:t>
      </w:r>
      <w:r>
        <w:t xml:space="preserve"> in the “</w:t>
      </w:r>
      <w:proofErr w:type="spellStart"/>
      <w:r>
        <w:t>Justa</w:t>
      </w:r>
      <w:proofErr w:type="spellEnd"/>
      <w:r>
        <w:t xml:space="preserve"> </w:t>
      </w:r>
      <w:proofErr w:type="spellStart"/>
      <w:r>
        <w:t>Dissertatio</w:t>
      </w:r>
      <w:proofErr w:type="spellEnd"/>
      <w:r>
        <w:t>.” Having detailed the</w:t>
      </w:r>
      <w:r w:rsidR="00F02A5D">
        <w:t>se benefits</w:t>
      </w:r>
      <w:r>
        <w:t xml:space="preserve">, in section 2 I shall </w:t>
      </w:r>
      <w:r w:rsidR="000F25CB">
        <w:t xml:space="preserve">then </w:t>
      </w:r>
      <w:r>
        <w:t xml:space="preserve">consider the extent to which </w:t>
      </w:r>
      <w:r w:rsidR="00F02A5D">
        <w:t>they</w:t>
      </w:r>
      <w:r>
        <w:t xml:space="preserve"> can be said to represent Leibniz’s own views. I shall argue that the content and context of certain aspects of </w:t>
      </w:r>
      <w:r w:rsidR="00F02A5D">
        <w:t>them</w:t>
      </w:r>
      <w:r>
        <w:t xml:space="preserve"> – specifically those concerned with ecumenism – are a fair reflection of Leibniz’s own views, and should not be dismissed as mere expediency or diplomacy.</w:t>
      </w:r>
      <w:r w:rsidR="00A77E89">
        <w:t xml:space="preserve"> Let us start, then, by examining the “</w:t>
      </w:r>
      <w:proofErr w:type="spellStart"/>
      <w:r w:rsidR="00A77E89">
        <w:t>Justa</w:t>
      </w:r>
      <w:proofErr w:type="spellEnd"/>
      <w:r w:rsidR="00A77E89">
        <w:t xml:space="preserve"> </w:t>
      </w:r>
      <w:proofErr w:type="spellStart"/>
      <w:r w:rsidR="00A77E89">
        <w:t>Dissertatio</w:t>
      </w:r>
      <w:proofErr w:type="spellEnd"/>
      <w:r w:rsidR="00A77E89">
        <w:t>.”</w:t>
      </w:r>
    </w:p>
    <w:p w:rsidR="005523C1" w:rsidRDefault="005523C1" w:rsidP="00D230DF">
      <w:pPr>
        <w:autoSpaceDE w:val="0"/>
        <w:autoSpaceDN w:val="0"/>
        <w:adjustRightInd w:val="0"/>
      </w:pPr>
    </w:p>
    <w:p w:rsidR="00637AA9" w:rsidRPr="00637AA9" w:rsidRDefault="00637AA9" w:rsidP="00D230DF">
      <w:pPr>
        <w:autoSpaceDE w:val="0"/>
        <w:autoSpaceDN w:val="0"/>
        <w:adjustRightInd w:val="0"/>
        <w:jc w:val="center"/>
        <w:rPr>
          <w:b/>
        </w:rPr>
      </w:pPr>
      <w:r w:rsidRPr="00637AA9">
        <w:rPr>
          <w:b/>
        </w:rPr>
        <w:t>1</w:t>
      </w:r>
    </w:p>
    <w:p w:rsidR="001D0DA7" w:rsidRDefault="00F534DC" w:rsidP="00D230DF">
      <w:r>
        <w:t xml:space="preserve">The </w:t>
      </w:r>
      <w:r w:rsidR="001A1BF6">
        <w:t>“</w:t>
      </w:r>
      <w:proofErr w:type="spellStart"/>
      <w:r w:rsidRPr="001A1BF6">
        <w:t>Justa</w:t>
      </w:r>
      <w:proofErr w:type="spellEnd"/>
      <w:r w:rsidRPr="001A1BF6">
        <w:t xml:space="preserve"> </w:t>
      </w:r>
      <w:proofErr w:type="spellStart"/>
      <w:r w:rsidRPr="001A1BF6">
        <w:t>Dissertatio</w:t>
      </w:r>
      <w:proofErr w:type="spellEnd"/>
      <w:r w:rsidR="001A1BF6">
        <w:t>”</w:t>
      </w:r>
      <w:r>
        <w:t xml:space="preserve"> is a sprawling</w:t>
      </w:r>
      <w:r w:rsidR="00726F2A">
        <w:t xml:space="preserve"> and</w:t>
      </w:r>
      <w:r>
        <w:t xml:space="preserve"> </w:t>
      </w:r>
      <w:r w:rsidR="00B50A86">
        <w:t>meticulously-researched</w:t>
      </w:r>
      <w:r w:rsidR="00726F2A">
        <w:t xml:space="preserve"> document</w:t>
      </w:r>
      <w:r w:rsidR="00B50A86">
        <w:t xml:space="preserve">, </w:t>
      </w:r>
      <w:r>
        <w:t xml:space="preserve">filled with quotations from travel reports to support the various claims Leibniz makes </w:t>
      </w:r>
      <w:r w:rsidR="00B50A86">
        <w:t xml:space="preserve">in it </w:t>
      </w:r>
      <w:r>
        <w:t>about Egypt’s geography, defences, and people.</w:t>
      </w:r>
      <w:r w:rsidR="00134A8E">
        <w:t xml:space="preserve"> In this </w:t>
      </w:r>
      <w:r w:rsidR="00232D8A">
        <w:t>text,</w:t>
      </w:r>
      <w:r w:rsidR="00134A8E">
        <w:t xml:space="preserve"> Leibniz offers a suite of reasons in favour of an invasion of Egypt, claiming that it is the most efficacious way for the French to attain supremacy,</w:t>
      </w:r>
      <w:r w:rsidR="00134A8E">
        <w:rPr>
          <w:rStyle w:val="FootnoteReference"/>
        </w:rPr>
        <w:footnoteReference w:id="6"/>
      </w:r>
      <w:r w:rsidR="00134A8E">
        <w:t xml:space="preserve"> that it is easy,</w:t>
      </w:r>
      <w:r w:rsidR="00134A8E">
        <w:rPr>
          <w:rStyle w:val="FootnoteReference"/>
        </w:rPr>
        <w:footnoteReference w:id="7"/>
      </w:r>
      <w:r w:rsidR="00134A8E">
        <w:t xml:space="preserve"> safe,</w:t>
      </w:r>
      <w:r w:rsidR="00134A8E">
        <w:rPr>
          <w:rStyle w:val="FootnoteReference"/>
        </w:rPr>
        <w:footnoteReference w:id="8"/>
      </w:r>
      <w:r w:rsidR="00134A8E">
        <w:t xml:space="preserve"> timely,</w:t>
      </w:r>
      <w:r w:rsidR="00134A8E">
        <w:rPr>
          <w:rStyle w:val="FootnoteReference"/>
        </w:rPr>
        <w:footnoteReference w:id="9"/>
      </w:r>
      <w:r w:rsidR="00134A8E">
        <w:t xml:space="preserve"> and – most importantly of all – just.</w:t>
      </w:r>
      <w:r w:rsidR="00134A8E">
        <w:rPr>
          <w:rStyle w:val="FootnoteReference"/>
        </w:rPr>
        <w:footnoteReference w:id="10"/>
      </w:r>
      <w:r w:rsidR="00134A8E">
        <w:t xml:space="preserve"> The plan is a just one, Leibniz explains, because it involves the Most Christian King training his fire on Christianity’s eternal foe, the Turks. Leibniz explains that Egypt is the key to the whole Turkish Empire,</w:t>
      </w:r>
      <w:r w:rsidR="00AC13F5">
        <w:rPr>
          <w:rStyle w:val="FootnoteReference"/>
        </w:rPr>
        <w:footnoteReference w:id="11"/>
      </w:r>
      <w:r w:rsidR="00134A8E">
        <w:t xml:space="preserve"> and if it falls into Christian hands then the</w:t>
      </w:r>
      <w:r w:rsidR="00232D8A">
        <w:t xml:space="preserve"> Turkish Empire would be ruined. </w:t>
      </w:r>
      <w:r w:rsidR="006D47DB">
        <w:t>His rationale is that since</w:t>
      </w:r>
      <w:r w:rsidR="00232D8A">
        <w:t xml:space="preserve"> the wealth of the Turks is channelled through Egypt, seizing the country would bring about the impoverishment of the enemy,</w:t>
      </w:r>
      <w:r w:rsidR="00232D8A">
        <w:rPr>
          <w:rStyle w:val="FootnoteReference"/>
        </w:rPr>
        <w:footnoteReference w:id="12"/>
      </w:r>
      <w:r w:rsidR="00232D8A">
        <w:t xml:space="preserve"> and </w:t>
      </w:r>
      <w:r w:rsidR="006D47DB">
        <w:t>accordingly</w:t>
      </w:r>
      <w:r w:rsidR="00232D8A">
        <w:t xml:space="preserve"> </w:t>
      </w:r>
      <w:r w:rsidR="00134A8E">
        <w:t>“</w:t>
      </w:r>
      <w:r w:rsidR="00134A8E" w:rsidRPr="00270AAB">
        <w:t>to occupy Egypt</w:t>
      </w:r>
      <w:r w:rsidR="00134A8E">
        <w:t xml:space="preserve"> ...</w:t>
      </w:r>
      <w:r w:rsidR="00134A8E" w:rsidRPr="00270AAB">
        <w:t xml:space="preserve"> </w:t>
      </w:r>
      <w:r w:rsidR="006D47DB">
        <w:t>[would be]</w:t>
      </w:r>
      <w:r w:rsidR="00134A8E" w:rsidRPr="00270AAB">
        <w:t xml:space="preserve"> the beginning of th</w:t>
      </w:r>
      <w:r w:rsidR="00134A8E">
        <w:t>e certain downfall of the Turks.”</w:t>
      </w:r>
      <w:r w:rsidR="00134A8E">
        <w:rPr>
          <w:rStyle w:val="FootnoteReference"/>
        </w:rPr>
        <w:footnoteReference w:id="13"/>
      </w:r>
      <w:r w:rsidR="00134A8E">
        <w:t xml:space="preserve"> </w:t>
      </w:r>
      <w:r w:rsidR="001D0DA7">
        <w:t xml:space="preserve">He thus </w:t>
      </w:r>
      <w:r w:rsidR="00232D8A">
        <w:t>suggests</w:t>
      </w:r>
      <w:r w:rsidR="001D0DA7">
        <w:t xml:space="preserve"> that the plan “is in the interest of the human race and the Christian religion and, which comes to the same thing, because it is in conformity with the divine will, is just and pious,”</w:t>
      </w:r>
      <w:r w:rsidR="001D0DA7">
        <w:rPr>
          <w:rStyle w:val="FootnoteReference"/>
        </w:rPr>
        <w:footnoteReference w:id="14"/>
      </w:r>
      <w:r w:rsidR="001D0DA7">
        <w:t xml:space="preserve"> which leads Leibniz to repeatedly describe it as a “holy war.”</w:t>
      </w:r>
      <w:r w:rsidR="001D0DA7">
        <w:rPr>
          <w:rStyle w:val="FootnoteReference"/>
        </w:rPr>
        <w:footnoteReference w:id="15"/>
      </w:r>
    </w:p>
    <w:p w:rsidR="004D273E" w:rsidRPr="00FC7F1D" w:rsidRDefault="004D273E" w:rsidP="00D230DF">
      <w:pPr>
        <w:ind w:firstLine="720"/>
        <w:rPr>
          <w:szCs w:val="24"/>
        </w:rPr>
      </w:pPr>
      <w:r>
        <w:rPr>
          <w:szCs w:val="24"/>
        </w:rPr>
        <w:lastRenderedPageBreak/>
        <w:t xml:space="preserve">The </w:t>
      </w:r>
      <w:r w:rsidRPr="00E61089">
        <w:rPr>
          <w:szCs w:val="24"/>
        </w:rPr>
        <w:t xml:space="preserve">religious </w:t>
      </w:r>
      <w:r w:rsidR="006D7FEE">
        <w:rPr>
          <w:szCs w:val="24"/>
        </w:rPr>
        <w:t>benefit</w:t>
      </w:r>
      <w:r>
        <w:rPr>
          <w:szCs w:val="24"/>
        </w:rPr>
        <w:t xml:space="preserve"> Leibniz has in mind here – that his plan </w:t>
      </w:r>
      <w:r w:rsidRPr="00E61089">
        <w:rPr>
          <w:szCs w:val="24"/>
        </w:rPr>
        <w:t>w</w:t>
      </w:r>
      <w:r w:rsidR="00FC7F1D">
        <w:rPr>
          <w:szCs w:val="24"/>
        </w:rPr>
        <w:t>ould</w:t>
      </w:r>
      <w:r w:rsidRPr="00E61089">
        <w:rPr>
          <w:szCs w:val="24"/>
        </w:rPr>
        <w:t xml:space="preserve"> spell the doom of the</w:t>
      </w:r>
      <w:r>
        <w:t xml:space="preserve"> Turks, and for that reason should be undertaken in the interests of Christianity</w:t>
      </w:r>
      <w:r w:rsidR="00FC7F1D">
        <w:rPr>
          <w:rStyle w:val="FootnoteReference"/>
        </w:rPr>
        <w:footnoteReference w:id="16"/>
      </w:r>
      <w:r>
        <w:t xml:space="preserve"> – was of course, a stock theme in Christian calls for holy war with Muslims both inside and outside the crusader tradition. For example, in his </w:t>
      </w:r>
      <w:r w:rsidR="0085778D">
        <w:t>fourteenth</w:t>
      </w:r>
      <w:r>
        <w:t xml:space="preserve"> century work calling for a new crusade, Marino </w:t>
      </w:r>
      <w:proofErr w:type="spellStart"/>
      <w:r>
        <w:t>Sanudo</w:t>
      </w:r>
      <w:proofErr w:type="spellEnd"/>
      <w:r>
        <w:t xml:space="preserve"> </w:t>
      </w:r>
      <w:proofErr w:type="spellStart"/>
      <w:r>
        <w:t>Torsello</w:t>
      </w:r>
      <w:proofErr w:type="spellEnd"/>
      <w:r>
        <w:t xml:space="preserve"> explains that the proposal is made “for the common good of the whole of Christendom, present and yet to come</w:t>
      </w:r>
      <w:r w:rsidR="0085778D">
        <w:t>,</w:t>
      </w:r>
      <w:r>
        <w:t>” because it involves “crushing and annihilating the principal enemies of the Catholic faith.”</w:t>
      </w:r>
      <w:r>
        <w:rPr>
          <w:rStyle w:val="FootnoteReference"/>
        </w:rPr>
        <w:footnoteReference w:id="17"/>
      </w:r>
      <w:r>
        <w:t xml:space="preserve"> And John Foxe, in his </w:t>
      </w:r>
      <w:r>
        <w:rPr>
          <w:i/>
        </w:rPr>
        <w:t>Acts and Monuments</w:t>
      </w:r>
      <w:r>
        <w:t xml:space="preserve"> (1583), after building a case for war with the Turks, begs God to</w:t>
      </w:r>
    </w:p>
    <w:p w:rsidR="004D273E" w:rsidRDefault="004D273E" w:rsidP="00D230DF"/>
    <w:p w:rsidR="004D273E" w:rsidRPr="00786C87" w:rsidRDefault="004D273E" w:rsidP="00786C87">
      <w:pPr>
        <w:rPr>
          <w:sz w:val="18"/>
          <w:szCs w:val="18"/>
        </w:rPr>
      </w:pPr>
      <w:proofErr w:type="spellStart"/>
      <w:r w:rsidRPr="00786C87">
        <w:rPr>
          <w:rStyle w:val="rom"/>
          <w:sz w:val="18"/>
          <w:szCs w:val="18"/>
        </w:rPr>
        <w:t>graunt</w:t>
      </w:r>
      <w:proofErr w:type="spellEnd"/>
      <w:r w:rsidRPr="00786C87">
        <w:rPr>
          <w:rStyle w:val="rom"/>
          <w:sz w:val="18"/>
          <w:szCs w:val="18"/>
        </w:rPr>
        <w:t xml:space="preserve"> to thy Church strength and victory against the malicious fury of these </w:t>
      </w:r>
      <w:bookmarkStart w:id="0" w:name="kw"/>
      <w:proofErr w:type="spellStart"/>
      <w:r w:rsidRPr="00786C87">
        <w:rPr>
          <w:rStyle w:val="Strong"/>
          <w:b w:val="0"/>
          <w:sz w:val="18"/>
          <w:szCs w:val="18"/>
        </w:rPr>
        <w:t>Turk</w:t>
      </w:r>
      <w:bookmarkEnd w:id="0"/>
      <w:r w:rsidRPr="00786C87">
        <w:rPr>
          <w:rStyle w:val="rom"/>
          <w:sz w:val="18"/>
          <w:szCs w:val="18"/>
        </w:rPr>
        <w:t>es</w:t>
      </w:r>
      <w:proofErr w:type="spellEnd"/>
      <w:r w:rsidRPr="00786C87">
        <w:rPr>
          <w:rStyle w:val="rom"/>
          <w:sz w:val="18"/>
          <w:szCs w:val="18"/>
        </w:rPr>
        <w:t xml:space="preserve">, Saracens, </w:t>
      </w:r>
      <w:proofErr w:type="spellStart"/>
      <w:r w:rsidRPr="00786C87">
        <w:rPr>
          <w:rStyle w:val="rom"/>
          <w:sz w:val="18"/>
          <w:szCs w:val="18"/>
        </w:rPr>
        <w:t>Tartarians</w:t>
      </w:r>
      <w:proofErr w:type="spellEnd"/>
      <w:r w:rsidRPr="00786C87">
        <w:rPr>
          <w:rStyle w:val="rom"/>
          <w:sz w:val="18"/>
          <w:szCs w:val="18"/>
        </w:rPr>
        <w:t xml:space="preserve">, </w:t>
      </w:r>
      <w:proofErr w:type="spellStart"/>
      <w:r w:rsidRPr="00786C87">
        <w:rPr>
          <w:rStyle w:val="rom"/>
          <w:sz w:val="18"/>
          <w:szCs w:val="18"/>
        </w:rPr>
        <w:t>againste</w:t>
      </w:r>
      <w:proofErr w:type="spellEnd"/>
      <w:r w:rsidRPr="00786C87">
        <w:rPr>
          <w:rStyle w:val="rom"/>
          <w:sz w:val="18"/>
          <w:szCs w:val="18"/>
        </w:rPr>
        <w:t xml:space="preserve"> Gog and </w:t>
      </w:r>
      <w:proofErr w:type="spellStart"/>
      <w:r w:rsidRPr="00786C87">
        <w:rPr>
          <w:rStyle w:val="rom"/>
          <w:sz w:val="18"/>
          <w:szCs w:val="18"/>
        </w:rPr>
        <w:t>Magog</w:t>
      </w:r>
      <w:proofErr w:type="spellEnd"/>
      <w:r w:rsidRPr="00786C87">
        <w:rPr>
          <w:rStyle w:val="rom"/>
          <w:sz w:val="18"/>
          <w:szCs w:val="18"/>
        </w:rPr>
        <w:t xml:space="preserve">, and all the </w:t>
      </w:r>
      <w:proofErr w:type="spellStart"/>
      <w:r w:rsidRPr="00786C87">
        <w:rPr>
          <w:rStyle w:val="rom"/>
          <w:sz w:val="18"/>
          <w:szCs w:val="18"/>
        </w:rPr>
        <w:t>malignaunt</w:t>
      </w:r>
      <w:proofErr w:type="spellEnd"/>
      <w:r w:rsidRPr="00786C87">
        <w:rPr>
          <w:rStyle w:val="rom"/>
          <w:sz w:val="18"/>
          <w:szCs w:val="18"/>
        </w:rPr>
        <w:t xml:space="preserve"> rabble of Antichrist, enemies to thy </w:t>
      </w:r>
      <w:proofErr w:type="spellStart"/>
      <w:r w:rsidRPr="00786C87">
        <w:rPr>
          <w:rStyle w:val="rom"/>
          <w:sz w:val="18"/>
          <w:szCs w:val="18"/>
        </w:rPr>
        <w:t>sonne</w:t>
      </w:r>
      <w:proofErr w:type="spellEnd"/>
      <w:r w:rsidRPr="00786C87">
        <w:rPr>
          <w:rStyle w:val="rom"/>
          <w:sz w:val="18"/>
          <w:szCs w:val="18"/>
        </w:rPr>
        <w:t xml:space="preserve"> </w:t>
      </w:r>
      <w:proofErr w:type="spellStart"/>
      <w:r w:rsidRPr="00786C87">
        <w:rPr>
          <w:rStyle w:val="rom"/>
          <w:sz w:val="18"/>
          <w:szCs w:val="18"/>
        </w:rPr>
        <w:t>Iesus</w:t>
      </w:r>
      <w:proofErr w:type="spellEnd"/>
      <w:r w:rsidRPr="00786C87">
        <w:rPr>
          <w:rStyle w:val="rom"/>
          <w:sz w:val="18"/>
          <w:szCs w:val="18"/>
        </w:rPr>
        <w:t xml:space="preserve"> our Lord and </w:t>
      </w:r>
      <w:proofErr w:type="spellStart"/>
      <w:r w:rsidRPr="00786C87">
        <w:rPr>
          <w:rStyle w:val="rom"/>
          <w:sz w:val="18"/>
          <w:szCs w:val="18"/>
        </w:rPr>
        <w:t>Sauior</w:t>
      </w:r>
      <w:proofErr w:type="spellEnd"/>
      <w:r w:rsidRPr="00786C87">
        <w:rPr>
          <w:rStyle w:val="rom"/>
          <w:sz w:val="18"/>
          <w:szCs w:val="18"/>
        </w:rPr>
        <w:t xml:space="preserve">. </w:t>
      </w:r>
      <w:proofErr w:type="spellStart"/>
      <w:r w:rsidRPr="00786C87">
        <w:rPr>
          <w:rStyle w:val="rom"/>
          <w:sz w:val="18"/>
          <w:szCs w:val="18"/>
        </w:rPr>
        <w:t>Preuent</w:t>
      </w:r>
      <w:proofErr w:type="spellEnd"/>
      <w:r w:rsidRPr="00786C87">
        <w:rPr>
          <w:rStyle w:val="rom"/>
          <w:sz w:val="18"/>
          <w:szCs w:val="18"/>
        </w:rPr>
        <w:t xml:space="preserve"> their </w:t>
      </w:r>
      <w:proofErr w:type="spellStart"/>
      <w:r w:rsidRPr="00786C87">
        <w:rPr>
          <w:rStyle w:val="rom"/>
          <w:sz w:val="18"/>
          <w:szCs w:val="18"/>
        </w:rPr>
        <w:t>deuises</w:t>
      </w:r>
      <w:proofErr w:type="spellEnd"/>
      <w:r w:rsidRPr="00786C87">
        <w:rPr>
          <w:rStyle w:val="rom"/>
          <w:sz w:val="18"/>
          <w:szCs w:val="18"/>
        </w:rPr>
        <w:t xml:space="preserve">, </w:t>
      </w:r>
      <w:proofErr w:type="spellStart"/>
      <w:r w:rsidRPr="00786C87">
        <w:rPr>
          <w:rStyle w:val="rom"/>
          <w:sz w:val="18"/>
          <w:szCs w:val="18"/>
        </w:rPr>
        <w:t>ouerthrow</w:t>
      </w:r>
      <w:proofErr w:type="spellEnd"/>
      <w:r w:rsidRPr="00786C87">
        <w:rPr>
          <w:rStyle w:val="rom"/>
          <w:sz w:val="18"/>
          <w:szCs w:val="18"/>
        </w:rPr>
        <w:t xml:space="preserve"> their power, and </w:t>
      </w:r>
      <w:proofErr w:type="spellStart"/>
      <w:r w:rsidRPr="00786C87">
        <w:rPr>
          <w:rStyle w:val="rom"/>
          <w:sz w:val="18"/>
          <w:szCs w:val="18"/>
        </w:rPr>
        <w:t>dissolue</w:t>
      </w:r>
      <w:proofErr w:type="spellEnd"/>
      <w:r w:rsidRPr="00786C87">
        <w:rPr>
          <w:rStyle w:val="rom"/>
          <w:sz w:val="18"/>
          <w:szCs w:val="18"/>
        </w:rPr>
        <w:t xml:space="preserve"> their </w:t>
      </w:r>
      <w:proofErr w:type="spellStart"/>
      <w:r w:rsidRPr="00786C87">
        <w:rPr>
          <w:rStyle w:val="rom"/>
          <w:sz w:val="18"/>
          <w:szCs w:val="18"/>
        </w:rPr>
        <w:t>kingdome</w:t>
      </w:r>
      <w:proofErr w:type="spellEnd"/>
      <w:r w:rsidRPr="00786C87">
        <w:rPr>
          <w:rStyle w:val="rom"/>
          <w:sz w:val="18"/>
          <w:szCs w:val="18"/>
        </w:rPr>
        <w:t xml:space="preserve">, that the </w:t>
      </w:r>
      <w:proofErr w:type="spellStart"/>
      <w:r w:rsidRPr="00786C87">
        <w:rPr>
          <w:rStyle w:val="rom"/>
          <w:sz w:val="18"/>
          <w:szCs w:val="18"/>
        </w:rPr>
        <w:t>kingdome</w:t>
      </w:r>
      <w:proofErr w:type="spellEnd"/>
      <w:r w:rsidRPr="00786C87">
        <w:rPr>
          <w:rStyle w:val="rom"/>
          <w:sz w:val="18"/>
          <w:szCs w:val="18"/>
        </w:rPr>
        <w:t xml:space="preserve"> of thy </w:t>
      </w:r>
      <w:proofErr w:type="spellStart"/>
      <w:r w:rsidRPr="00786C87">
        <w:rPr>
          <w:rStyle w:val="rom"/>
          <w:sz w:val="18"/>
          <w:szCs w:val="18"/>
        </w:rPr>
        <w:t>sonne</w:t>
      </w:r>
      <w:proofErr w:type="spellEnd"/>
      <w:r w:rsidRPr="00786C87">
        <w:rPr>
          <w:rStyle w:val="rom"/>
          <w:sz w:val="18"/>
          <w:szCs w:val="18"/>
        </w:rPr>
        <w:t xml:space="preserve"> so long oppressed, may </w:t>
      </w:r>
      <w:proofErr w:type="spellStart"/>
      <w:r w:rsidRPr="00786C87">
        <w:rPr>
          <w:rStyle w:val="rom"/>
          <w:sz w:val="18"/>
          <w:szCs w:val="18"/>
        </w:rPr>
        <w:t>recouer</w:t>
      </w:r>
      <w:proofErr w:type="spellEnd"/>
      <w:r w:rsidRPr="00786C87">
        <w:rPr>
          <w:rStyle w:val="rom"/>
          <w:sz w:val="18"/>
          <w:szCs w:val="18"/>
        </w:rPr>
        <w:t xml:space="preserve"> and flourish </w:t>
      </w:r>
      <w:proofErr w:type="spellStart"/>
      <w:r w:rsidRPr="00786C87">
        <w:rPr>
          <w:rStyle w:val="rom"/>
          <w:sz w:val="18"/>
          <w:szCs w:val="18"/>
        </w:rPr>
        <w:t>ouer</w:t>
      </w:r>
      <w:proofErr w:type="spellEnd"/>
      <w:r w:rsidRPr="00786C87">
        <w:rPr>
          <w:rStyle w:val="rom"/>
          <w:sz w:val="18"/>
          <w:szCs w:val="18"/>
        </w:rPr>
        <w:t xml:space="preserve"> all.</w:t>
      </w:r>
      <w:r w:rsidRPr="00786C87">
        <w:rPr>
          <w:rStyle w:val="FootnoteReference"/>
          <w:sz w:val="18"/>
          <w:szCs w:val="18"/>
        </w:rPr>
        <w:footnoteReference w:id="18"/>
      </w:r>
    </w:p>
    <w:p w:rsidR="004D273E" w:rsidRDefault="004D273E" w:rsidP="00D230DF"/>
    <w:p w:rsidR="004D273E" w:rsidRDefault="004D273E" w:rsidP="00D230DF">
      <w:r>
        <w:t>In each case, the justification for war is the glory of Christianity through the destruction of its enemy. As we have seen, some scholars have supposed this form of justification to be nothing more than a convenient (and highly unnecessary) religious motif added to what was essentially a politi</w:t>
      </w:r>
      <w:r w:rsidR="000E7BEC">
        <w:t>cally-motivated proposal, and they</w:t>
      </w:r>
      <w:r>
        <w:t xml:space="preserve"> condemn Leibniz accordingly.</w:t>
      </w:r>
    </w:p>
    <w:p w:rsidR="00FB7A0F" w:rsidRDefault="004D273E" w:rsidP="00D230DF">
      <w:r>
        <w:tab/>
        <w:t>But this is to move too quickly.</w:t>
      </w:r>
      <w:r w:rsidR="006E06D9">
        <w:t xml:space="preserve"> For </w:t>
      </w:r>
      <w:r w:rsidR="001D0DA7">
        <w:t>in the “</w:t>
      </w:r>
      <w:proofErr w:type="spellStart"/>
      <w:r w:rsidR="001D0DA7">
        <w:t>Justa</w:t>
      </w:r>
      <w:proofErr w:type="spellEnd"/>
      <w:r w:rsidR="001D0DA7">
        <w:t xml:space="preserve"> </w:t>
      </w:r>
      <w:proofErr w:type="spellStart"/>
      <w:r w:rsidR="001D0DA7">
        <w:t>Dissertatio</w:t>
      </w:r>
      <w:proofErr w:type="spellEnd"/>
      <w:r w:rsidR="001D0DA7">
        <w:t xml:space="preserve">” </w:t>
      </w:r>
      <w:r w:rsidR="00677568">
        <w:t xml:space="preserve">Leibniz identifies </w:t>
      </w:r>
      <w:r w:rsidR="001D0DA7">
        <w:t xml:space="preserve">two further religious </w:t>
      </w:r>
      <w:r w:rsidR="006D7FEE">
        <w:t>benefits</w:t>
      </w:r>
      <w:r w:rsidR="001D0DA7">
        <w:t xml:space="preserve"> </w:t>
      </w:r>
      <w:r w:rsidR="00677568">
        <w:t>of</w:t>
      </w:r>
      <w:r w:rsidR="001D0DA7">
        <w:t xml:space="preserve"> a French invasion of Egypt, namely its ability to secure peace among the Christian nations of Europe, and its ability to bring about cooperation between Christians from all over the globe. These are typically neglected by commentators, and so are worth considering in some detail.</w:t>
      </w:r>
    </w:p>
    <w:p w:rsidR="00FA09BA" w:rsidRDefault="00E46F04" w:rsidP="00D230DF">
      <w:r>
        <w:tab/>
      </w:r>
      <w:r w:rsidR="001D0DA7">
        <w:t>First of all, let us consider Leibniz’s</w:t>
      </w:r>
      <w:r w:rsidR="008C31A1">
        <w:t xml:space="preserve"> </w:t>
      </w:r>
      <w:r w:rsidR="001D0DA7">
        <w:t>claim that the Egypt plan</w:t>
      </w:r>
      <w:r w:rsidR="008C31A1">
        <w:t xml:space="preserve"> w</w:t>
      </w:r>
      <w:r w:rsidR="001D0DA7">
        <w:t>ould</w:t>
      </w:r>
      <w:r w:rsidR="008C31A1">
        <w:t xml:space="preserve"> bring about peace in </w:t>
      </w:r>
      <w:r w:rsidR="00D66976">
        <w:t xml:space="preserve">Christian </w:t>
      </w:r>
      <w:r w:rsidR="008C31A1">
        <w:t>Europe.</w:t>
      </w:r>
      <w:r w:rsidR="00152FE2">
        <w:t xml:space="preserve"> </w:t>
      </w:r>
      <w:r w:rsidR="001D0DA7">
        <w:t>The claim is made after he draws</w:t>
      </w:r>
      <w:r w:rsidR="00152FE2">
        <w:t xml:space="preserve"> a very bleak picture of what </w:t>
      </w:r>
      <w:r w:rsidR="001D0DA7">
        <w:t xml:space="preserve">would </w:t>
      </w:r>
      <w:r w:rsidR="00152FE2">
        <w:t xml:space="preserve">likely happen if France </w:t>
      </w:r>
      <w:r w:rsidR="00D66976">
        <w:t>were to invade</w:t>
      </w:r>
      <w:r w:rsidR="00152FE2">
        <w:t xml:space="preserve"> Holland as </w:t>
      </w:r>
      <w:r w:rsidR="006D7FEE">
        <w:t>Louis intended</w:t>
      </w:r>
      <w:r w:rsidR="00152FE2">
        <w:t xml:space="preserve">: because of the pre-existing alliances and sympathies between its member states, </w:t>
      </w:r>
      <w:r w:rsidR="0022327B">
        <w:t xml:space="preserve">Leibniz suggests that </w:t>
      </w:r>
      <w:r w:rsidR="00152FE2">
        <w:t xml:space="preserve">Europe would </w:t>
      </w:r>
      <w:r w:rsidR="00677568">
        <w:t>probably</w:t>
      </w:r>
      <w:r w:rsidR="00152FE2">
        <w:t xml:space="preserve"> split into two great factions, with England, Portugal, Sweden and some of the German territories supporting the French, and Spain, Denmark and other German territories </w:t>
      </w:r>
      <w:r w:rsidR="004F3E4F">
        <w:t>(along with the Emperor) siding with Holland.</w:t>
      </w:r>
      <w:r w:rsidR="00152FE2">
        <w:rPr>
          <w:rStyle w:val="FootnoteReference"/>
        </w:rPr>
        <w:footnoteReference w:id="19"/>
      </w:r>
      <w:r w:rsidR="004F3E4F">
        <w:t xml:space="preserve"> The prospect </w:t>
      </w:r>
      <w:r w:rsidR="00D66976">
        <w:t>wa</w:t>
      </w:r>
      <w:r w:rsidR="004F3E4F">
        <w:t xml:space="preserve">s that of a long, bloody and ultimately unwinnable war that </w:t>
      </w:r>
      <w:r w:rsidR="00D66976">
        <w:t>would pitch</w:t>
      </w:r>
      <w:r w:rsidR="004F3E4F">
        <w:t xml:space="preserve"> Christian nation against Christian nation.</w:t>
      </w:r>
      <w:r w:rsidR="00DA140A">
        <w:t xml:space="preserve"> In contrast with this, </w:t>
      </w:r>
      <w:r w:rsidR="001D0DA7">
        <w:t xml:space="preserve">Leibniz explains, </w:t>
      </w:r>
      <w:r w:rsidR="00DA140A">
        <w:t>a war against the Turks “</w:t>
      </w:r>
      <w:r w:rsidR="00DA140A" w:rsidRPr="00DA140A">
        <w:t>is rightly in the interest of France, Austria, Italy, Spain, England, Sweden, Denmark, Poland, the Empire, Europe, and the Church,</w:t>
      </w:r>
      <w:r w:rsidR="00DA140A">
        <w:t>”</w:t>
      </w:r>
      <w:r w:rsidR="00A77040">
        <w:rPr>
          <w:rStyle w:val="FootnoteReference"/>
        </w:rPr>
        <w:footnoteReference w:id="20"/>
      </w:r>
      <w:r w:rsidR="00DA140A">
        <w:t xml:space="preserve"> </w:t>
      </w:r>
      <w:r w:rsidR="00A77040">
        <w:t>such that “</w:t>
      </w:r>
      <w:r w:rsidR="00A77040" w:rsidRPr="00A77040">
        <w:t>the interests of Christian Europe can be put in harmony with the interests of France</w:t>
      </w:r>
      <w:r w:rsidR="00A77040">
        <w:t>.”</w:t>
      </w:r>
      <w:r w:rsidR="00A77040">
        <w:rPr>
          <w:rStyle w:val="FootnoteReference"/>
        </w:rPr>
        <w:footnoteReference w:id="21"/>
      </w:r>
      <w:r w:rsidR="00A77040">
        <w:t xml:space="preserve"> </w:t>
      </w:r>
      <w:r w:rsidR="00677568">
        <w:t>Holland would be the lone exception to this unified front, because an invasion of Egypt would threaten her trading interests in the East. Consequently, should France invade Egypt, her actions would win approval from almost the whole of Christian Europe, with only the Dutch expected not to rally behind the French, which Leibniz suggested would be no great loss given the poor reputation of the Dutch among other European nations. Hence Leibniz writes, “</w:t>
      </w:r>
      <w:r w:rsidR="00677568" w:rsidRPr="00244DA0">
        <w:t>The invasion of Egypt would be fatal to the Turks, and would be applauded by Christians, so long as the Dutch alone are dispossessed</w:t>
      </w:r>
      <w:r w:rsidR="00677568">
        <w:t>,”</w:t>
      </w:r>
      <w:r w:rsidR="00677568">
        <w:rPr>
          <w:rStyle w:val="FootnoteReference"/>
        </w:rPr>
        <w:footnoteReference w:id="22"/>
      </w:r>
      <w:r w:rsidR="00677568">
        <w:t xml:space="preserve"> and as such “</w:t>
      </w:r>
      <w:r w:rsidR="00677568" w:rsidRPr="00122389">
        <w:t xml:space="preserve">the expedition against the Turks will be regarded not as satisfying its </w:t>
      </w:r>
      <w:r w:rsidR="00677568">
        <w:t xml:space="preserve">[France’s] </w:t>
      </w:r>
      <w:r w:rsidR="00677568" w:rsidRPr="00122389">
        <w:t xml:space="preserve">own </w:t>
      </w:r>
      <w:r w:rsidR="00677568" w:rsidRPr="00122389">
        <w:lastRenderedPageBreak/>
        <w:t>particular desires but as being for the benefit of Christ</w:t>
      </w:r>
      <w:r w:rsidR="00677568">
        <w:t>i</w:t>
      </w:r>
      <w:r w:rsidR="00677568" w:rsidRPr="00122389">
        <w:t>anity</w:t>
      </w:r>
      <w:r w:rsidR="00677568">
        <w:t>.”</w:t>
      </w:r>
      <w:r w:rsidR="00677568">
        <w:rPr>
          <w:rStyle w:val="FootnoteReference"/>
        </w:rPr>
        <w:footnoteReference w:id="23"/>
      </w:r>
      <w:r w:rsidR="00677568">
        <w:t xml:space="preserve"> Peace in Christian Europe would therefore be the likely outcome of the execution of the Egypt plan.</w:t>
      </w:r>
    </w:p>
    <w:p w:rsidR="00D230DF" w:rsidRDefault="00D230DF" w:rsidP="00D230DF">
      <w:r>
        <w:tab/>
        <w:t xml:space="preserve">This </w:t>
      </w:r>
      <w:r w:rsidR="00730DD1">
        <w:t>benefit</w:t>
      </w:r>
      <w:r>
        <w:t xml:space="preserve"> of the </w:t>
      </w:r>
      <w:r w:rsidR="003D2599">
        <w:t>plan</w:t>
      </w:r>
      <w:r>
        <w:t xml:space="preserve"> is worthy of note. While it was commonplace in the medieval and early modern mindset to connect European peace with holy war against the Turk, the order of the two was typically the reverse of that presented </w:t>
      </w:r>
      <w:r w:rsidR="003D2599">
        <w:t>in the “</w:t>
      </w:r>
      <w:proofErr w:type="spellStart"/>
      <w:r w:rsidR="003D2599">
        <w:t>Justa</w:t>
      </w:r>
      <w:proofErr w:type="spellEnd"/>
      <w:r w:rsidR="003D2599">
        <w:t xml:space="preserve"> </w:t>
      </w:r>
      <w:proofErr w:type="spellStart"/>
      <w:r w:rsidR="003D2599">
        <w:t>Dissertatio</w:t>
      </w:r>
      <w:proofErr w:type="spellEnd"/>
      <w:r>
        <w:t>.</w:t>
      </w:r>
      <w:r w:rsidR="003D2599">
        <w:t>”</w:t>
      </w:r>
      <w:r>
        <w:t xml:space="preserve"> From the eleventh century onwards, it was </w:t>
      </w:r>
      <w:r w:rsidR="003D2599">
        <w:t>often argued</w:t>
      </w:r>
      <w:r>
        <w:t xml:space="preserve"> that there should be peace in Europe in order to make war on the enemies of Christianity. In his speech which launched the First Crusade (1095), Pope Urban II is recorded as urging that truce between European neighbours be kept in order to focus efforts on retaking the Holy Land.</w:t>
      </w:r>
      <w:r>
        <w:rPr>
          <w:rStyle w:val="FootnoteReference"/>
        </w:rPr>
        <w:footnoteReference w:id="24"/>
      </w:r>
      <w:r>
        <w:t xml:space="preserve"> In the centuries that followed, European peace came to be seen as a precondition of a successful war with the Turks. Accordingly, to assist with the prosecution of the Fifth Crusade, the 71</w:t>
      </w:r>
      <w:r w:rsidRPr="005C793E">
        <w:rPr>
          <w:vertAlign w:val="superscript"/>
        </w:rPr>
        <w:t>st</w:t>
      </w:r>
      <w:r>
        <w:t xml:space="preserve"> decree of the Fourth Lateran Council (1215) gave the following order:</w:t>
      </w:r>
    </w:p>
    <w:p w:rsidR="00D230DF" w:rsidRDefault="00D230DF" w:rsidP="00D230DF"/>
    <w:p w:rsidR="00D230DF" w:rsidRPr="00786C87" w:rsidRDefault="00D230DF" w:rsidP="00786C87">
      <w:pPr>
        <w:rPr>
          <w:sz w:val="18"/>
          <w:szCs w:val="18"/>
        </w:rPr>
      </w:pPr>
      <w:r w:rsidRPr="00786C87">
        <w:rPr>
          <w:sz w:val="18"/>
          <w:szCs w:val="18"/>
        </w:rPr>
        <w:t xml:space="preserve">But, since for the success of this undertaking [i.e. the Fifth Crusade] it is above all else necessary that princes and Christian people maintain peace among themselves, we decree with the advice of the holy council that for four years peace be observed in the whole Christian world, so that through the prelates discordant elements may be brought together in the </w:t>
      </w:r>
      <w:proofErr w:type="spellStart"/>
      <w:r w:rsidRPr="00786C87">
        <w:rPr>
          <w:sz w:val="18"/>
          <w:szCs w:val="18"/>
        </w:rPr>
        <w:t>fulness</w:t>
      </w:r>
      <w:proofErr w:type="spellEnd"/>
      <w:r w:rsidRPr="00786C87">
        <w:rPr>
          <w:sz w:val="18"/>
          <w:szCs w:val="18"/>
        </w:rPr>
        <w:t xml:space="preserve"> of peace, or at least to the strict observance of the truce.</w:t>
      </w:r>
      <w:r w:rsidRPr="00786C87">
        <w:rPr>
          <w:rStyle w:val="FootnoteReference"/>
          <w:sz w:val="18"/>
          <w:szCs w:val="18"/>
        </w:rPr>
        <w:footnoteReference w:id="25"/>
      </w:r>
    </w:p>
    <w:p w:rsidR="00D230DF" w:rsidRDefault="00D230DF" w:rsidP="00D230DF"/>
    <w:p w:rsidR="00D230DF" w:rsidRDefault="00D230DF" w:rsidP="00D230DF">
      <w:r>
        <w:t>Similar thoughts were expressed in 1305-</w:t>
      </w:r>
      <w:r w:rsidR="0085778D">
        <w:t>130</w:t>
      </w:r>
      <w:r>
        <w:t>7 by Pierre Dubois,</w:t>
      </w:r>
      <w:r>
        <w:rPr>
          <w:rStyle w:val="FootnoteReference"/>
        </w:rPr>
        <w:footnoteReference w:id="26"/>
      </w:r>
      <w:r>
        <w:t xml:space="preserve"> in 1575 by Thomas Newton,</w:t>
      </w:r>
      <w:r>
        <w:rPr>
          <w:rStyle w:val="FootnoteReference"/>
        </w:rPr>
        <w:footnoteReference w:id="27"/>
      </w:r>
      <w:r>
        <w:t xml:space="preserve"> and </w:t>
      </w:r>
      <w:r w:rsidR="00B419D4">
        <w:t xml:space="preserve">in </w:t>
      </w:r>
      <w:r>
        <w:t>1638 by the Duke of Sully,</w:t>
      </w:r>
      <w:r>
        <w:rPr>
          <w:rStyle w:val="FootnoteReference"/>
        </w:rPr>
        <w:footnoteReference w:id="28"/>
      </w:r>
      <w:r>
        <w:t xml:space="preserve"> each insisting </w:t>
      </w:r>
      <w:r w:rsidRPr="00802BB7">
        <w:t xml:space="preserve">that </w:t>
      </w:r>
      <w:r>
        <w:t xml:space="preserve">the </w:t>
      </w:r>
      <w:r w:rsidRPr="00802BB7">
        <w:t>Europe</w:t>
      </w:r>
      <w:r>
        <w:t>an states should stop their</w:t>
      </w:r>
      <w:r w:rsidRPr="00802BB7">
        <w:t xml:space="preserve"> in-fighting </w:t>
      </w:r>
      <w:r>
        <w:t>so that they could turn their</w:t>
      </w:r>
      <w:r w:rsidRPr="00802BB7">
        <w:t xml:space="preserve"> gaze back to </w:t>
      </w:r>
      <w:r>
        <w:t>their</w:t>
      </w:r>
      <w:r w:rsidRPr="00802BB7">
        <w:t xml:space="preserve"> traditional enemies </w:t>
      </w:r>
      <w:r>
        <w:t>–</w:t>
      </w:r>
      <w:r w:rsidRPr="00802BB7">
        <w:t xml:space="preserve"> the</w:t>
      </w:r>
      <w:r>
        <w:t xml:space="preserve"> </w:t>
      </w:r>
      <w:r w:rsidRPr="00802BB7">
        <w:t>barbarian and infidel.</w:t>
      </w:r>
      <w:r>
        <w:t xml:space="preserve"> Hence, from the advent of the Crusades all the way to the seventeenth century, peace in Christian Europe was proposed in order to wage war with the Turks. Conversely, Leibniz’s plan proposes war with the Turks in order to make peace in Christian Europe. As such, Leibniz turns the old crusader logic on its head. He does this by supposing that a holy war with the Turks would galvanise the leaders of European territories into putting their differences aside and working together, spurred on by public opinion, which would be overwhelmingly in favour of such a war. France is therefore assured that its operations against the Turks would not be unilateral for long, as Leibniz all but promises that the other European territories would support it once its designs are clear.</w:t>
      </w:r>
    </w:p>
    <w:p w:rsidR="0001589D" w:rsidRDefault="009E2768" w:rsidP="00D230DF">
      <w:r>
        <w:tab/>
      </w:r>
      <w:r w:rsidR="001D0DA7">
        <w:t>As noted above,</w:t>
      </w:r>
      <w:r w:rsidR="0022327B">
        <w:t xml:space="preserve"> in the “</w:t>
      </w:r>
      <w:proofErr w:type="spellStart"/>
      <w:r w:rsidR="0022327B">
        <w:t>Justa</w:t>
      </w:r>
      <w:proofErr w:type="spellEnd"/>
      <w:r w:rsidR="0022327B">
        <w:t xml:space="preserve"> </w:t>
      </w:r>
      <w:proofErr w:type="spellStart"/>
      <w:r w:rsidR="0022327B">
        <w:t>Dissertatio</w:t>
      </w:r>
      <w:proofErr w:type="spellEnd"/>
      <w:r w:rsidR="0022327B">
        <w:t>”</w:t>
      </w:r>
      <w:r w:rsidR="004A3A24">
        <w:t xml:space="preserve"> Leibniz identifies </w:t>
      </w:r>
      <w:r w:rsidR="0022327B">
        <w:t>a</w:t>
      </w:r>
      <w:r>
        <w:t xml:space="preserve"> further ecumenical benefit of the Egypt plan, namely that the invasion would lead to </w:t>
      </w:r>
      <w:r w:rsidR="009F4AD4">
        <w:rPr>
          <w:rFonts w:cs="Times New Roman"/>
          <w:szCs w:val="24"/>
        </w:rPr>
        <w:t xml:space="preserve">the close co-operation of Christians of different nationalities and sects, </w:t>
      </w:r>
      <w:r>
        <w:rPr>
          <w:rFonts w:cs="Times New Roman"/>
          <w:szCs w:val="24"/>
        </w:rPr>
        <w:t xml:space="preserve">not just </w:t>
      </w:r>
      <w:r w:rsidR="009F4AD4">
        <w:rPr>
          <w:rFonts w:cs="Times New Roman"/>
          <w:szCs w:val="24"/>
        </w:rPr>
        <w:t>within Europe</w:t>
      </w:r>
      <w:r w:rsidR="0001589D">
        <w:rPr>
          <w:rFonts w:cs="Times New Roman"/>
          <w:szCs w:val="24"/>
        </w:rPr>
        <w:t>,</w:t>
      </w:r>
      <w:r w:rsidR="009F4AD4">
        <w:rPr>
          <w:rFonts w:cs="Times New Roman"/>
          <w:szCs w:val="24"/>
        </w:rPr>
        <w:t xml:space="preserve"> </w:t>
      </w:r>
      <w:r>
        <w:rPr>
          <w:rFonts w:cs="Times New Roman"/>
          <w:szCs w:val="24"/>
        </w:rPr>
        <w:t xml:space="preserve">but also in </w:t>
      </w:r>
      <w:r w:rsidR="009F4AD4">
        <w:rPr>
          <w:rFonts w:cs="Times New Roman"/>
          <w:szCs w:val="24"/>
        </w:rPr>
        <w:t>Africa</w:t>
      </w:r>
      <w:r w:rsidR="0001589D">
        <w:rPr>
          <w:rFonts w:cs="Times New Roman"/>
          <w:szCs w:val="24"/>
        </w:rPr>
        <w:t xml:space="preserve"> and even Asia.</w:t>
      </w:r>
      <w:r>
        <w:rPr>
          <w:rFonts w:cs="Times New Roman"/>
          <w:szCs w:val="24"/>
        </w:rPr>
        <w:t xml:space="preserve"> </w:t>
      </w:r>
      <w:r w:rsidR="00D66976">
        <w:t>Here</w:t>
      </w:r>
      <w:r>
        <w:t xml:space="preserve">, </w:t>
      </w:r>
      <w:r w:rsidR="0085033B">
        <w:t xml:space="preserve">Leibniz </w:t>
      </w:r>
      <w:r w:rsidR="0001589D">
        <w:t>envisions Christians across the Turkish Empire rising up against their oppressors, and consequently assisting the French against the infidel.</w:t>
      </w:r>
      <w:r w:rsidR="0001589D">
        <w:rPr>
          <w:rStyle w:val="FootnoteReference"/>
        </w:rPr>
        <w:footnoteReference w:id="29"/>
      </w:r>
      <w:r w:rsidR="0001589D">
        <w:t xml:space="preserve"> </w:t>
      </w:r>
      <w:r w:rsidR="00D66976">
        <w:t>T</w:t>
      </w:r>
      <w:r w:rsidR="0001589D">
        <w:t xml:space="preserve">his was not </w:t>
      </w:r>
      <w:r w:rsidR="00D66976">
        <w:t>token assistance</w:t>
      </w:r>
      <w:r w:rsidR="0001589D">
        <w:t xml:space="preserve"> either, as Leibniz believed that Christians formed at least a third of the Turkish Empire of his day.</w:t>
      </w:r>
      <w:r w:rsidR="0001589D">
        <w:rPr>
          <w:rStyle w:val="FootnoteReference"/>
        </w:rPr>
        <w:footnoteReference w:id="30"/>
      </w:r>
      <w:r w:rsidR="0001589D">
        <w:t xml:space="preserve"> H</w:t>
      </w:r>
      <w:r w:rsidR="009C1008">
        <w:t>e explains that the French troops which seized Cairo would be supported by the local Christians, “who fill at least half of the city.”</w:t>
      </w:r>
      <w:r w:rsidR="009C1008">
        <w:rPr>
          <w:rStyle w:val="FootnoteReference"/>
        </w:rPr>
        <w:footnoteReference w:id="31"/>
      </w:r>
      <w:r w:rsidR="009C1008">
        <w:t xml:space="preserve"> Moreover, once the </w:t>
      </w:r>
      <w:r w:rsidR="009C1008">
        <w:lastRenderedPageBreak/>
        <w:t>invasion is complete, “</w:t>
      </w:r>
      <w:r w:rsidR="009C1008" w:rsidRPr="00C136B4">
        <w:t xml:space="preserve">Christians subject to the Turks, along with neighbouring Ethiopians, </w:t>
      </w:r>
      <w:proofErr w:type="spellStart"/>
      <w:r w:rsidR="009C1008" w:rsidRPr="00C136B4">
        <w:t>Numidians</w:t>
      </w:r>
      <w:proofErr w:type="spellEnd"/>
      <w:r w:rsidR="009C1008" w:rsidRPr="00C136B4">
        <w:t>, and Arabs hostile to the Turks</w:t>
      </w:r>
      <w:r w:rsidR="009C1008">
        <w:t>,</w:t>
      </w:r>
      <w:r w:rsidR="009C1008" w:rsidRPr="00C136B4">
        <w:t xml:space="preserve"> will join with us</w:t>
      </w:r>
      <w:r w:rsidR="009C1008">
        <w:t>.</w:t>
      </w:r>
      <w:r w:rsidR="0001589D">
        <w:t>”</w:t>
      </w:r>
      <w:r w:rsidR="009C1008">
        <w:rPr>
          <w:rStyle w:val="FootnoteReference"/>
        </w:rPr>
        <w:footnoteReference w:id="32"/>
      </w:r>
    </w:p>
    <w:p w:rsidR="00756176" w:rsidRDefault="009E2768" w:rsidP="00D230DF">
      <w:pPr>
        <w:ind w:firstLine="720"/>
      </w:pPr>
      <w:r>
        <w:t xml:space="preserve">Developing the theme, </w:t>
      </w:r>
      <w:r w:rsidR="009C1008">
        <w:t>Leibniz goes into considerable detail identifying Christian populations in the wider region, e.g. in Bulgaria, Greece, Bosnia, as well as in the East, such as in Syria, Mesopotamia, Kurdistan etc.</w:t>
      </w:r>
      <w:r w:rsidR="0001589D">
        <w:t xml:space="preserve">, presenting them as </w:t>
      </w:r>
      <w:r>
        <w:t>likely</w:t>
      </w:r>
      <w:r w:rsidR="0001589D">
        <w:t xml:space="preserve"> allies to the French.</w:t>
      </w:r>
      <w:r w:rsidR="009C1008">
        <w:rPr>
          <w:rStyle w:val="FootnoteReference"/>
        </w:rPr>
        <w:footnoteReference w:id="33"/>
      </w:r>
      <w:r w:rsidR="009C1008">
        <w:t xml:space="preserve"> </w:t>
      </w:r>
      <w:r w:rsidR="0001589D">
        <w:t xml:space="preserve">He explains, for example, </w:t>
      </w:r>
      <w:r w:rsidR="009C1008">
        <w:t>that the Christians in Albania – although belonging to a different branch of Christianity – would follow the French in rising up against the Turks.</w:t>
      </w:r>
      <w:r w:rsidR="009C1008">
        <w:rPr>
          <w:rStyle w:val="FootnoteReference"/>
        </w:rPr>
        <w:footnoteReference w:id="34"/>
      </w:r>
      <w:r w:rsidR="000A2EF2">
        <w:t xml:space="preserve"> </w:t>
      </w:r>
      <w:r w:rsidR="00451DA2">
        <w:t xml:space="preserve">The picture Leibniz paints, then, is of a potential Christian army </w:t>
      </w:r>
      <w:r w:rsidR="0022327B">
        <w:t xml:space="preserve">spread </w:t>
      </w:r>
      <w:r w:rsidR="00451DA2">
        <w:t xml:space="preserve">across </w:t>
      </w:r>
      <w:r w:rsidR="00D66976">
        <w:t xml:space="preserve">mainland </w:t>
      </w:r>
      <w:r w:rsidR="00451DA2">
        <w:t>Europe, Africa and Asia that just need</w:t>
      </w:r>
      <w:r w:rsidR="009F4332">
        <w:t>ed</w:t>
      </w:r>
      <w:r w:rsidR="00451DA2">
        <w:t xml:space="preserve"> the catalyst of a French invasion of Egypt to band together and fight as one. </w:t>
      </w:r>
      <w:r w:rsidR="0093400D">
        <w:t>Although t</w:t>
      </w:r>
      <w:r w:rsidR="000A2EF2">
        <w:t xml:space="preserve">he thought that a French invasion of Egypt would trigger widespread co-operation and collaboration among Christians, both of Europe and the East, is </w:t>
      </w:r>
      <w:r w:rsidR="0001589D">
        <w:t xml:space="preserve">a motif that recurs throughout the </w:t>
      </w:r>
      <w:r w:rsidR="00A936A7">
        <w:t>“</w:t>
      </w:r>
      <w:proofErr w:type="spellStart"/>
      <w:r w:rsidR="000A2EF2" w:rsidRPr="00A936A7">
        <w:t>Justa</w:t>
      </w:r>
      <w:proofErr w:type="spellEnd"/>
      <w:r w:rsidR="000A2EF2" w:rsidRPr="00A936A7">
        <w:t xml:space="preserve"> </w:t>
      </w:r>
      <w:proofErr w:type="spellStart"/>
      <w:r w:rsidR="000A2EF2" w:rsidRPr="00A936A7">
        <w:t>Dissertatio</w:t>
      </w:r>
      <w:proofErr w:type="spellEnd"/>
      <w:r w:rsidR="0093400D">
        <w:t>,</w:t>
      </w:r>
      <w:r w:rsidR="00A936A7">
        <w:t>”</w:t>
      </w:r>
      <w:r w:rsidR="008A23A3">
        <w:t xml:space="preserve"> </w:t>
      </w:r>
      <w:r w:rsidR="0093400D">
        <w:t>i</w:t>
      </w:r>
      <w:r w:rsidR="008A23A3">
        <w:t>t is not a traditional theme in the Christian holy war tradition, and may even be peculiar to Leibniz.</w:t>
      </w:r>
      <w:r w:rsidR="00D66976">
        <w:t xml:space="preserve"> </w:t>
      </w:r>
      <w:r w:rsidR="00EB2F6C">
        <w:t xml:space="preserve">While </w:t>
      </w:r>
      <w:r w:rsidR="00756176">
        <w:t>it was not uncommon for</w:t>
      </w:r>
      <w:r w:rsidR="00EB2F6C">
        <w:t xml:space="preserve"> Christian authors </w:t>
      </w:r>
      <w:r w:rsidR="004E3E2F">
        <w:t xml:space="preserve">who </w:t>
      </w:r>
      <w:r w:rsidR="00EB2F6C">
        <w:t>call</w:t>
      </w:r>
      <w:r w:rsidR="004E3E2F">
        <w:t>ed</w:t>
      </w:r>
      <w:r w:rsidR="00EB2F6C">
        <w:t xml:space="preserve"> for</w:t>
      </w:r>
      <w:r w:rsidR="00A22AB8">
        <w:t xml:space="preserve"> holy war with the Turks </w:t>
      </w:r>
      <w:r w:rsidR="00756176">
        <w:t>to</w:t>
      </w:r>
      <w:r w:rsidR="00A22AB8">
        <w:t xml:space="preserve"> mention Christian populations in Turkish lands, </w:t>
      </w:r>
      <w:r w:rsidR="00756176">
        <w:t xml:space="preserve">they typically did so </w:t>
      </w:r>
      <w:r w:rsidR="00DC4769">
        <w:t>in order to call for the liberation of</w:t>
      </w:r>
      <w:r w:rsidR="00756176">
        <w:t xml:space="preserve"> these populations </w:t>
      </w:r>
      <w:r w:rsidR="00DC4769">
        <w:t>rather than see them as potential recruits to a broad Christian army.</w:t>
      </w:r>
    </w:p>
    <w:p w:rsidR="00A936A7" w:rsidRDefault="00A936A7" w:rsidP="00D230DF">
      <w:pPr>
        <w:ind w:firstLine="720"/>
      </w:pPr>
      <w:r>
        <w:t>I</w:t>
      </w:r>
      <w:r w:rsidR="004A3A24">
        <w:t>t is notable that i</w:t>
      </w:r>
      <w:r>
        <w:t>n the “</w:t>
      </w:r>
      <w:proofErr w:type="spellStart"/>
      <w:r>
        <w:t>Justa</w:t>
      </w:r>
      <w:proofErr w:type="spellEnd"/>
      <w:r>
        <w:t xml:space="preserve"> </w:t>
      </w:r>
      <w:proofErr w:type="spellStart"/>
      <w:r>
        <w:t>Dissertatio</w:t>
      </w:r>
      <w:proofErr w:type="spellEnd"/>
      <w:r>
        <w:t xml:space="preserve">,” Leibniz’s vision is entirely focused on the short-term, inasmuch as he says nothing at all about how the </w:t>
      </w:r>
      <w:r w:rsidR="0093400D">
        <w:t>anticipated</w:t>
      </w:r>
      <w:r w:rsidR="00140C22">
        <w:t xml:space="preserve"> unity</w:t>
      </w:r>
      <w:r>
        <w:t xml:space="preserve"> between Christian nations and populations</w:t>
      </w:r>
      <w:r w:rsidR="007736B5">
        <w:t xml:space="preserve"> could be maintained after the Turkish Empire had been defeated. Given the different denominations involved, and their history of mutual suspicion and enmity, this might seem a very peculiar oversight. But </w:t>
      </w:r>
      <w:r w:rsidR="00775D77">
        <w:t>Leibniz himself may not have thought so,</w:t>
      </w:r>
      <w:r w:rsidR="007736B5">
        <w:t xml:space="preserve"> for even in his youth </w:t>
      </w:r>
      <w:r w:rsidR="00775D77">
        <w:t>he</w:t>
      </w:r>
      <w:r w:rsidR="007736B5">
        <w:t xml:space="preserve"> was overly optimistic about the prospects of harmonising the denominations. Where others saw chasms, he saw narrow gaps, and it would not be incorrect to say that, in his mind, the religious differences between the different branches of Christianity were neither big nor insurmountable. Indeed, in the years preceding the composition of the Egypt plan, he had </w:t>
      </w:r>
      <w:r w:rsidR="00775D77">
        <w:t>been working on</w:t>
      </w:r>
      <w:r w:rsidR="007736B5">
        <w:t xml:space="preserve"> the </w:t>
      </w:r>
      <w:r w:rsidR="004D027E">
        <w:t xml:space="preserve">so-called </w:t>
      </w:r>
      <w:r w:rsidR="007736B5">
        <w:t xml:space="preserve">“Catholic Demonstrations” </w:t>
      </w:r>
      <w:r w:rsidR="004D027E">
        <w:t xml:space="preserve">project </w:t>
      </w:r>
      <w:r w:rsidR="007736B5">
        <w:t>that was designed to eliminate disagreement amongst Christians in matters of doctrine.</w:t>
      </w:r>
      <w:r w:rsidR="00140C22">
        <w:rPr>
          <w:rStyle w:val="FootnoteReference"/>
        </w:rPr>
        <w:footnoteReference w:id="35"/>
      </w:r>
      <w:r w:rsidR="007736B5">
        <w:t xml:space="preserve"> The fact that the “</w:t>
      </w:r>
      <w:proofErr w:type="spellStart"/>
      <w:r w:rsidR="007736B5">
        <w:t>Justa</w:t>
      </w:r>
      <w:proofErr w:type="spellEnd"/>
      <w:r w:rsidR="007736B5">
        <w:t xml:space="preserve"> </w:t>
      </w:r>
      <w:proofErr w:type="spellStart"/>
      <w:r w:rsidR="007736B5">
        <w:t>Dissertatio</w:t>
      </w:r>
      <w:proofErr w:type="spellEnd"/>
      <w:r w:rsidR="007736B5">
        <w:t xml:space="preserve">” says nothing about how the newly-united Christian nations and groups could maintain their unity after crushing the Turks may therefore have owed as much to his confidence in the powers of the “Catholic Demonstrations” as it did to any constitutional difficulty he may have had </w:t>
      </w:r>
      <w:r w:rsidR="000A56F5">
        <w:t>in acknowledging</w:t>
      </w:r>
      <w:r w:rsidR="007736B5">
        <w:t xml:space="preserve"> the depth of the divisions between them.</w:t>
      </w:r>
    </w:p>
    <w:p w:rsidR="00590985" w:rsidRDefault="00590985" w:rsidP="00D230DF"/>
    <w:p w:rsidR="00D71903" w:rsidRPr="0057066F" w:rsidRDefault="0057066F" w:rsidP="00D230DF">
      <w:pPr>
        <w:jc w:val="center"/>
        <w:rPr>
          <w:b/>
        </w:rPr>
      </w:pPr>
      <w:r w:rsidRPr="0057066F">
        <w:rPr>
          <w:b/>
        </w:rPr>
        <w:t>II</w:t>
      </w:r>
    </w:p>
    <w:p w:rsidR="008F6E7D" w:rsidRDefault="007E3D54" w:rsidP="00D230DF">
      <w:r>
        <w:t>I</w:t>
      </w:r>
      <w:r w:rsidR="008F6E7D">
        <w:t>n</w:t>
      </w:r>
      <w:r>
        <w:t xml:space="preserve"> the</w:t>
      </w:r>
      <w:r w:rsidR="008F6E7D">
        <w:t xml:space="preserve"> “</w:t>
      </w:r>
      <w:proofErr w:type="spellStart"/>
      <w:r w:rsidR="008F6E7D">
        <w:t>Justa</w:t>
      </w:r>
      <w:proofErr w:type="spellEnd"/>
      <w:r w:rsidR="008F6E7D">
        <w:t xml:space="preserve"> </w:t>
      </w:r>
      <w:proofErr w:type="spellStart"/>
      <w:r w:rsidR="008F6E7D">
        <w:t>Dissertatio</w:t>
      </w:r>
      <w:proofErr w:type="spellEnd"/>
      <w:r>
        <w:t>,</w:t>
      </w:r>
      <w:r w:rsidR="008F6E7D">
        <w:t xml:space="preserve">” </w:t>
      </w:r>
      <w:r>
        <w:t>then,</w:t>
      </w:r>
      <w:r w:rsidR="00655127">
        <w:t xml:space="preserve"> </w:t>
      </w:r>
      <w:r w:rsidR="008F6E7D">
        <w:t>Leibniz</w:t>
      </w:r>
      <w:r w:rsidR="008A2DE8">
        <w:t xml:space="preserve"> identifies three </w:t>
      </w:r>
      <w:r>
        <w:t xml:space="preserve">religious </w:t>
      </w:r>
      <w:r w:rsidR="008A2DE8">
        <w:t xml:space="preserve">benefits of the Egypt plan, namely that it would </w:t>
      </w:r>
      <w:r>
        <w:t>(a)</w:t>
      </w:r>
      <w:r w:rsidR="008F6E7D">
        <w:t xml:space="preserve"> enhance the glory of Christianity through the defeat of its foe, </w:t>
      </w:r>
      <w:r>
        <w:t xml:space="preserve">(b) </w:t>
      </w:r>
      <w:r w:rsidR="008F6E7D">
        <w:t>secure peace in Christian Europe</w:t>
      </w:r>
      <w:r w:rsidR="00655127">
        <w:t xml:space="preserve">, and </w:t>
      </w:r>
      <w:r>
        <w:t xml:space="preserve">(c) </w:t>
      </w:r>
      <w:r w:rsidR="008F6E7D">
        <w:t xml:space="preserve">bring about cooperation between Christians all over the globe. </w:t>
      </w:r>
      <w:r w:rsidR="00876E5D">
        <w:t xml:space="preserve">In addition to the </w:t>
      </w:r>
      <w:r w:rsidR="004D273E">
        <w:t>desideratum of destroying the Turks in a holy war</w:t>
      </w:r>
      <w:r w:rsidR="00876E5D">
        <w:t>, th</w:t>
      </w:r>
      <w:r w:rsidR="008F6E7D">
        <w:t>e</w:t>
      </w:r>
      <w:r w:rsidR="00655127">
        <w:t>re is thus a clear</w:t>
      </w:r>
      <w:r w:rsidR="008F6E7D">
        <w:t xml:space="preserve"> ecumenical </w:t>
      </w:r>
      <w:r w:rsidR="00655127">
        <w:t xml:space="preserve">streak </w:t>
      </w:r>
      <w:r w:rsidR="004D273E">
        <w:t>discernible in the text</w:t>
      </w:r>
      <w:r w:rsidR="008F6E7D">
        <w:t>.</w:t>
      </w:r>
    </w:p>
    <w:p w:rsidR="008F6E7D" w:rsidRDefault="008F6E7D" w:rsidP="00D230DF">
      <w:r>
        <w:tab/>
      </w:r>
      <w:r w:rsidR="004F4F60">
        <w:t xml:space="preserve">But while all three </w:t>
      </w:r>
      <w:r w:rsidR="008A2DE8">
        <w:t>claims</w:t>
      </w:r>
      <w:r w:rsidR="004F4F60">
        <w:t xml:space="preserve"> can be found in the “</w:t>
      </w:r>
      <w:proofErr w:type="spellStart"/>
      <w:r w:rsidR="004F4F60">
        <w:t>Justa</w:t>
      </w:r>
      <w:proofErr w:type="spellEnd"/>
      <w:r w:rsidR="004F4F60">
        <w:t xml:space="preserve"> </w:t>
      </w:r>
      <w:proofErr w:type="spellStart"/>
      <w:r w:rsidR="004F4F60">
        <w:t>Dissertatio</w:t>
      </w:r>
      <w:proofErr w:type="spellEnd"/>
      <w:r w:rsidR="004F4F60">
        <w:t>,” it is not yet clear that any or all of them faithfully coincide with Leibniz’s own</w:t>
      </w:r>
      <w:r>
        <w:t xml:space="preserve"> beliefs. </w:t>
      </w:r>
      <w:r w:rsidR="004F4F60">
        <w:t xml:space="preserve">Indeed, one might suppose that taking Leibniz’s remarks at face value </w:t>
      </w:r>
      <w:r>
        <w:t xml:space="preserve">is highly problematic, not least because the diplomatic aims of the Egypt plan may have prompted </w:t>
      </w:r>
      <w:r w:rsidR="004F4F60">
        <w:t>him</w:t>
      </w:r>
      <w:r>
        <w:t xml:space="preserve"> to make claims that were not his own, in an effort to ensure the plan would be warmly received by the French king. Patrick Riley takes this line when he writes:</w:t>
      </w:r>
    </w:p>
    <w:p w:rsidR="008F6E7D" w:rsidRDefault="008F6E7D" w:rsidP="00D230DF"/>
    <w:p w:rsidR="001F1057" w:rsidRPr="00786C87" w:rsidRDefault="008F6E7D" w:rsidP="00786C87">
      <w:pPr>
        <w:rPr>
          <w:sz w:val="18"/>
          <w:szCs w:val="18"/>
        </w:rPr>
      </w:pPr>
      <w:r w:rsidRPr="00786C87">
        <w:rPr>
          <w:sz w:val="18"/>
          <w:szCs w:val="18"/>
        </w:rPr>
        <w:lastRenderedPageBreak/>
        <w:t xml:space="preserve">A strange piece, the </w:t>
      </w:r>
      <w:proofErr w:type="spellStart"/>
      <w:r w:rsidRPr="00786C87">
        <w:rPr>
          <w:i/>
          <w:sz w:val="18"/>
          <w:szCs w:val="18"/>
        </w:rPr>
        <w:t>Consilium</w:t>
      </w:r>
      <w:proofErr w:type="spellEnd"/>
      <w:r w:rsidRPr="00786C87">
        <w:rPr>
          <w:i/>
          <w:sz w:val="18"/>
          <w:szCs w:val="18"/>
        </w:rPr>
        <w:t xml:space="preserve"> </w:t>
      </w:r>
      <w:proofErr w:type="spellStart"/>
      <w:r w:rsidRPr="00786C87">
        <w:rPr>
          <w:i/>
          <w:sz w:val="18"/>
          <w:szCs w:val="18"/>
        </w:rPr>
        <w:t>Aegyptiacum</w:t>
      </w:r>
      <w:proofErr w:type="spellEnd"/>
      <w:r w:rsidRPr="00786C87">
        <w:rPr>
          <w:sz w:val="18"/>
          <w:szCs w:val="18"/>
        </w:rPr>
        <w:t>! It wavers between antique violence and Christian charity in a way that can be explained only by its immediate practical purpose—to flatter Louis XIV into imitating Alexander [the Great] while not completely forgetting Christ.</w:t>
      </w:r>
      <w:r w:rsidR="001F1057" w:rsidRPr="00786C87">
        <w:rPr>
          <w:rStyle w:val="FootnoteReference"/>
          <w:sz w:val="18"/>
          <w:szCs w:val="18"/>
        </w:rPr>
        <w:footnoteReference w:id="36"/>
      </w:r>
    </w:p>
    <w:p w:rsidR="001F1057" w:rsidRDefault="001F1057" w:rsidP="00D230DF"/>
    <w:p w:rsidR="001F1057" w:rsidRDefault="001F1057" w:rsidP="00D230DF">
      <w:r>
        <w:t>The dangers of taking the Egypt plan as a reliable indicator of Leibniz’s views have been highlighted by Daniel J. Cook, who points out that the plan contains a number of bigoted remarks about the Dutch which are not found elsewhere in Leibniz’s work.</w:t>
      </w:r>
      <w:r>
        <w:rPr>
          <w:rStyle w:val="FootnoteReference"/>
        </w:rPr>
        <w:footnoteReference w:id="37"/>
      </w:r>
      <w:r>
        <w:t xml:space="preserve"> This suggests, according to Cook, that Leibniz was prepared to make claims he himself did not accept in order to ingratiate himself with the French King, whom Leibniz could reasonably expect to harbour anti-Dutch sentiment given his desire to invade Holland. This might make us wonder whether the </w:t>
      </w:r>
      <w:r w:rsidR="00197BF3">
        <w:t xml:space="preserve">claimed </w:t>
      </w:r>
      <w:r>
        <w:t xml:space="preserve">religious </w:t>
      </w:r>
      <w:r w:rsidR="000772C7">
        <w:t>benefits</w:t>
      </w:r>
      <w:r>
        <w:t xml:space="preserve"> of the Egypt plan were cut from the same </w:t>
      </w:r>
      <w:proofErr w:type="gramStart"/>
      <w:r>
        <w:t>cloth, that</w:t>
      </w:r>
      <w:proofErr w:type="gramEnd"/>
      <w:r>
        <w:t xml:space="preserve"> is, whether they </w:t>
      </w:r>
      <w:r w:rsidR="004F4F60">
        <w:t>were weaved</w:t>
      </w:r>
      <w:r>
        <w:t xml:space="preserve"> into the plan only in order to increase Louis’ receptiveness to the proposal contained therein.</w:t>
      </w:r>
    </w:p>
    <w:p w:rsidR="001F1057" w:rsidRDefault="001F1057" w:rsidP="00D230DF">
      <w:pPr>
        <w:ind w:firstLine="720"/>
        <w:rPr>
          <w:rFonts w:cs="Times New Roman"/>
          <w:szCs w:val="24"/>
        </w:rPr>
      </w:pPr>
      <w:r w:rsidRPr="004B3685">
        <w:rPr>
          <w:szCs w:val="24"/>
        </w:rPr>
        <w:t xml:space="preserve">There is </w:t>
      </w:r>
      <w:r>
        <w:rPr>
          <w:szCs w:val="24"/>
        </w:rPr>
        <w:t>some</w:t>
      </w:r>
      <w:r w:rsidRPr="004B3685">
        <w:rPr>
          <w:szCs w:val="24"/>
        </w:rPr>
        <w:t xml:space="preserve"> evidence that this may have been the case. When writing the Egypt plan Leibniz certainly assumed Louis’ piety, and sought to exploit it. Nowhere is this clearer tha</w:t>
      </w:r>
      <w:r>
        <w:rPr>
          <w:szCs w:val="24"/>
        </w:rPr>
        <w:t>n</w:t>
      </w:r>
      <w:r w:rsidRPr="004B3685">
        <w:rPr>
          <w:szCs w:val="24"/>
        </w:rPr>
        <w:t xml:space="preserve"> in the text </w:t>
      </w:r>
      <w:r w:rsidRPr="004B3685">
        <w:rPr>
          <w:rFonts w:cs="Times New Roman"/>
          <w:szCs w:val="24"/>
        </w:rPr>
        <w:t>“On the best advice that can be given to the most powerful king in the present circumstances” (January 1672), which is written in the form of a narrative, and</w:t>
      </w:r>
      <w:r>
        <w:rPr>
          <w:rFonts w:cs="Times New Roman"/>
          <w:szCs w:val="24"/>
        </w:rPr>
        <w:t xml:space="preserve"> was</w:t>
      </w:r>
      <w:r w:rsidRPr="004B3685">
        <w:rPr>
          <w:rFonts w:cs="Times New Roman"/>
          <w:szCs w:val="24"/>
        </w:rPr>
        <w:t xml:space="preserve"> </w:t>
      </w:r>
      <w:r>
        <w:rPr>
          <w:rFonts w:cs="Times New Roman"/>
          <w:szCs w:val="24"/>
        </w:rPr>
        <w:t>most likely intended as an inspiring postscript to the “</w:t>
      </w:r>
      <w:proofErr w:type="spellStart"/>
      <w:r>
        <w:rPr>
          <w:rFonts w:cs="Times New Roman"/>
          <w:szCs w:val="24"/>
        </w:rPr>
        <w:t>Justa</w:t>
      </w:r>
      <w:proofErr w:type="spellEnd"/>
      <w:r>
        <w:rPr>
          <w:rFonts w:cs="Times New Roman"/>
          <w:szCs w:val="24"/>
        </w:rPr>
        <w:t xml:space="preserve"> </w:t>
      </w:r>
      <w:proofErr w:type="spellStart"/>
      <w:r>
        <w:rPr>
          <w:rFonts w:cs="Times New Roman"/>
          <w:szCs w:val="24"/>
        </w:rPr>
        <w:t>Dissertatio</w:t>
      </w:r>
      <w:proofErr w:type="spellEnd"/>
      <w:r>
        <w:rPr>
          <w:rFonts w:cs="Times New Roman"/>
          <w:szCs w:val="24"/>
        </w:rPr>
        <w:t>” (</w:t>
      </w:r>
      <w:r>
        <w:rPr>
          <w:rFonts w:cs="Times New Roman"/>
        </w:rPr>
        <w:t>i</w:t>
      </w:r>
      <w:r w:rsidRPr="007400D0">
        <w:rPr>
          <w:rFonts w:cs="Times New Roman"/>
        </w:rPr>
        <w:t xml:space="preserve">n the end, </w:t>
      </w:r>
      <w:r>
        <w:rPr>
          <w:rFonts w:cs="Times New Roman"/>
        </w:rPr>
        <w:t>Leibniz</w:t>
      </w:r>
      <w:r w:rsidRPr="007400D0">
        <w:rPr>
          <w:rFonts w:cs="Times New Roman"/>
        </w:rPr>
        <w:t xml:space="preserve"> decided to use an inspiring poem as a postscript instead</w:t>
      </w:r>
      <w:r>
        <w:rPr>
          <w:rFonts w:cs="Times New Roman"/>
        </w:rPr>
        <w:t>)</w:t>
      </w:r>
      <w:r>
        <w:rPr>
          <w:rFonts w:cs="Times New Roman"/>
          <w:szCs w:val="24"/>
        </w:rPr>
        <w:t>.</w:t>
      </w:r>
      <w:r>
        <w:rPr>
          <w:rStyle w:val="FootnoteReference"/>
          <w:rFonts w:cs="Times New Roman"/>
          <w:szCs w:val="24"/>
        </w:rPr>
        <w:footnoteReference w:id="38"/>
      </w:r>
      <w:r>
        <w:rPr>
          <w:rFonts w:cs="Times New Roman"/>
          <w:szCs w:val="24"/>
        </w:rPr>
        <w:t xml:space="preserve"> The story begins with </w:t>
      </w:r>
      <w:r w:rsidRPr="004B3685">
        <w:rPr>
          <w:rFonts w:cs="Times New Roman"/>
          <w:szCs w:val="24"/>
        </w:rPr>
        <w:t xml:space="preserve">Louis and his ministers debating the political/military/economic rationale for invading </w:t>
      </w:r>
      <w:r>
        <w:rPr>
          <w:rFonts w:cs="Times New Roman"/>
          <w:szCs w:val="24"/>
        </w:rPr>
        <w:t xml:space="preserve">Holland. Realising </w:t>
      </w:r>
      <w:r w:rsidRPr="004B3685">
        <w:rPr>
          <w:rFonts w:cs="Times New Roman"/>
          <w:szCs w:val="24"/>
        </w:rPr>
        <w:t>that the risks of a Dutch war are great</w:t>
      </w:r>
      <w:r>
        <w:rPr>
          <w:rFonts w:cs="Times New Roman"/>
          <w:szCs w:val="24"/>
        </w:rPr>
        <w:t>, Louis</w:t>
      </w:r>
      <w:r w:rsidRPr="004B3685">
        <w:rPr>
          <w:rFonts w:cs="Times New Roman"/>
          <w:szCs w:val="24"/>
        </w:rPr>
        <w:t xml:space="preserve"> postpones the discussion, and wanders into a church dedicated to his crusading ancestor, Saint Louis. Inspired by the example set by his ancestor, Louis decides to make a vow to God to use his power for the benefit of Christendom and the salvation of the human race. </w:t>
      </w:r>
      <w:r>
        <w:rPr>
          <w:rFonts w:cs="Times New Roman"/>
          <w:szCs w:val="24"/>
        </w:rPr>
        <w:t xml:space="preserve">That same night, Louis </w:t>
      </w:r>
      <w:r w:rsidRPr="004B3685">
        <w:rPr>
          <w:rFonts w:cs="Times New Roman"/>
          <w:szCs w:val="24"/>
        </w:rPr>
        <w:t>dream</w:t>
      </w:r>
      <w:r>
        <w:rPr>
          <w:rFonts w:cs="Times New Roman"/>
          <w:szCs w:val="24"/>
        </w:rPr>
        <w:t>s that he</w:t>
      </w:r>
      <w:r w:rsidRPr="004B3685">
        <w:rPr>
          <w:rFonts w:cs="Times New Roman"/>
          <w:szCs w:val="24"/>
        </w:rPr>
        <w:t xml:space="preserve"> </w:t>
      </w:r>
      <w:r>
        <w:rPr>
          <w:rFonts w:cs="Times New Roman"/>
          <w:szCs w:val="24"/>
        </w:rPr>
        <w:t xml:space="preserve">is </w:t>
      </w:r>
      <w:r w:rsidRPr="004B3685">
        <w:rPr>
          <w:rFonts w:cs="Times New Roman"/>
          <w:szCs w:val="24"/>
        </w:rPr>
        <w:t xml:space="preserve">commanding a fleet of ships against the Dutch but, </w:t>
      </w:r>
      <w:r>
        <w:rPr>
          <w:rFonts w:cs="Times New Roman"/>
          <w:szCs w:val="24"/>
        </w:rPr>
        <w:t>before he can engage them,</w:t>
      </w:r>
      <w:r w:rsidRPr="004B3685">
        <w:rPr>
          <w:rFonts w:cs="Times New Roman"/>
          <w:szCs w:val="24"/>
        </w:rPr>
        <w:t xml:space="preserve"> a storm tosse</w:t>
      </w:r>
      <w:r>
        <w:rPr>
          <w:rFonts w:cs="Times New Roman"/>
          <w:szCs w:val="24"/>
        </w:rPr>
        <w:t>s</w:t>
      </w:r>
      <w:r w:rsidRPr="004B3685">
        <w:rPr>
          <w:rFonts w:cs="Times New Roman"/>
          <w:szCs w:val="24"/>
        </w:rPr>
        <w:t xml:space="preserve"> him </w:t>
      </w:r>
      <w:r>
        <w:rPr>
          <w:rFonts w:cs="Times New Roman"/>
          <w:szCs w:val="24"/>
        </w:rPr>
        <w:t>out on</w:t>
      </w:r>
      <w:r w:rsidRPr="004B3685">
        <w:rPr>
          <w:rFonts w:cs="Times New Roman"/>
          <w:szCs w:val="24"/>
        </w:rPr>
        <w:t xml:space="preserve"> the </w:t>
      </w:r>
      <w:r>
        <w:rPr>
          <w:rFonts w:cs="Times New Roman"/>
          <w:szCs w:val="24"/>
        </w:rPr>
        <w:t>open sea. His boat then drifts</w:t>
      </w:r>
      <w:r w:rsidRPr="004B3685">
        <w:rPr>
          <w:rFonts w:cs="Times New Roman"/>
          <w:szCs w:val="24"/>
        </w:rPr>
        <w:t xml:space="preserve">, until eventually </w:t>
      </w:r>
      <w:r>
        <w:rPr>
          <w:rFonts w:cs="Times New Roman"/>
          <w:szCs w:val="24"/>
        </w:rPr>
        <w:t>arriving at a distant land</w:t>
      </w:r>
      <w:r w:rsidRPr="004B3685">
        <w:rPr>
          <w:rFonts w:cs="Times New Roman"/>
          <w:szCs w:val="24"/>
        </w:rPr>
        <w:t xml:space="preserve">. </w:t>
      </w:r>
      <w:r>
        <w:rPr>
          <w:rFonts w:cs="Times New Roman"/>
          <w:szCs w:val="24"/>
        </w:rPr>
        <w:t>On the shore</w:t>
      </w:r>
      <w:r w:rsidRPr="004B3685">
        <w:rPr>
          <w:rFonts w:cs="Times New Roman"/>
          <w:szCs w:val="24"/>
        </w:rPr>
        <w:t>, Louis me</w:t>
      </w:r>
      <w:r>
        <w:rPr>
          <w:rFonts w:cs="Times New Roman"/>
          <w:szCs w:val="24"/>
        </w:rPr>
        <w:t>e</w:t>
      </w:r>
      <w:r w:rsidRPr="004B3685">
        <w:rPr>
          <w:rFonts w:cs="Times New Roman"/>
          <w:szCs w:val="24"/>
        </w:rPr>
        <w:t>t</w:t>
      </w:r>
      <w:r>
        <w:rPr>
          <w:rFonts w:cs="Times New Roman"/>
          <w:szCs w:val="24"/>
        </w:rPr>
        <w:t>s</w:t>
      </w:r>
      <w:r w:rsidRPr="004B3685">
        <w:rPr>
          <w:rFonts w:cs="Times New Roman"/>
          <w:szCs w:val="24"/>
        </w:rPr>
        <w:t xml:space="preserve"> a strangely-dressed old man, who </w:t>
      </w:r>
      <w:r>
        <w:rPr>
          <w:rFonts w:cs="Times New Roman"/>
          <w:szCs w:val="24"/>
        </w:rPr>
        <w:t>tells him that God has</w:t>
      </w:r>
      <w:r w:rsidRPr="004B3685">
        <w:rPr>
          <w:rFonts w:cs="Times New Roman"/>
          <w:szCs w:val="24"/>
        </w:rPr>
        <w:t xml:space="preserve"> directed </w:t>
      </w:r>
      <w:r>
        <w:rPr>
          <w:rFonts w:cs="Times New Roman"/>
          <w:szCs w:val="24"/>
        </w:rPr>
        <w:t>him there</w:t>
      </w:r>
      <w:r w:rsidRPr="004B3685">
        <w:rPr>
          <w:rFonts w:cs="Times New Roman"/>
          <w:szCs w:val="24"/>
        </w:rPr>
        <w:t>. The old man explain</w:t>
      </w:r>
      <w:r>
        <w:rPr>
          <w:rFonts w:cs="Times New Roman"/>
          <w:szCs w:val="24"/>
        </w:rPr>
        <w:t>s</w:t>
      </w:r>
      <w:r w:rsidRPr="004B3685">
        <w:rPr>
          <w:rFonts w:cs="Times New Roman"/>
          <w:szCs w:val="24"/>
        </w:rPr>
        <w:t xml:space="preserve"> that previous attempts to </w:t>
      </w:r>
      <w:r>
        <w:rPr>
          <w:rFonts w:cs="Times New Roman"/>
          <w:szCs w:val="24"/>
        </w:rPr>
        <w:t>conquer</w:t>
      </w:r>
      <w:r w:rsidRPr="004B3685">
        <w:rPr>
          <w:rFonts w:cs="Times New Roman"/>
          <w:szCs w:val="24"/>
        </w:rPr>
        <w:t xml:space="preserve"> this land were unsuccessful, but that a fre</w:t>
      </w:r>
      <w:r>
        <w:rPr>
          <w:rFonts w:cs="Times New Roman"/>
          <w:szCs w:val="24"/>
        </w:rPr>
        <w:t xml:space="preserve">sh attempt would be propitious </w:t>
      </w:r>
      <w:r w:rsidRPr="004B3685">
        <w:rPr>
          <w:rFonts w:cs="Times New Roman"/>
          <w:szCs w:val="24"/>
        </w:rPr>
        <w:t xml:space="preserve">because it would have heaven’s blessing. The name of the land is not </w:t>
      </w:r>
      <w:r>
        <w:rPr>
          <w:rFonts w:cs="Times New Roman"/>
          <w:szCs w:val="24"/>
        </w:rPr>
        <w:t>given</w:t>
      </w:r>
      <w:r w:rsidRPr="004B3685">
        <w:rPr>
          <w:rFonts w:cs="Times New Roman"/>
          <w:szCs w:val="24"/>
        </w:rPr>
        <w:t xml:space="preserve">, but </w:t>
      </w:r>
      <w:r>
        <w:rPr>
          <w:rFonts w:cs="Times New Roman"/>
          <w:szCs w:val="24"/>
        </w:rPr>
        <w:t xml:space="preserve">from the description </w:t>
      </w:r>
      <w:r w:rsidRPr="004B3685">
        <w:rPr>
          <w:rFonts w:cs="Times New Roman"/>
          <w:szCs w:val="24"/>
        </w:rPr>
        <w:t xml:space="preserve">a </w:t>
      </w:r>
      <w:r>
        <w:rPr>
          <w:rFonts w:cs="Times New Roman"/>
          <w:szCs w:val="24"/>
        </w:rPr>
        <w:t>seventeenth</w:t>
      </w:r>
      <w:r w:rsidRPr="004B3685">
        <w:rPr>
          <w:rFonts w:cs="Times New Roman"/>
          <w:szCs w:val="24"/>
        </w:rPr>
        <w:t xml:space="preserve"> century reader would easily identify it as Egypt.</w:t>
      </w:r>
      <w:r w:rsidRPr="004B3685">
        <w:rPr>
          <w:rStyle w:val="FootnoteReference"/>
          <w:rFonts w:cs="Times New Roman"/>
          <w:szCs w:val="24"/>
        </w:rPr>
        <w:footnoteReference w:id="39"/>
      </w:r>
      <w:r w:rsidRPr="004B3685">
        <w:rPr>
          <w:rFonts w:cs="Times New Roman"/>
          <w:szCs w:val="24"/>
        </w:rPr>
        <w:t xml:space="preserve"> </w:t>
      </w:r>
      <w:r>
        <w:rPr>
          <w:rFonts w:cs="Times New Roman"/>
          <w:szCs w:val="24"/>
        </w:rPr>
        <w:t>When writing t</w:t>
      </w:r>
      <w:r w:rsidRPr="004B3685">
        <w:rPr>
          <w:rFonts w:cs="Times New Roman"/>
          <w:szCs w:val="24"/>
        </w:rPr>
        <w:t>his curious document</w:t>
      </w:r>
      <w:r>
        <w:rPr>
          <w:rFonts w:cs="Times New Roman"/>
          <w:szCs w:val="24"/>
        </w:rPr>
        <w:t>, Leibniz</w:t>
      </w:r>
      <w:r w:rsidRPr="004B3685">
        <w:rPr>
          <w:rFonts w:cs="Times New Roman"/>
          <w:szCs w:val="24"/>
        </w:rPr>
        <w:t xml:space="preserve"> clearly assume</w:t>
      </w:r>
      <w:r>
        <w:rPr>
          <w:rFonts w:cs="Times New Roman"/>
          <w:szCs w:val="24"/>
        </w:rPr>
        <w:t>d</w:t>
      </w:r>
      <w:r w:rsidRPr="004B3685">
        <w:rPr>
          <w:rFonts w:cs="Times New Roman"/>
          <w:szCs w:val="24"/>
        </w:rPr>
        <w:t xml:space="preserve"> that Louis’ piety was sufficiently strong that it could motivate an invasion of Egypt, if only </w:t>
      </w:r>
      <w:r>
        <w:rPr>
          <w:rFonts w:cs="Times New Roman"/>
          <w:szCs w:val="24"/>
        </w:rPr>
        <w:t>Louis</w:t>
      </w:r>
      <w:r w:rsidRPr="004B3685">
        <w:rPr>
          <w:rFonts w:cs="Times New Roman"/>
          <w:szCs w:val="24"/>
        </w:rPr>
        <w:t xml:space="preserve"> could be convinced that the invasion was desired by God, and carrying it out would be an act of piety.</w:t>
      </w:r>
      <w:r>
        <w:rPr>
          <w:rFonts w:cs="Times New Roman"/>
          <w:szCs w:val="24"/>
        </w:rPr>
        <w:t xml:space="preserve"> The story was designed to do just that. Although Leibniz elected not to use it in the “</w:t>
      </w:r>
      <w:proofErr w:type="spellStart"/>
      <w:r>
        <w:rPr>
          <w:rFonts w:cs="Times New Roman"/>
          <w:szCs w:val="24"/>
        </w:rPr>
        <w:t>Justa</w:t>
      </w:r>
      <w:proofErr w:type="spellEnd"/>
      <w:r>
        <w:rPr>
          <w:rFonts w:cs="Times New Roman"/>
          <w:szCs w:val="24"/>
        </w:rPr>
        <w:t xml:space="preserve"> </w:t>
      </w:r>
      <w:proofErr w:type="spellStart"/>
      <w:r>
        <w:rPr>
          <w:rFonts w:cs="Times New Roman"/>
          <w:szCs w:val="24"/>
        </w:rPr>
        <w:t>Dissertatio</w:t>
      </w:r>
      <w:proofErr w:type="spellEnd"/>
      <w:r w:rsidR="005E3CAC">
        <w:rPr>
          <w:rFonts w:cs="Times New Roman"/>
          <w:szCs w:val="24"/>
        </w:rPr>
        <w:t>,</w:t>
      </w:r>
      <w:r>
        <w:rPr>
          <w:rFonts w:cs="Times New Roman"/>
          <w:szCs w:val="24"/>
        </w:rPr>
        <w:t>” he did employ similar devices, for example describing the Egyptian enterprise as holy and just and in accordance with God’s will, all of which could be expected to inflame a reader of great piety, as Leibniz believed Louis to be.</w:t>
      </w:r>
    </w:p>
    <w:p w:rsidR="00ED5410" w:rsidRDefault="00ED5410" w:rsidP="00D230DF">
      <w:pPr>
        <w:ind w:firstLine="720"/>
        <w:rPr>
          <w:rFonts w:cs="Times New Roman"/>
        </w:rPr>
      </w:pPr>
      <w:r>
        <w:t>In a similar vein, in the “</w:t>
      </w:r>
      <w:proofErr w:type="spellStart"/>
      <w:r>
        <w:t>Justa</w:t>
      </w:r>
      <w:proofErr w:type="spellEnd"/>
      <w:r>
        <w:t xml:space="preserve"> </w:t>
      </w:r>
      <w:proofErr w:type="spellStart"/>
      <w:r>
        <w:t>Dissertatio</w:t>
      </w:r>
      <w:proofErr w:type="spellEnd"/>
      <w:r>
        <w:t xml:space="preserve">” we find Leibniz suggesting that should Louis be successful in his efforts against the Turks, </w:t>
      </w:r>
      <w:r w:rsidRPr="0059381F">
        <w:rPr>
          <w:rFonts w:cs="Times New Roman"/>
        </w:rPr>
        <w:t xml:space="preserve">“The golden age of Christianity will return, and we shall draw near to the primitive Church. And we shall begin the </w:t>
      </w:r>
      <w:proofErr w:type="gramStart"/>
      <w:r w:rsidRPr="0059381F">
        <w:rPr>
          <w:rFonts w:cs="Times New Roman"/>
        </w:rPr>
        <w:t>most true</w:t>
      </w:r>
      <w:proofErr w:type="gramEnd"/>
      <w:r w:rsidRPr="0059381F">
        <w:rPr>
          <w:rFonts w:cs="Times New Roman"/>
        </w:rPr>
        <w:t xml:space="preserve"> millennium, without all the folly of the Fifth Monarchists</w:t>
      </w:r>
      <w:r w:rsidR="005E3CAC">
        <w:rPr>
          <w:rFonts w:cs="Times New Roman"/>
        </w:rPr>
        <w:t>.</w:t>
      </w:r>
      <w:r w:rsidRPr="0059381F">
        <w:rPr>
          <w:rFonts w:cs="Times New Roman"/>
        </w:rPr>
        <w:t>”</w:t>
      </w:r>
      <w:r>
        <w:rPr>
          <w:rStyle w:val="FootnoteReference"/>
          <w:rFonts w:cs="Times New Roman"/>
        </w:rPr>
        <w:footnoteReference w:id="40"/>
      </w:r>
      <w:r>
        <w:rPr>
          <w:rFonts w:cs="Times New Roman"/>
        </w:rPr>
        <w:t xml:space="preserve"> As Cook and </w:t>
      </w:r>
      <w:r w:rsidR="005E3CAC">
        <w:rPr>
          <w:rFonts w:cs="Times New Roman"/>
        </w:rPr>
        <w:t>I</w:t>
      </w:r>
      <w:r>
        <w:rPr>
          <w:rFonts w:cs="Times New Roman"/>
        </w:rPr>
        <w:t xml:space="preserve"> have noted</w:t>
      </w:r>
      <w:r w:rsidR="005E3CAC">
        <w:rPr>
          <w:rFonts w:cs="Times New Roman"/>
        </w:rPr>
        <w:t xml:space="preserve"> in a previous paper</w:t>
      </w:r>
      <w:r>
        <w:rPr>
          <w:rFonts w:cs="Times New Roman"/>
        </w:rPr>
        <w:t xml:space="preserve">, the millenarian thinking here is not to be found in any of Leibniz’s other </w:t>
      </w:r>
      <w:r>
        <w:rPr>
          <w:rFonts w:cs="Times New Roman"/>
        </w:rPr>
        <w:lastRenderedPageBreak/>
        <w:t xml:space="preserve">writings, before the Egypt plan or after, </w:t>
      </w:r>
      <w:r w:rsidR="000772C7">
        <w:rPr>
          <w:rFonts w:cs="Times New Roman"/>
        </w:rPr>
        <w:t>though</w:t>
      </w:r>
      <w:r>
        <w:rPr>
          <w:rFonts w:cs="Times New Roman"/>
        </w:rPr>
        <w:t xml:space="preserve"> one would expect </w:t>
      </w:r>
      <w:r w:rsidR="000772C7">
        <w:rPr>
          <w:rFonts w:cs="Times New Roman"/>
        </w:rPr>
        <w:t xml:space="preserve">it to be </w:t>
      </w:r>
      <w:r>
        <w:rPr>
          <w:rFonts w:cs="Times New Roman"/>
        </w:rPr>
        <w:t>if Leibniz possessed any millenarian sympathies</w:t>
      </w:r>
      <w:r w:rsidR="006620A3">
        <w:rPr>
          <w:rFonts w:cs="Times New Roman"/>
        </w:rPr>
        <w:t xml:space="preserve"> himself</w:t>
      </w:r>
      <w:r>
        <w:rPr>
          <w:rFonts w:cs="Times New Roman"/>
        </w:rPr>
        <w:t xml:space="preserve">. </w:t>
      </w:r>
      <w:r w:rsidR="005E3CAC">
        <w:rPr>
          <w:rFonts w:cs="Times New Roman"/>
        </w:rPr>
        <w:t>Cook and I</w:t>
      </w:r>
      <w:r>
        <w:rPr>
          <w:rFonts w:cs="Times New Roman"/>
        </w:rPr>
        <w:t xml:space="preserve"> therefore conclude</w:t>
      </w:r>
      <w:r w:rsidR="005E3CAC">
        <w:rPr>
          <w:rFonts w:cs="Times New Roman"/>
        </w:rPr>
        <w:t>d</w:t>
      </w:r>
      <w:r>
        <w:rPr>
          <w:rFonts w:cs="Times New Roman"/>
        </w:rPr>
        <w:t xml:space="preserve"> that</w:t>
      </w:r>
    </w:p>
    <w:p w:rsidR="00ED5410" w:rsidRDefault="00ED5410" w:rsidP="00D230DF">
      <w:pPr>
        <w:ind w:firstLine="720"/>
        <w:rPr>
          <w:rFonts w:cs="Times New Roman"/>
        </w:rPr>
      </w:pPr>
    </w:p>
    <w:p w:rsidR="00ED5410" w:rsidRPr="00786C87" w:rsidRDefault="00ED5410" w:rsidP="00786C87">
      <w:pPr>
        <w:rPr>
          <w:rFonts w:cs="Times New Roman"/>
          <w:sz w:val="18"/>
          <w:szCs w:val="18"/>
        </w:rPr>
      </w:pPr>
      <w:r w:rsidRPr="00786C87">
        <w:rPr>
          <w:rFonts w:cs="Times New Roman"/>
          <w:sz w:val="18"/>
          <w:szCs w:val="18"/>
        </w:rPr>
        <w:t>Leibniz’s extravagant claim about Louis instigating (or at least hastening) the onset of the millennium was a calculated one, intended to ensure a warm reception for the Egypt plan from a man who might reasonably be expected to respond to promises of glory (and in a sense immortality) by playing a key role not just in earthly history, but cosmic history.</w:t>
      </w:r>
      <w:r w:rsidRPr="00786C87">
        <w:rPr>
          <w:rStyle w:val="FootnoteReference"/>
          <w:rFonts w:cs="Times New Roman"/>
          <w:sz w:val="18"/>
          <w:szCs w:val="18"/>
        </w:rPr>
        <w:footnoteReference w:id="41"/>
      </w:r>
    </w:p>
    <w:p w:rsidR="00ED5410" w:rsidRDefault="00ED5410" w:rsidP="00D230DF">
      <w:pPr>
        <w:ind w:firstLine="720"/>
        <w:rPr>
          <w:szCs w:val="24"/>
        </w:rPr>
      </w:pPr>
    </w:p>
    <w:p w:rsidR="001F1057" w:rsidRDefault="001F1057" w:rsidP="00D230DF">
      <w:pPr>
        <w:rPr>
          <w:rFonts w:cs="Times New Roman"/>
          <w:szCs w:val="24"/>
        </w:rPr>
      </w:pPr>
      <w:r>
        <w:rPr>
          <w:rFonts w:cs="Times New Roman"/>
          <w:szCs w:val="24"/>
        </w:rPr>
        <w:t xml:space="preserve">There is little doubt, then, that the </w:t>
      </w:r>
      <w:r w:rsidR="00ED5410">
        <w:rPr>
          <w:rFonts w:cs="Times New Roman"/>
          <w:szCs w:val="24"/>
        </w:rPr>
        <w:t>“</w:t>
      </w:r>
      <w:proofErr w:type="spellStart"/>
      <w:r w:rsidR="00ED5410">
        <w:rPr>
          <w:rFonts w:cs="Times New Roman"/>
          <w:szCs w:val="24"/>
        </w:rPr>
        <w:t>Justa</w:t>
      </w:r>
      <w:proofErr w:type="spellEnd"/>
      <w:r w:rsidR="00ED5410">
        <w:rPr>
          <w:rFonts w:cs="Times New Roman"/>
          <w:szCs w:val="24"/>
        </w:rPr>
        <w:t xml:space="preserve"> </w:t>
      </w:r>
      <w:proofErr w:type="spellStart"/>
      <w:r w:rsidR="00ED5410">
        <w:rPr>
          <w:rFonts w:cs="Times New Roman"/>
          <w:szCs w:val="24"/>
        </w:rPr>
        <w:t>Dissertatio</w:t>
      </w:r>
      <w:proofErr w:type="spellEnd"/>
      <w:r w:rsidR="00ED5410">
        <w:rPr>
          <w:rFonts w:cs="Times New Roman"/>
          <w:szCs w:val="24"/>
        </w:rPr>
        <w:t>”</w:t>
      </w:r>
      <w:r>
        <w:rPr>
          <w:rFonts w:cs="Times New Roman"/>
          <w:szCs w:val="24"/>
        </w:rPr>
        <w:t xml:space="preserve"> was written to appeal to – and exploit –Louis’ piety</w:t>
      </w:r>
      <w:r w:rsidR="00ED5410">
        <w:rPr>
          <w:rFonts w:cs="Times New Roman"/>
          <w:szCs w:val="24"/>
        </w:rPr>
        <w:t xml:space="preserve"> and presumed religious </w:t>
      </w:r>
      <w:r w:rsidR="005E3CAC">
        <w:rPr>
          <w:rFonts w:cs="Times New Roman"/>
          <w:szCs w:val="24"/>
        </w:rPr>
        <w:t>leanings</w:t>
      </w:r>
      <w:r w:rsidR="00ED5410">
        <w:rPr>
          <w:rFonts w:cs="Times New Roman"/>
          <w:szCs w:val="24"/>
        </w:rPr>
        <w:t xml:space="preserve">. </w:t>
      </w:r>
      <w:r>
        <w:rPr>
          <w:rFonts w:cs="Times New Roman"/>
          <w:szCs w:val="24"/>
        </w:rPr>
        <w:t xml:space="preserve">As such, it is tempting to conclude that </w:t>
      </w:r>
      <w:r w:rsidR="001A162A">
        <w:rPr>
          <w:rFonts w:cs="Times New Roman"/>
          <w:szCs w:val="24"/>
        </w:rPr>
        <w:t xml:space="preserve">Leibniz’s claims </w:t>
      </w:r>
      <w:r w:rsidR="00796CCA">
        <w:rPr>
          <w:rFonts w:cs="Times New Roman"/>
          <w:szCs w:val="24"/>
        </w:rPr>
        <w:t>regarding</w:t>
      </w:r>
      <w:r w:rsidR="005E3CAC">
        <w:rPr>
          <w:rFonts w:cs="Times New Roman"/>
          <w:szCs w:val="24"/>
        </w:rPr>
        <w:t xml:space="preserve"> </w:t>
      </w:r>
      <w:r w:rsidR="001A162A">
        <w:rPr>
          <w:rFonts w:cs="Times New Roman"/>
          <w:szCs w:val="24"/>
        </w:rPr>
        <w:t xml:space="preserve">the </w:t>
      </w:r>
      <w:r w:rsidR="005E3CAC">
        <w:rPr>
          <w:rFonts w:cs="Times New Roman"/>
          <w:szCs w:val="24"/>
        </w:rPr>
        <w:t xml:space="preserve">religious </w:t>
      </w:r>
      <w:r w:rsidR="000772C7">
        <w:rPr>
          <w:rFonts w:cs="Times New Roman"/>
          <w:szCs w:val="24"/>
        </w:rPr>
        <w:t>benefits of</w:t>
      </w:r>
      <w:r w:rsidR="005E3CAC">
        <w:rPr>
          <w:rFonts w:cs="Times New Roman"/>
          <w:szCs w:val="24"/>
        </w:rPr>
        <w:t xml:space="preserve"> war </w:t>
      </w:r>
      <w:r>
        <w:rPr>
          <w:rFonts w:cs="Times New Roman"/>
          <w:szCs w:val="24"/>
        </w:rPr>
        <w:t xml:space="preserve">were </w:t>
      </w:r>
      <w:r w:rsidR="00796CCA">
        <w:rPr>
          <w:rFonts w:cs="Times New Roman"/>
          <w:szCs w:val="24"/>
        </w:rPr>
        <w:t xml:space="preserve">made </w:t>
      </w:r>
      <w:r>
        <w:rPr>
          <w:rFonts w:cs="Times New Roman"/>
          <w:szCs w:val="24"/>
        </w:rPr>
        <w:t xml:space="preserve">merely to motivate Louis to execute the plan, rather than </w:t>
      </w:r>
      <w:r w:rsidR="00796CCA">
        <w:rPr>
          <w:rFonts w:cs="Times New Roman"/>
          <w:szCs w:val="24"/>
        </w:rPr>
        <w:t xml:space="preserve">as </w:t>
      </w:r>
      <w:r>
        <w:rPr>
          <w:rFonts w:cs="Times New Roman"/>
          <w:szCs w:val="24"/>
        </w:rPr>
        <w:t xml:space="preserve">genuine reflections of </w:t>
      </w:r>
      <w:r w:rsidR="006620A3">
        <w:rPr>
          <w:rFonts w:cs="Times New Roman"/>
          <w:szCs w:val="24"/>
        </w:rPr>
        <w:t>Leibniz’s</w:t>
      </w:r>
      <w:r>
        <w:rPr>
          <w:rFonts w:cs="Times New Roman"/>
          <w:szCs w:val="24"/>
        </w:rPr>
        <w:t xml:space="preserve"> own views and leanings. I suggest, however, that we </w:t>
      </w:r>
      <w:r w:rsidR="00ED5410">
        <w:rPr>
          <w:rFonts w:cs="Times New Roman"/>
          <w:szCs w:val="24"/>
        </w:rPr>
        <w:t>w</w:t>
      </w:r>
      <w:r>
        <w:rPr>
          <w:rFonts w:cs="Times New Roman"/>
          <w:szCs w:val="24"/>
        </w:rPr>
        <w:t xml:space="preserve">ould be </w:t>
      </w:r>
      <w:r w:rsidR="00ED5410">
        <w:rPr>
          <w:rFonts w:cs="Times New Roman"/>
          <w:szCs w:val="24"/>
        </w:rPr>
        <w:t>entitled to</w:t>
      </w:r>
      <w:r>
        <w:rPr>
          <w:rFonts w:cs="Times New Roman"/>
          <w:szCs w:val="24"/>
        </w:rPr>
        <w:t xml:space="preserve"> such a conclusion</w:t>
      </w:r>
      <w:r w:rsidR="00ED5410">
        <w:rPr>
          <w:rFonts w:cs="Times New Roman"/>
          <w:szCs w:val="24"/>
        </w:rPr>
        <w:t xml:space="preserve"> only once we have considered the different kinds of religious </w:t>
      </w:r>
      <w:r w:rsidR="001A162A">
        <w:rPr>
          <w:rFonts w:cs="Times New Roman"/>
          <w:szCs w:val="24"/>
        </w:rPr>
        <w:t>benefit</w:t>
      </w:r>
      <w:r w:rsidR="00ED5410">
        <w:rPr>
          <w:rFonts w:cs="Times New Roman"/>
          <w:szCs w:val="24"/>
        </w:rPr>
        <w:t xml:space="preserve"> that Leibniz </w:t>
      </w:r>
      <w:r w:rsidR="001A162A">
        <w:rPr>
          <w:rFonts w:cs="Times New Roman"/>
          <w:szCs w:val="24"/>
        </w:rPr>
        <w:t>identifies</w:t>
      </w:r>
      <w:r w:rsidR="00ED5410">
        <w:rPr>
          <w:rFonts w:cs="Times New Roman"/>
          <w:szCs w:val="24"/>
        </w:rPr>
        <w:t xml:space="preserve">, and determined the extent to which these cohere with the views </w:t>
      </w:r>
      <w:r>
        <w:rPr>
          <w:rFonts w:cs="Times New Roman"/>
          <w:szCs w:val="24"/>
        </w:rPr>
        <w:t xml:space="preserve">found in Leibniz’s broader oeuvre. </w:t>
      </w:r>
      <w:r w:rsidR="00DE6422">
        <w:rPr>
          <w:rFonts w:cs="Times New Roman"/>
          <w:szCs w:val="24"/>
        </w:rPr>
        <w:t xml:space="preserve">Such an analysis will show that while some of the </w:t>
      </w:r>
      <w:r w:rsidR="001A162A">
        <w:rPr>
          <w:rFonts w:cs="Times New Roman"/>
          <w:szCs w:val="24"/>
        </w:rPr>
        <w:t xml:space="preserve">claimed </w:t>
      </w:r>
      <w:r w:rsidR="00DE6422">
        <w:rPr>
          <w:rFonts w:cs="Times New Roman"/>
          <w:szCs w:val="24"/>
        </w:rPr>
        <w:t xml:space="preserve">religious </w:t>
      </w:r>
      <w:r w:rsidR="001A162A">
        <w:rPr>
          <w:rFonts w:cs="Times New Roman"/>
          <w:szCs w:val="24"/>
        </w:rPr>
        <w:t>benefits</w:t>
      </w:r>
      <w:r w:rsidR="00DE6422">
        <w:rPr>
          <w:rFonts w:cs="Times New Roman"/>
          <w:szCs w:val="24"/>
        </w:rPr>
        <w:t xml:space="preserve"> arguably do not </w:t>
      </w:r>
      <w:r w:rsidR="001A162A">
        <w:rPr>
          <w:rFonts w:cs="Times New Roman"/>
          <w:szCs w:val="24"/>
        </w:rPr>
        <w:t>coincide with</w:t>
      </w:r>
      <w:r w:rsidR="00DE6422">
        <w:rPr>
          <w:rFonts w:cs="Times New Roman"/>
          <w:szCs w:val="24"/>
        </w:rPr>
        <w:t xml:space="preserve"> Leibniz’s own views (namely his call to defeat the Turks in a holy war), others do (namely the ecumenical claims about securing peace in Europe and fostering cooperation among Christians worldwide). Demonstrating this will be the task of the remainder of the paper.</w:t>
      </w:r>
    </w:p>
    <w:p w:rsidR="001F1057" w:rsidRDefault="001F1057" w:rsidP="00D230DF">
      <w:pPr>
        <w:ind w:firstLine="720"/>
        <w:rPr>
          <w:rFonts w:cs="Times New Roman"/>
          <w:szCs w:val="24"/>
        </w:rPr>
      </w:pPr>
      <w:r>
        <w:rPr>
          <w:rFonts w:cs="Times New Roman"/>
          <w:szCs w:val="24"/>
        </w:rPr>
        <w:t>As we will recall, in the “</w:t>
      </w:r>
      <w:proofErr w:type="spellStart"/>
      <w:r>
        <w:rPr>
          <w:rFonts w:cs="Times New Roman"/>
          <w:szCs w:val="24"/>
        </w:rPr>
        <w:t>Justa</w:t>
      </w:r>
      <w:proofErr w:type="spellEnd"/>
      <w:r>
        <w:rPr>
          <w:rFonts w:cs="Times New Roman"/>
          <w:szCs w:val="24"/>
        </w:rPr>
        <w:t xml:space="preserve"> </w:t>
      </w:r>
      <w:proofErr w:type="spellStart"/>
      <w:r>
        <w:rPr>
          <w:rFonts w:cs="Times New Roman"/>
          <w:szCs w:val="24"/>
        </w:rPr>
        <w:t>Dissertatio</w:t>
      </w:r>
      <w:proofErr w:type="spellEnd"/>
      <w:r w:rsidR="00CE5094">
        <w:rPr>
          <w:rFonts w:cs="Times New Roman"/>
          <w:szCs w:val="24"/>
        </w:rPr>
        <w:t>,</w:t>
      </w:r>
      <w:r>
        <w:rPr>
          <w:rFonts w:cs="Times New Roman"/>
          <w:szCs w:val="24"/>
        </w:rPr>
        <w:t xml:space="preserve">” Leibniz </w:t>
      </w:r>
      <w:r w:rsidR="00CE5094">
        <w:rPr>
          <w:rFonts w:cs="Times New Roman"/>
          <w:szCs w:val="24"/>
        </w:rPr>
        <w:t>stressed the importance of</w:t>
      </w:r>
      <w:r>
        <w:rPr>
          <w:rFonts w:cs="Times New Roman"/>
          <w:szCs w:val="24"/>
        </w:rPr>
        <w:t xml:space="preserve"> des</w:t>
      </w:r>
      <w:r w:rsidR="00CE5094">
        <w:rPr>
          <w:rFonts w:cs="Times New Roman"/>
          <w:szCs w:val="24"/>
        </w:rPr>
        <w:t>troying the Turks in a holy war</w:t>
      </w:r>
      <w:r>
        <w:rPr>
          <w:rFonts w:cs="Times New Roman"/>
          <w:szCs w:val="24"/>
        </w:rPr>
        <w:t>. The first question we should ask is whether it is reasonable to think that</w:t>
      </w:r>
      <w:r w:rsidR="003A0C5D">
        <w:rPr>
          <w:rFonts w:cs="Times New Roman"/>
          <w:szCs w:val="24"/>
        </w:rPr>
        <w:t xml:space="preserve"> in that text</w:t>
      </w:r>
      <w:r>
        <w:rPr>
          <w:rFonts w:cs="Times New Roman"/>
          <w:szCs w:val="24"/>
        </w:rPr>
        <w:t xml:space="preserve"> Leibniz deliberately sought to emphasize the aim of destroying the Turks in a holy war because that is precisely what he thought would motivate Louis into executing the plan? I</w:t>
      </w:r>
      <w:r w:rsidR="005D287C">
        <w:rPr>
          <w:rFonts w:cs="Times New Roman"/>
          <w:szCs w:val="24"/>
        </w:rPr>
        <w:t xml:space="preserve"> submit that </w:t>
      </w:r>
      <w:r>
        <w:rPr>
          <w:rFonts w:cs="Times New Roman"/>
          <w:szCs w:val="24"/>
        </w:rPr>
        <w:t xml:space="preserve">it is. As it happens, </w:t>
      </w:r>
      <w:r>
        <w:t>Leibniz had grounds to suppose that Louis harboured animosity towards the Turks.</w:t>
      </w:r>
      <w:r w:rsidRPr="00AA4DF7">
        <w:t xml:space="preserve"> </w:t>
      </w:r>
      <w:r>
        <w:t xml:space="preserve"> For Louis had been happy to take up arms against them when it suited him: in 1664</w:t>
      </w:r>
      <w:r w:rsidRPr="00BC4D47">
        <w:t xml:space="preserve">, </w:t>
      </w:r>
      <w:r>
        <w:t xml:space="preserve">when </w:t>
      </w:r>
      <w:r w:rsidRPr="00BC4D47">
        <w:t>Emperor Leopold asked him for assistance against the Turks</w:t>
      </w:r>
      <w:r>
        <w:t xml:space="preserve"> in Hungary</w:t>
      </w:r>
      <w:r w:rsidRPr="00BC4D47">
        <w:t xml:space="preserve">, Louis </w:t>
      </w:r>
      <w:r>
        <w:t>provided</w:t>
      </w:r>
      <w:r w:rsidRPr="00BC4D47">
        <w:t xml:space="preserve"> 4000 foot sol</w:t>
      </w:r>
      <w:r>
        <w:t>d</w:t>
      </w:r>
      <w:r w:rsidRPr="00BC4D47">
        <w:t>iers, and 2000 on horse.</w:t>
      </w:r>
      <w:r>
        <w:t xml:space="preserve"> Leibniz was well aware of this, making an explicit reference to it in an early draft of the Egypt plan.</w:t>
      </w:r>
      <w:r>
        <w:rPr>
          <w:rStyle w:val="FootnoteReference"/>
        </w:rPr>
        <w:footnoteReference w:id="42"/>
      </w:r>
      <w:r>
        <w:t xml:space="preserve"> Plausibly, then, Leibniz’s suggestion that the Turks should be destroyed in a holy war was motivated by an unfortunate overestimation of the King’s animosity towards the Turks, an overestimation based on Louis’ willingness to engage them in a limited fashion almost a decade beforehand.</w:t>
      </w:r>
    </w:p>
    <w:p w:rsidR="001F1057" w:rsidRDefault="001F1057" w:rsidP="00D230DF">
      <w:pPr>
        <w:ind w:firstLine="720"/>
      </w:pPr>
      <w:r>
        <w:rPr>
          <w:rFonts w:cs="Times New Roman"/>
          <w:szCs w:val="24"/>
        </w:rPr>
        <w:t>As confirmation of this, we should note that nowhere else in his voluminous writings did Leibniz suggest that the Turks should be destroyed or that a holy war should be fought against them. He did from time to time express the desire that</w:t>
      </w:r>
      <w:r>
        <w:t xml:space="preserve"> European powers engage the Turks on the battlefield, though these appeals were made when the Turkish threat to Europe was at its greatest (for example, during the siege of Vienna in 1683).</w:t>
      </w:r>
      <w:r>
        <w:rPr>
          <w:rStyle w:val="FootnoteReference"/>
        </w:rPr>
        <w:footnoteReference w:id="43"/>
      </w:r>
      <w:r>
        <w:t xml:space="preserve"> Moreover, his remarks at these times were motivated by a desire to stop the threat to Europe rather than by a desire to wipe out an entire religion and its peoples; hence he never suggests that offensive action be taken against the Turks in their own territories, only that defensive action be taken to protect European lands. And at the times when the Turkish threat had receded, Leibniz did not call for military action against them at all. Indeed, as others have noted, in peacetime, Leibniz emphasized his universalistic belief that all humans – Turks included – were made in God’s image,</w:t>
      </w:r>
      <w:r>
        <w:rPr>
          <w:rStyle w:val="FootnoteReference"/>
        </w:rPr>
        <w:footnoteReference w:id="44"/>
      </w:r>
      <w:r>
        <w:t xml:space="preserve"> a belief that in 1697 led him to describe himself as “neither a </w:t>
      </w:r>
      <w:proofErr w:type="spellStart"/>
      <w:r>
        <w:t>phil</w:t>
      </w:r>
      <w:proofErr w:type="spellEnd"/>
      <w:r>
        <w:t xml:space="preserve">-Hellene nor a </w:t>
      </w:r>
      <w:proofErr w:type="spellStart"/>
      <w:r>
        <w:lastRenderedPageBreak/>
        <w:t>philo</w:t>
      </w:r>
      <w:proofErr w:type="spellEnd"/>
      <w:r>
        <w:t xml:space="preserve">-Roman but a </w:t>
      </w:r>
      <w:proofErr w:type="spellStart"/>
      <w:r>
        <w:t>phil-anthropos</w:t>
      </w:r>
      <w:proofErr w:type="spellEnd"/>
      <w:r w:rsidR="000E7BEC">
        <w:t>,</w:t>
      </w:r>
      <w:r>
        <w:t>”</w:t>
      </w:r>
      <w:r>
        <w:rPr>
          <w:rStyle w:val="FootnoteReference"/>
        </w:rPr>
        <w:footnoteReference w:id="45"/>
      </w:r>
      <w:r>
        <w:t xml:space="preserve"> that is, as someone who loves all human beings. So far as we can glean from Leibniz’s broader oeuvre, then, it seems he did not personally desire the destruction of the Turks, or that a holy war be fought against them.</w:t>
      </w:r>
    </w:p>
    <w:p w:rsidR="001F1057" w:rsidRDefault="001F1057" w:rsidP="00D230DF">
      <w:pPr>
        <w:ind w:firstLine="720"/>
        <w:rPr>
          <w:rFonts w:cs="Times New Roman"/>
        </w:rPr>
      </w:pPr>
      <w:r>
        <w:t>We might plausibly suppose from this that the</w:t>
      </w:r>
      <w:r w:rsidR="005D287C">
        <w:t xml:space="preserve"> plan laid out in the</w:t>
      </w:r>
      <w:r>
        <w:t xml:space="preserve"> “</w:t>
      </w:r>
      <w:proofErr w:type="spellStart"/>
      <w:r>
        <w:t>Justa</w:t>
      </w:r>
      <w:proofErr w:type="spellEnd"/>
      <w:r>
        <w:t xml:space="preserve"> </w:t>
      </w:r>
      <w:proofErr w:type="spellStart"/>
      <w:r>
        <w:t>Dissertatio</w:t>
      </w:r>
      <w:proofErr w:type="spellEnd"/>
      <w:r>
        <w:t xml:space="preserve">” was pitched as a holy war because Leibniz felt that such language could stir Louis’ passions and spur him to invade Egypt. </w:t>
      </w:r>
      <w:r w:rsidR="005D287C">
        <w:t xml:space="preserve">But as we have seen, the religious </w:t>
      </w:r>
      <w:r w:rsidR="00AD5207">
        <w:t>benefits identified</w:t>
      </w:r>
      <w:r w:rsidR="005D287C">
        <w:t xml:space="preserve"> in that text had </w:t>
      </w:r>
      <w:r w:rsidR="003A0C5D">
        <w:t xml:space="preserve">distinct </w:t>
      </w:r>
      <w:r w:rsidR="005D287C">
        <w:t xml:space="preserve">ecumenical </w:t>
      </w:r>
      <w:r w:rsidR="003A0C5D">
        <w:t>elements</w:t>
      </w:r>
      <w:r w:rsidR="005D287C">
        <w:t xml:space="preserve"> as well. Were these also included to make the proposal appealing </w:t>
      </w:r>
      <w:r w:rsidR="002765D8">
        <w:t>to</w:t>
      </w:r>
      <w:r w:rsidR="005D287C">
        <w:t xml:space="preserve"> Louis, or are they more plausibly a reflection of Leibniz’s</w:t>
      </w:r>
      <w:r w:rsidRPr="004A0269">
        <w:rPr>
          <w:rFonts w:cs="Times New Roman"/>
          <w:szCs w:val="24"/>
        </w:rPr>
        <w:t xml:space="preserve"> own tastes and predilections</w:t>
      </w:r>
      <w:r w:rsidR="005D287C">
        <w:rPr>
          <w:rFonts w:cs="Times New Roman"/>
          <w:szCs w:val="24"/>
        </w:rPr>
        <w:t>?</w:t>
      </w:r>
      <w:r w:rsidR="003A0C5D">
        <w:rPr>
          <w:rFonts w:cs="Times New Roman"/>
          <w:szCs w:val="24"/>
        </w:rPr>
        <w:t xml:space="preserve"> In this case, t</w:t>
      </w:r>
      <w:r w:rsidR="00453726">
        <w:rPr>
          <w:rFonts w:cs="Times New Roman"/>
          <w:szCs w:val="24"/>
        </w:rPr>
        <w:t>he latter seems most likely.</w:t>
      </w:r>
      <w:r w:rsidRPr="004A0269">
        <w:rPr>
          <w:rFonts w:cs="Times New Roman"/>
          <w:szCs w:val="24"/>
        </w:rPr>
        <w:t xml:space="preserve"> Certainly there is little reason to suppose that Leibniz would have considered Louis to have strong ecumenical leanings, not least because of </w:t>
      </w:r>
      <w:r>
        <w:rPr>
          <w:rFonts w:cs="Times New Roman"/>
          <w:szCs w:val="24"/>
        </w:rPr>
        <w:t>the French king’s</w:t>
      </w:r>
      <w:r w:rsidRPr="004A0269">
        <w:rPr>
          <w:rFonts w:cs="Times New Roman"/>
          <w:szCs w:val="24"/>
        </w:rPr>
        <w:t xml:space="preserve"> persecutions </w:t>
      </w:r>
      <w:r>
        <w:rPr>
          <w:rFonts w:cs="Times New Roman"/>
          <w:szCs w:val="24"/>
        </w:rPr>
        <w:t xml:space="preserve">both </w:t>
      </w:r>
      <w:r w:rsidRPr="004A0269">
        <w:rPr>
          <w:rFonts w:cs="Times New Roman"/>
          <w:szCs w:val="24"/>
        </w:rPr>
        <w:t xml:space="preserve">of </w:t>
      </w:r>
      <w:r>
        <w:rPr>
          <w:rFonts w:cs="Times New Roman"/>
          <w:szCs w:val="24"/>
        </w:rPr>
        <w:t xml:space="preserve">the </w:t>
      </w:r>
      <w:proofErr w:type="spellStart"/>
      <w:r>
        <w:rPr>
          <w:rFonts w:cs="Times New Roman"/>
          <w:szCs w:val="24"/>
        </w:rPr>
        <w:t>Jansenists</w:t>
      </w:r>
      <w:proofErr w:type="spellEnd"/>
      <w:r>
        <w:rPr>
          <w:rFonts w:cs="Times New Roman"/>
          <w:szCs w:val="24"/>
        </w:rPr>
        <w:t xml:space="preserve"> and the </w:t>
      </w:r>
      <w:r w:rsidRPr="004A0269">
        <w:rPr>
          <w:rFonts w:cs="Times New Roman"/>
          <w:szCs w:val="24"/>
        </w:rPr>
        <w:t xml:space="preserve">Protestants </w:t>
      </w:r>
      <w:r>
        <w:rPr>
          <w:rFonts w:cs="Times New Roman"/>
          <w:szCs w:val="24"/>
        </w:rPr>
        <w:t>throughout the 1660s, which were widely known outside of France</w:t>
      </w:r>
      <w:r w:rsidRPr="004A0269">
        <w:rPr>
          <w:rFonts w:cs="Times New Roman"/>
          <w:szCs w:val="24"/>
        </w:rPr>
        <w:t xml:space="preserve">. </w:t>
      </w:r>
      <w:r w:rsidR="00453726">
        <w:rPr>
          <w:rFonts w:cs="Times New Roman"/>
          <w:szCs w:val="24"/>
        </w:rPr>
        <w:t>On top of that</w:t>
      </w:r>
      <w:r w:rsidRPr="004A0269">
        <w:rPr>
          <w:rFonts w:cs="Times New Roman"/>
          <w:szCs w:val="24"/>
        </w:rPr>
        <w:t xml:space="preserve">, the ecumenism discernible in the Egypt Plan accords with that to be found in Leibniz’s other work. </w:t>
      </w:r>
      <w:r>
        <w:rPr>
          <w:rFonts w:cs="Times New Roman"/>
          <w:szCs w:val="24"/>
        </w:rPr>
        <w:t>Although h</w:t>
      </w:r>
      <w:r w:rsidRPr="004A0269">
        <w:rPr>
          <w:rFonts w:cs="Times New Roman"/>
          <w:szCs w:val="24"/>
        </w:rPr>
        <w:t xml:space="preserve">is ecumenical activities are well known, </w:t>
      </w:r>
      <w:r>
        <w:rPr>
          <w:rFonts w:cs="Times New Roman"/>
          <w:szCs w:val="24"/>
        </w:rPr>
        <w:t>they</w:t>
      </w:r>
      <w:r w:rsidRPr="004A0269">
        <w:rPr>
          <w:rFonts w:cs="Times New Roman"/>
          <w:szCs w:val="24"/>
        </w:rPr>
        <w:t xml:space="preserve"> are worth rehearsing in brief. </w:t>
      </w:r>
      <w:r w:rsidR="00453726">
        <w:rPr>
          <w:rFonts w:cs="Times New Roman"/>
          <w:szCs w:val="24"/>
        </w:rPr>
        <w:t>As already noted above, i</w:t>
      </w:r>
      <w:r w:rsidRPr="004A0269">
        <w:rPr>
          <w:rFonts w:cs="Times New Roman"/>
          <w:szCs w:val="24"/>
        </w:rPr>
        <w:t>n the years preceding the composition of the Egypt plan, Leibniz had been working on the “Catholic Demonstrations”</w:t>
      </w:r>
      <w:r w:rsidR="008653F2">
        <w:rPr>
          <w:rFonts w:cs="Times New Roman"/>
          <w:szCs w:val="24"/>
        </w:rPr>
        <w:t xml:space="preserve"> project</w:t>
      </w:r>
      <w:r w:rsidRPr="004A0269">
        <w:rPr>
          <w:rFonts w:cs="Times New Roman"/>
          <w:szCs w:val="24"/>
        </w:rPr>
        <w:t xml:space="preserve"> (1669-</w:t>
      </w:r>
      <w:r w:rsidR="00F40E33">
        <w:rPr>
          <w:rFonts w:cs="Times New Roman"/>
          <w:szCs w:val="24"/>
        </w:rPr>
        <w:t>16</w:t>
      </w:r>
      <w:r w:rsidRPr="004A0269">
        <w:rPr>
          <w:rFonts w:cs="Times New Roman"/>
          <w:szCs w:val="24"/>
        </w:rPr>
        <w:t xml:space="preserve">71) that was designed to </w:t>
      </w:r>
      <w:r>
        <w:rPr>
          <w:rFonts w:eastAsia="MinionPro-Regular" w:cs="Times New Roman"/>
          <w:szCs w:val="24"/>
        </w:rPr>
        <w:t>show</w:t>
      </w:r>
      <w:r w:rsidRPr="004A0269">
        <w:rPr>
          <w:rFonts w:eastAsia="MinionPro-Regular" w:cs="Times New Roman"/>
          <w:szCs w:val="24"/>
        </w:rPr>
        <w:t xml:space="preserve"> the central doctrines of</w:t>
      </w:r>
      <w:r>
        <w:rPr>
          <w:rFonts w:eastAsia="MinionPro-Regular" w:cs="Times New Roman"/>
          <w:szCs w:val="24"/>
        </w:rPr>
        <w:t xml:space="preserve"> </w:t>
      </w:r>
      <w:r w:rsidRPr="004A0269">
        <w:rPr>
          <w:rFonts w:eastAsia="MinionPro-Regular" w:cs="Times New Roman"/>
          <w:szCs w:val="24"/>
        </w:rPr>
        <w:t xml:space="preserve">Christianity </w:t>
      </w:r>
      <w:r>
        <w:rPr>
          <w:rFonts w:eastAsia="MinionPro-Regular" w:cs="Times New Roman"/>
          <w:szCs w:val="24"/>
        </w:rPr>
        <w:t>“</w:t>
      </w:r>
      <w:r w:rsidRPr="004A0269">
        <w:rPr>
          <w:rFonts w:eastAsia="MinionPro-Regular" w:cs="Times New Roman"/>
          <w:szCs w:val="24"/>
        </w:rPr>
        <w:t>to be thoroughly holy and thoroughly</w:t>
      </w:r>
      <w:r>
        <w:rPr>
          <w:rFonts w:eastAsia="MinionPro-Regular" w:cs="Times New Roman"/>
          <w:szCs w:val="24"/>
        </w:rPr>
        <w:t xml:space="preserve"> </w:t>
      </w:r>
      <w:r w:rsidRPr="004A0269">
        <w:rPr>
          <w:rFonts w:eastAsia="MinionPro-Regular" w:cs="Times New Roman"/>
          <w:szCs w:val="24"/>
        </w:rPr>
        <w:t>rational</w:t>
      </w:r>
      <w:r w:rsidR="00453726">
        <w:rPr>
          <w:rFonts w:eastAsia="MinionPro-Regular" w:cs="Times New Roman"/>
          <w:szCs w:val="24"/>
        </w:rPr>
        <w:t>,</w:t>
      </w:r>
      <w:r>
        <w:rPr>
          <w:rFonts w:eastAsia="MinionPro-Regular" w:cs="Times New Roman"/>
          <w:szCs w:val="24"/>
        </w:rPr>
        <w:t>”</w:t>
      </w:r>
      <w:r>
        <w:rPr>
          <w:rStyle w:val="FootnoteReference"/>
          <w:rFonts w:eastAsia="MinionPro-Regular" w:cs="Times New Roman"/>
          <w:szCs w:val="24"/>
        </w:rPr>
        <w:footnoteReference w:id="46"/>
      </w:r>
      <w:r w:rsidRPr="004A0269">
        <w:rPr>
          <w:rFonts w:eastAsia="MinionPro-Regular" w:cs="Times New Roman"/>
          <w:szCs w:val="24"/>
        </w:rPr>
        <w:t xml:space="preserve"> making it a truly universal religion acceptable to all humans</w:t>
      </w:r>
      <w:r>
        <w:rPr>
          <w:rFonts w:eastAsia="MinionPro-Regular" w:cs="Times New Roman"/>
          <w:szCs w:val="24"/>
        </w:rPr>
        <w:t xml:space="preserve"> </w:t>
      </w:r>
      <w:r w:rsidRPr="004A0269">
        <w:rPr>
          <w:rFonts w:eastAsia="MinionPro-It" w:cs="Times New Roman"/>
          <w:i/>
          <w:iCs/>
          <w:szCs w:val="24"/>
        </w:rPr>
        <w:t xml:space="preserve">qua </w:t>
      </w:r>
      <w:r w:rsidRPr="004A0269">
        <w:rPr>
          <w:rFonts w:eastAsia="MinionPro-Regular" w:cs="Times New Roman"/>
          <w:szCs w:val="24"/>
        </w:rPr>
        <w:t>rational creatures.</w:t>
      </w:r>
      <w:r>
        <w:rPr>
          <w:rFonts w:eastAsia="MinionPro-Regular" w:cs="Times New Roman"/>
          <w:szCs w:val="24"/>
        </w:rPr>
        <w:t xml:space="preserve"> If successful, t</w:t>
      </w:r>
      <w:r w:rsidRPr="004A0269">
        <w:rPr>
          <w:rFonts w:eastAsia="MinionPro-Regular" w:cs="Times New Roman"/>
          <w:szCs w:val="24"/>
        </w:rPr>
        <w:t>he Catholic</w:t>
      </w:r>
      <w:r>
        <w:rPr>
          <w:rFonts w:eastAsia="MinionPro-Regular" w:cs="Times New Roman"/>
          <w:szCs w:val="24"/>
        </w:rPr>
        <w:t xml:space="preserve"> </w:t>
      </w:r>
      <w:r w:rsidRPr="004A0269">
        <w:rPr>
          <w:rFonts w:eastAsia="MinionPro-Regular" w:cs="Times New Roman"/>
          <w:szCs w:val="24"/>
        </w:rPr>
        <w:t>Demonstrations would have had the potential to unite all Christians, philosophically</w:t>
      </w:r>
      <w:r>
        <w:rPr>
          <w:rFonts w:eastAsia="MinionPro-Regular" w:cs="Times New Roman"/>
          <w:szCs w:val="24"/>
        </w:rPr>
        <w:t xml:space="preserve"> </w:t>
      </w:r>
      <w:r w:rsidRPr="004A0269">
        <w:rPr>
          <w:rFonts w:eastAsia="MinionPro-Regular" w:cs="Times New Roman"/>
          <w:szCs w:val="24"/>
        </w:rPr>
        <w:t>and doctrinally</w:t>
      </w:r>
      <w:r>
        <w:rPr>
          <w:rFonts w:eastAsia="MinionPro-Regular" w:cs="Times New Roman"/>
          <w:szCs w:val="24"/>
        </w:rPr>
        <w:t>, and thus eliminate sectarianism</w:t>
      </w:r>
      <w:r w:rsidRPr="004A0269">
        <w:rPr>
          <w:rFonts w:cs="Times New Roman"/>
          <w:szCs w:val="24"/>
        </w:rPr>
        <w:t>. Leibniz revisited the project in the late 1670s and again in the mid-1680s.</w:t>
      </w:r>
      <w:r>
        <w:rPr>
          <w:rStyle w:val="FootnoteReference"/>
          <w:rFonts w:cs="Times New Roman"/>
          <w:szCs w:val="24"/>
        </w:rPr>
        <w:footnoteReference w:id="47"/>
      </w:r>
      <w:r w:rsidRPr="004A0269">
        <w:rPr>
          <w:rFonts w:cs="Times New Roman"/>
          <w:szCs w:val="24"/>
        </w:rPr>
        <w:t xml:space="preserve"> From th</w:t>
      </w:r>
      <w:r>
        <w:rPr>
          <w:rFonts w:cs="Times New Roman"/>
          <w:szCs w:val="24"/>
        </w:rPr>
        <w:t>e 1680s onwards he contributed</w:t>
      </w:r>
      <w:r w:rsidRPr="004A0269">
        <w:rPr>
          <w:rFonts w:cs="Times New Roman"/>
          <w:szCs w:val="24"/>
        </w:rPr>
        <w:t xml:space="preserve"> to the church reunification efforts which sought to unite Catholic and Protestant. </w:t>
      </w:r>
      <w:r w:rsidRPr="00BA793F">
        <w:rPr>
          <w:rFonts w:cs="Times New Roman"/>
          <w:szCs w:val="24"/>
        </w:rPr>
        <w:t xml:space="preserve">Leibniz’s input in the reunion effort was </w:t>
      </w:r>
      <w:r>
        <w:rPr>
          <w:rFonts w:cs="Times New Roman"/>
          <w:szCs w:val="24"/>
        </w:rPr>
        <w:t xml:space="preserve">initially </w:t>
      </w:r>
      <w:r w:rsidRPr="00BA793F">
        <w:rPr>
          <w:rFonts w:cs="Times New Roman"/>
          <w:szCs w:val="24"/>
        </w:rPr>
        <w:t>limited to behind-the</w:t>
      </w:r>
      <w:r>
        <w:rPr>
          <w:rFonts w:cs="Times New Roman"/>
          <w:szCs w:val="24"/>
        </w:rPr>
        <w:t>-</w:t>
      </w:r>
      <w:r w:rsidRPr="00BA793F">
        <w:rPr>
          <w:rFonts w:cs="Times New Roman"/>
          <w:szCs w:val="24"/>
        </w:rPr>
        <w:t>scenes</w:t>
      </w:r>
      <w:r>
        <w:rPr>
          <w:rFonts w:cs="Times New Roman"/>
          <w:szCs w:val="24"/>
        </w:rPr>
        <w:t xml:space="preserve"> </w:t>
      </w:r>
      <w:r w:rsidRPr="00BA793F">
        <w:rPr>
          <w:rFonts w:cs="Times New Roman"/>
          <w:szCs w:val="24"/>
        </w:rPr>
        <w:t>advising and counselling, and attempting to generate support for</w:t>
      </w:r>
      <w:r>
        <w:rPr>
          <w:rFonts w:cs="Times New Roman"/>
          <w:szCs w:val="24"/>
        </w:rPr>
        <w:t xml:space="preserve"> </w:t>
      </w:r>
      <w:r w:rsidRPr="00BA793F">
        <w:rPr>
          <w:rFonts w:cs="Times New Roman"/>
          <w:szCs w:val="24"/>
        </w:rPr>
        <w:t>the enterprise through his acquaintances and correspondents. But as efforts</w:t>
      </w:r>
      <w:r>
        <w:rPr>
          <w:rFonts w:cs="Times New Roman"/>
          <w:szCs w:val="24"/>
        </w:rPr>
        <w:t xml:space="preserve"> </w:t>
      </w:r>
      <w:r w:rsidRPr="00BA793F">
        <w:rPr>
          <w:rFonts w:cs="Times New Roman"/>
          <w:szCs w:val="24"/>
        </w:rPr>
        <w:t>floundered, he took on a more active role in the 1690s, pressing the case</w:t>
      </w:r>
      <w:r>
        <w:rPr>
          <w:rFonts w:cs="Times New Roman"/>
          <w:szCs w:val="24"/>
        </w:rPr>
        <w:t xml:space="preserve"> </w:t>
      </w:r>
      <w:r w:rsidRPr="00BA793F">
        <w:rPr>
          <w:rFonts w:cs="Times New Roman"/>
          <w:szCs w:val="24"/>
        </w:rPr>
        <w:t xml:space="preserve">for reunion through his correspondences with Paul </w:t>
      </w:r>
      <w:proofErr w:type="spellStart"/>
      <w:r w:rsidRPr="00BA793F">
        <w:rPr>
          <w:rFonts w:cs="Times New Roman"/>
          <w:szCs w:val="24"/>
        </w:rPr>
        <w:t>Pelisson</w:t>
      </w:r>
      <w:proofErr w:type="spellEnd"/>
      <w:r w:rsidRPr="00BA793F">
        <w:rPr>
          <w:rFonts w:cs="Times New Roman"/>
          <w:szCs w:val="24"/>
        </w:rPr>
        <w:t xml:space="preserve"> (1624–</w:t>
      </w:r>
      <w:r w:rsidR="008653F2">
        <w:rPr>
          <w:rFonts w:cs="Times New Roman"/>
          <w:szCs w:val="24"/>
        </w:rPr>
        <w:t>16</w:t>
      </w:r>
      <w:r w:rsidRPr="00BA793F">
        <w:rPr>
          <w:rFonts w:cs="Times New Roman"/>
          <w:szCs w:val="24"/>
        </w:rPr>
        <w:t>93),</w:t>
      </w:r>
      <w:r>
        <w:rPr>
          <w:rFonts w:cs="Times New Roman"/>
          <w:szCs w:val="24"/>
        </w:rPr>
        <w:t xml:space="preserve"> </w:t>
      </w:r>
      <w:r w:rsidRPr="00BA793F">
        <w:rPr>
          <w:rFonts w:cs="Times New Roman"/>
          <w:szCs w:val="24"/>
        </w:rPr>
        <w:t xml:space="preserve">the court historian of Louis XIV, and </w:t>
      </w:r>
      <w:r>
        <w:rPr>
          <w:rFonts w:cs="Times New Roman"/>
          <w:szCs w:val="24"/>
        </w:rPr>
        <w:t xml:space="preserve">the </w:t>
      </w:r>
      <w:r w:rsidRPr="00BA793F">
        <w:rPr>
          <w:rFonts w:cs="Times New Roman"/>
          <w:szCs w:val="24"/>
        </w:rPr>
        <w:t xml:space="preserve">Bishop of </w:t>
      </w:r>
      <w:proofErr w:type="spellStart"/>
      <w:r w:rsidRPr="00BA793F">
        <w:rPr>
          <w:rFonts w:cs="Times New Roman"/>
          <w:szCs w:val="24"/>
        </w:rPr>
        <w:t>Meaux</w:t>
      </w:r>
      <w:proofErr w:type="spellEnd"/>
      <w:r w:rsidRPr="00BA793F">
        <w:rPr>
          <w:rFonts w:cs="Times New Roman"/>
          <w:szCs w:val="24"/>
        </w:rPr>
        <w:t>, Jacques-</w:t>
      </w:r>
      <w:proofErr w:type="spellStart"/>
      <w:r w:rsidRPr="00BA793F">
        <w:rPr>
          <w:rFonts w:cs="Times New Roman"/>
          <w:szCs w:val="24"/>
        </w:rPr>
        <w:t>Bénigne</w:t>
      </w:r>
      <w:proofErr w:type="spellEnd"/>
      <w:r w:rsidRPr="00BA793F">
        <w:rPr>
          <w:rFonts w:cs="Times New Roman"/>
          <w:szCs w:val="24"/>
        </w:rPr>
        <w:t xml:space="preserve"> Bossuet (1627–1704).</w:t>
      </w:r>
      <w:r>
        <w:rPr>
          <w:rFonts w:cs="Times New Roman"/>
          <w:szCs w:val="24"/>
        </w:rPr>
        <w:t xml:space="preserve"> </w:t>
      </w:r>
      <w:r w:rsidRPr="004A0269">
        <w:rPr>
          <w:rFonts w:cs="Times New Roman"/>
          <w:szCs w:val="24"/>
        </w:rPr>
        <w:t xml:space="preserve">From 1697 to 1706 </w:t>
      </w:r>
      <w:r>
        <w:rPr>
          <w:rFonts w:cs="Times New Roman"/>
          <w:szCs w:val="24"/>
        </w:rPr>
        <w:t>Leibniz</w:t>
      </w:r>
      <w:r w:rsidRPr="004A0269">
        <w:rPr>
          <w:rFonts w:cs="Times New Roman"/>
          <w:szCs w:val="24"/>
        </w:rPr>
        <w:t xml:space="preserve"> was engaged in talks aimed at reuniting the Lutheran and Reformed churches</w:t>
      </w:r>
      <w:r>
        <w:rPr>
          <w:rFonts w:cs="Times New Roman"/>
          <w:szCs w:val="24"/>
        </w:rPr>
        <w:t>, which he saw as involving mutual civic understanding, then ecclesiastical toleration, and finally doctrinal agreement</w:t>
      </w:r>
      <w:r w:rsidRPr="004A0269">
        <w:rPr>
          <w:rFonts w:cs="Times New Roman"/>
          <w:szCs w:val="24"/>
        </w:rPr>
        <w:t>.</w:t>
      </w:r>
      <w:r>
        <w:rPr>
          <w:rStyle w:val="FootnoteReference"/>
          <w:rFonts w:cs="Times New Roman"/>
          <w:szCs w:val="24"/>
        </w:rPr>
        <w:footnoteReference w:id="48"/>
      </w:r>
      <w:r w:rsidRPr="004A0269">
        <w:rPr>
          <w:rFonts w:cs="Times New Roman"/>
          <w:szCs w:val="24"/>
        </w:rPr>
        <w:t xml:space="preserve"> And in the last decade of his life, Leibniz directed his ecumenical impul</w:t>
      </w:r>
      <w:r>
        <w:rPr>
          <w:rFonts w:cs="Times New Roman"/>
        </w:rPr>
        <w:t>ses</w:t>
      </w:r>
      <w:r w:rsidRPr="007400D0">
        <w:rPr>
          <w:rFonts w:cs="Times New Roman"/>
        </w:rPr>
        <w:t xml:space="preserve"> eastwards, seeing the opportunity of a religious meeting ground between Christian Europe and the pe</w:t>
      </w:r>
      <w:r>
        <w:rPr>
          <w:rFonts w:cs="Times New Roman"/>
        </w:rPr>
        <w:t>oples of both China and Russia.</w:t>
      </w:r>
      <w:r>
        <w:rPr>
          <w:rStyle w:val="FootnoteReference"/>
          <w:rFonts w:cs="Times New Roman"/>
        </w:rPr>
        <w:footnoteReference w:id="49"/>
      </w:r>
      <w:r>
        <w:rPr>
          <w:rFonts w:cs="Times New Roman"/>
        </w:rPr>
        <w:t xml:space="preserve"> Thus whenever he saw the opportunity to do so, Leibniz keenly promoted ecumenism in various ways, both before the composition of the Egypt plan, and long after.</w:t>
      </w:r>
    </w:p>
    <w:p w:rsidR="0057066F" w:rsidRDefault="001F1057" w:rsidP="00D230DF">
      <w:pPr>
        <w:ind w:firstLine="720"/>
      </w:pPr>
      <w:r>
        <w:rPr>
          <w:rFonts w:cs="Times New Roman"/>
        </w:rPr>
        <w:t xml:space="preserve">Put in this context, then, the </w:t>
      </w:r>
      <w:r>
        <w:t>ecumenical sentiments Leibniz espouses in the “</w:t>
      </w:r>
      <w:proofErr w:type="spellStart"/>
      <w:r>
        <w:t>Justa</w:t>
      </w:r>
      <w:proofErr w:type="spellEnd"/>
      <w:r>
        <w:t xml:space="preserve"> </w:t>
      </w:r>
      <w:proofErr w:type="spellStart"/>
      <w:r>
        <w:t>Dissertatio</w:t>
      </w:r>
      <w:proofErr w:type="spellEnd"/>
      <w:r>
        <w:t xml:space="preserve">” reflect a consciousness on the issue that flowered often throughout his career, both before and after the composition of the Egypt plan. </w:t>
      </w:r>
      <w:r w:rsidR="008F6E7D">
        <w:t xml:space="preserve">And it is testimony to the strength of his ecumenical impulses that he managed to give an ecumenical twist to what might seem, on the surface, a project that would afford scant opportunity for one. This would suggest that even if the </w:t>
      </w:r>
      <w:r w:rsidR="008653F2">
        <w:t>principal</w:t>
      </w:r>
      <w:r w:rsidR="008F6E7D">
        <w:t xml:space="preserve"> motivation for the Egypt plan was to divert Louis from war with Holland, it is unlikely to be the only motivation that Leibniz had for advocating the plan</w:t>
      </w:r>
      <w:r w:rsidR="003A0C5D">
        <w:t xml:space="preserve"> during the time in which he did so</w:t>
      </w:r>
      <w:r w:rsidR="008F6E7D">
        <w:t>.</w:t>
      </w:r>
      <w:r w:rsidR="00B54EE9">
        <w:rPr>
          <w:rStyle w:val="FootnoteReference"/>
        </w:rPr>
        <w:footnoteReference w:id="50"/>
      </w:r>
    </w:p>
    <w:p w:rsidR="001A5C86" w:rsidRDefault="001A5C86" w:rsidP="00D230DF">
      <w:pPr>
        <w:ind w:firstLine="720"/>
      </w:pPr>
    </w:p>
    <w:sectPr w:rsidR="001A5C86" w:rsidSect="008000CE">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689" w:rsidRDefault="005B3689" w:rsidP="008131DF">
      <w:r>
        <w:separator/>
      </w:r>
    </w:p>
  </w:endnote>
  <w:endnote w:type="continuationSeparator" w:id="0">
    <w:p w:rsidR="005B3689" w:rsidRDefault="005B3689" w:rsidP="008131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Pro-Regular">
    <w:altName w:val="MS Mincho"/>
    <w:panose1 w:val="00000000000000000000"/>
    <w:charset w:val="80"/>
    <w:family w:val="roman"/>
    <w:notTrueType/>
    <w:pitch w:val="default"/>
    <w:sig w:usb0="00000000" w:usb1="08070000" w:usb2="00000010" w:usb3="00000000" w:csb0="00020000" w:csb1="00000000"/>
  </w:font>
  <w:font w:name="MinionPro-It">
    <w:altName w:val="MS PMincho"/>
    <w:panose1 w:val="02040503050201090203"/>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52258"/>
      <w:docPartObj>
        <w:docPartGallery w:val="Page Numbers (Bottom of Page)"/>
        <w:docPartUnique/>
      </w:docPartObj>
    </w:sdtPr>
    <w:sdtContent>
      <w:p w:rsidR="000772C7" w:rsidRDefault="009240C4">
        <w:pPr>
          <w:pStyle w:val="Footer"/>
          <w:jc w:val="center"/>
        </w:pPr>
        <w:fldSimple w:instr=" PAGE   \* MERGEFORMAT ">
          <w:r w:rsidR="00A27F4C">
            <w:rPr>
              <w:noProof/>
            </w:rPr>
            <w:t>1</w:t>
          </w:r>
        </w:fldSimple>
      </w:p>
    </w:sdtContent>
  </w:sdt>
  <w:p w:rsidR="000772C7" w:rsidRDefault="000772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689" w:rsidRDefault="005B3689" w:rsidP="008131DF">
      <w:r>
        <w:separator/>
      </w:r>
    </w:p>
  </w:footnote>
  <w:footnote w:type="continuationSeparator" w:id="0">
    <w:p w:rsidR="005B3689" w:rsidRDefault="005B3689" w:rsidP="008131DF">
      <w:r>
        <w:continuationSeparator/>
      </w:r>
    </w:p>
  </w:footnote>
  <w:footnote w:id="1">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See for example</w:t>
      </w:r>
      <w:r w:rsidR="00293089">
        <w:rPr>
          <w:rFonts w:cs="Times New Roman"/>
        </w:rPr>
        <w:t xml:space="preserve"> </w:t>
      </w:r>
      <w:r w:rsidRPr="00677568">
        <w:rPr>
          <w:rFonts w:cs="Times New Roman"/>
        </w:rPr>
        <w:t xml:space="preserve">G. J. Jordan, </w:t>
      </w:r>
      <w:r w:rsidRPr="00677568">
        <w:rPr>
          <w:rFonts w:cs="Times New Roman"/>
          <w:i/>
        </w:rPr>
        <w:t>The Reunion of the Churches: A Study of G. W. Leibnitz and His Great Attempt</w:t>
      </w:r>
      <w:r w:rsidRPr="00677568">
        <w:rPr>
          <w:rFonts w:cs="Times New Roman"/>
        </w:rPr>
        <w:t xml:space="preserve">, London 1927, p. 29; Frank E. Manuel and </w:t>
      </w:r>
      <w:proofErr w:type="spellStart"/>
      <w:r w:rsidRPr="00677568">
        <w:rPr>
          <w:rFonts w:cs="Times New Roman"/>
        </w:rPr>
        <w:t>Fritzie</w:t>
      </w:r>
      <w:proofErr w:type="spellEnd"/>
      <w:r w:rsidRPr="00677568">
        <w:rPr>
          <w:rFonts w:cs="Times New Roman"/>
        </w:rPr>
        <w:t xml:space="preserve"> P. Manuel, </w:t>
      </w:r>
      <w:r w:rsidRPr="00677568">
        <w:rPr>
          <w:rFonts w:cs="Times New Roman"/>
          <w:i/>
        </w:rPr>
        <w:t>Utopian Thought in the Western World</w:t>
      </w:r>
      <w:r w:rsidRPr="00677568">
        <w:rPr>
          <w:rFonts w:cs="Times New Roman"/>
        </w:rPr>
        <w:t xml:space="preserve">, Cambridge, Mass. 1979, p. 394 and p. 405; Patrick Riley, </w:t>
      </w:r>
      <w:r w:rsidRPr="00677568">
        <w:rPr>
          <w:rFonts w:cs="Times New Roman"/>
          <w:i/>
        </w:rPr>
        <w:t>Leibniz’ Universal Jurisprudence</w:t>
      </w:r>
      <w:r w:rsidRPr="00677568">
        <w:rPr>
          <w:rFonts w:cs="Times New Roman"/>
        </w:rPr>
        <w:t>, Camb</w:t>
      </w:r>
      <w:r w:rsidR="00293089">
        <w:rPr>
          <w:rFonts w:cs="Times New Roman"/>
        </w:rPr>
        <w:t xml:space="preserve">ridge, Mass. 1996, p. 246; </w:t>
      </w:r>
      <w:r w:rsidR="00293089" w:rsidRPr="00677568">
        <w:rPr>
          <w:rFonts w:cs="Times New Roman"/>
        </w:rPr>
        <w:t xml:space="preserve">Brigitte </w:t>
      </w:r>
      <w:proofErr w:type="spellStart"/>
      <w:r w:rsidR="00293089" w:rsidRPr="00677568">
        <w:rPr>
          <w:rFonts w:cs="Times New Roman"/>
        </w:rPr>
        <w:t>Saouma</w:t>
      </w:r>
      <w:proofErr w:type="spellEnd"/>
      <w:r w:rsidR="00293089" w:rsidRPr="00677568">
        <w:rPr>
          <w:rFonts w:cs="Times New Roman"/>
        </w:rPr>
        <w:t xml:space="preserve">, “Leibniz et </w:t>
      </w:r>
      <w:proofErr w:type="spellStart"/>
      <w:r w:rsidR="00293089" w:rsidRPr="00677568">
        <w:rPr>
          <w:rFonts w:cs="Times New Roman"/>
        </w:rPr>
        <w:t>l’idée</w:t>
      </w:r>
      <w:proofErr w:type="spellEnd"/>
      <w:r w:rsidR="00293089" w:rsidRPr="00677568">
        <w:rPr>
          <w:rFonts w:cs="Times New Roman"/>
        </w:rPr>
        <w:t xml:space="preserve"> de </w:t>
      </w:r>
      <w:proofErr w:type="spellStart"/>
      <w:r w:rsidR="00293089" w:rsidRPr="00677568">
        <w:rPr>
          <w:rFonts w:cs="Times New Roman"/>
        </w:rPr>
        <w:t>croisade</w:t>
      </w:r>
      <w:proofErr w:type="spellEnd"/>
      <w:r w:rsidR="00293089" w:rsidRPr="00677568">
        <w:rPr>
          <w:rFonts w:cs="Times New Roman"/>
        </w:rPr>
        <w:t xml:space="preserve">”, in: </w:t>
      </w:r>
      <w:proofErr w:type="spellStart"/>
      <w:r w:rsidR="00293089" w:rsidRPr="00677568">
        <w:rPr>
          <w:rFonts w:cs="Times New Roman"/>
          <w:i/>
        </w:rPr>
        <w:t>Pluralität</w:t>
      </w:r>
      <w:proofErr w:type="spellEnd"/>
      <w:r w:rsidR="00293089" w:rsidRPr="00677568">
        <w:rPr>
          <w:rFonts w:cs="Times New Roman"/>
          <w:i/>
        </w:rPr>
        <w:t xml:space="preserve"> </w:t>
      </w:r>
      <w:proofErr w:type="spellStart"/>
      <w:r w:rsidR="00293089" w:rsidRPr="00677568">
        <w:rPr>
          <w:rFonts w:cs="Times New Roman"/>
          <w:i/>
        </w:rPr>
        <w:t>der</w:t>
      </w:r>
      <w:proofErr w:type="spellEnd"/>
      <w:r w:rsidR="00293089" w:rsidRPr="00677568">
        <w:rPr>
          <w:rFonts w:cs="Times New Roman"/>
          <w:i/>
        </w:rPr>
        <w:t xml:space="preserve"> </w:t>
      </w:r>
      <w:proofErr w:type="spellStart"/>
      <w:r w:rsidR="00293089" w:rsidRPr="00677568">
        <w:rPr>
          <w:rFonts w:cs="Times New Roman"/>
          <w:i/>
        </w:rPr>
        <w:t>Perspektiven</w:t>
      </w:r>
      <w:proofErr w:type="spellEnd"/>
      <w:r w:rsidR="00293089" w:rsidRPr="00677568">
        <w:rPr>
          <w:rFonts w:cs="Times New Roman"/>
          <w:i/>
        </w:rPr>
        <w:t xml:space="preserve"> und </w:t>
      </w:r>
      <w:proofErr w:type="spellStart"/>
      <w:r w:rsidR="00293089" w:rsidRPr="00677568">
        <w:rPr>
          <w:rFonts w:cs="Times New Roman"/>
          <w:i/>
        </w:rPr>
        <w:t>Einheit</w:t>
      </w:r>
      <w:proofErr w:type="spellEnd"/>
      <w:r w:rsidR="00293089" w:rsidRPr="00677568">
        <w:rPr>
          <w:rFonts w:cs="Times New Roman"/>
          <w:i/>
        </w:rPr>
        <w:t xml:space="preserve"> </w:t>
      </w:r>
      <w:proofErr w:type="spellStart"/>
      <w:r w:rsidR="00293089" w:rsidRPr="00677568">
        <w:rPr>
          <w:rFonts w:cs="Times New Roman"/>
          <w:i/>
        </w:rPr>
        <w:t>der</w:t>
      </w:r>
      <w:proofErr w:type="spellEnd"/>
      <w:r w:rsidR="00293089" w:rsidRPr="00677568">
        <w:rPr>
          <w:rFonts w:cs="Times New Roman"/>
          <w:i/>
        </w:rPr>
        <w:t xml:space="preserve"> </w:t>
      </w:r>
      <w:proofErr w:type="spellStart"/>
      <w:r w:rsidR="00293089" w:rsidRPr="00677568">
        <w:rPr>
          <w:rFonts w:cs="Times New Roman"/>
          <w:i/>
        </w:rPr>
        <w:t>Wahrheit</w:t>
      </w:r>
      <w:proofErr w:type="spellEnd"/>
      <w:r w:rsidR="00293089" w:rsidRPr="00677568">
        <w:rPr>
          <w:rFonts w:cs="Times New Roman"/>
          <w:i/>
        </w:rPr>
        <w:t xml:space="preserve"> </w:t>
      </w:r>
      <w:proofErr w:type="spellStart"/>
      <w:r w:rsidR="00293089" w:rsidRPr="00677568">
        <w:rPr>
          <w:rFonts w:cs="Times New Roman"/>
          <w:i/>
        </w:rPr>
        <w:t>im</w:t>
      </w:r>
      <w:proofErr w:type="spellEnd"/>
      <w:r w:rsidR="00293089" w:rsidRPr="00677568">
        <w:rPr>
          <w:rFonts w:cs="Times New Roman"/>
          <w:i/>
        </w:rPr>
        <w:t xml:space="preserve"> </w:t>
      </w:r>
      <w:proofErr w:type="spellStart"/>
      <w:r w:rsidR="00293089" w:rsidRPr="00677568">
        <w:rPr>
          <w:rFonts w:cs="Times New Roman"/>
          <w:i/>
        </w:rPr>
        <w:t>Werk</w:t>
      </w:r>
      <w:proofErr w:type="spellEnd"/>
      <w:r w:rsidR="00293089" w:rsidRPr="00677568">
        <w:rPr>
          <w:rFonts w:cs="Times New Roman"/>
          <w:i/>
        </w:rPr>
        <w:t xml:space="preserve"> von G. W. Leibniz</w:t>
      </w:r>
      <w:r w:rsidR="00293089" w:rsidRPr="00677568">
        <w:rPr>
          <w:rFonts w:cs="Times New Roman"/>
        </w:rPr>
        <w:t xml:space="preserve">, eds. Friedrich </w:t>
      </w:r>
      <w:proofErr w:type="spellStart"/>
      <w:r w:rsidR="00293089" w:rsidRPr="00677568">
        <w:rPr>
          <w:rFonts w:cs="Times New Roman"/>
        </w:rPr>
        <w:t>Beiderbeck</w:t>
      </w:r>
      <w:proofErr w:type="spellEnd"/>
      <w:r w:rsidR="00293089" w:rsidRPr="00677568">
        <w:rPr>
          <w:rFonts w:cs="Times New Roman"/>
        </w:rPr>
        <w:t xml:space="preserve"> and Stephan </w:t>
      </w:r>
      <w:proofErr w:type="spellStart"/>
      <w:r w:rsidR="00293089" w:rsidRPr="00677568">
        <w:rPr>
          <w:rFonts w:cs="Times New Roman"/>
        </w:rPr>
        <w:t>Waldhoff</w:t>
      </w:r>
      <w:proofErr w:type="spellEnd"/>
      <w:r w:rsidR="00293089" w:rsidRPr="00677568">
        <w:rPr>
          <w:rFonts w:cs="Times New Roman"/>
        </w:rPr>
        <w:t xml:space="preserve">, Berlin </w:t>
      </w:r>
      <w:r w:rsidR="000A56F5">
        <w:rPr>
          <w:rFonts w:cs="Times New Roman"/>
        </w:rPr>
        <w:t>2011, pp. 103-120, here p. 112.</w:t>
      </w:r>
    </w:p>
  </w:footnote>
  <w:footnote w:id="2">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“If Egypt were invaded, the war would be in character, acclamation, and consequence, a holy war.” </w:t>
      </w:r>
      <w:proofErr w:type="gramStart"/>
      <w:r w:rsidRPr="00677568">
        <w:rPr>
          <w:rFonts w:cs="Times New Roman"/>
        </w:rPr>
        <w:t>A</w:t>
      </w:r>
      <w:proofErr w:type="gramEnd"/>
      <w:r w:rsidRPr="00677568">
        <w:rPr>
          <w:rFonts w:cs="Times New Roman"/>
        </w:rPr>
        <w:t xml:space="preserve"> IV 1, 274.</w:t>
      </w:r>
      <w:r w:rsidR="00F40E33">
        <w:rPr>
          <w:rFonts w:cs="Times New Roman"/>
        </w:rPr>
        <w:t xml:space="preserve"> All translations in this paper are my own.</w:t>
      </w:r>
    </w:p>
  </w:footnote>
  <w:footnote w:id="3">
    <w:p w:rsidR="000772C7" w:rsidRPr="00677568" w:rsidRDefault="000772C7" w:rsidP="00677568">
      <w:pPr>
        <w:autoSpaceDE w:val="0"/>
        <w:autoSpaceDN w:val="0"/>
        <w:adjustRightInd w:val="0"/>
        <w:rPr>
          <w:rFonts w:cs="Times New Roman"/>
          <w:sz w:val="20"/>
          <w:szCs w:val="20"/>
        </w:rPr>
      </w:pPr>
      <w:r w:rsidRPr="00677568">
        <w:rPr>
          <w:rStyle w:val="FootnoteReference"/>
          <w:rFonts w:cs="Times New Roman"/>
          <w:sz w:val="20"/>
          <w:szCs w:val="20"/>
        </w:rPr>
        <w:footnoteRef/>
      </w:r>
      <w:r w:rsidRPr="00677568">
        <w:rPr>
          <w:rFonts w:cs="Times New Roman"/>
          <w:sz w:val="20"/>
          <w:szCs w:val="20"/>
        </w:rPr>
        <w:t xml:space="preserve"> Ian Almond, </w:t>
      </w:r>
      <w:r w:rsidRPr="00677568">
        <w:rPr>
          <w:rFonts w:cs="Times New Roman"/>
          <w:i/>
          <w:sz w:val="20"/>
          <w:szCs w:val="20"/>
        </w:rPr>
        <w:t>The History of Islam in German Thought</w:t>
      </w:r>
      <w:r w:rsidR="00E10E3C">
        <w:rPr>
          <w:rFonts w:cs="Times New Roman"/>
          <w:sz w:val="20"/>
          <w:szCs w:val="20"/>
        </w:rPr>
        <w:t>, London 2010, p. 16.</w:t>
      </w:r>
    </w:p>
  </w:footnote>
  <w:footnote w:id="4">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Jordan, </w:t>
      </w:r>
      <w:proofErr w:type="gramStart"/>
      <w:r w:rsidRPr="00677568">
        <w:rPr>
          <w:rFonts w:cs="Times New Roman"/>
          <w:i/>
        </w:rPr>
        <w:t>The</w:t>
      </w:r>
      <w:proofErr w:type="gramEnd"/>
      <w:r w:rsidRPr="00677568">
        <w:rPr>
          <w:rFonts w:cs="Times New Roman"/>
          <w:i/>
        </w:rPr>
        <w:t xml:space="preserve"> Reunion of the Churches</w:t>
      </w:r>
      <w:r w:rsidRPr="00677568">
        <w:rPr>
          <w:rFonts w:cs="Times New Roman"/>
        </w:rPr>
        <w:t>, p. 31.</w:t>
      </w:r>
    </w:p>
  </w:footnote>
  <w:footnote w:id="5">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w:t>
      </w:r>
      <w:proofErr w:type="gramStart"/>
      <w:r w:rsidRPr="00677568">
        <w:rPr>
          <w:rFonts w:cs="Times New Roman"/>
        </w:rPr>
        <w:t>A</w:t>
      </w:r>
      <w:proofErr w:type="gramEnd"/>
      <w:r w:rsidRPr="00677568">
        <w:rPr>
          <w:rFonts w:cs="Times New Roman"/>
        </w:rPr>
        <w:t xml:space="preserve"> IV 1, 267-382.</w:t>
      </w:r>
    </w:p>
  </w:footnote>
  <w:footnote w:id="6">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w:t>
      </w:r>
      <w:proofErr w:type="gramStart"/>
      <w:r w:rsidRPr="00677568">
        <w:rPr>
          <w:rFonts w:cs="Times New Roman"/>
        </w:rPr>
        <w:t>A</w:t>
      </w:r>
      <w:proofErr w:type="gramEnd"/>
      <w:r w:rsidRPr="00677568">
        <w:rPr>
          <w:rFonts w:cs="Times New Roman"/>
        </w:rPr>
        <w:t xml:space="preserve"> IV 1, 273-279.</w:t>
      </w:r>
    </w:p>
  </w:footnote>
  <w:footnote w:id="7">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w:t>
      </w:r>
      <w:proofErr w:type="gramStart"/>
      <w:r w:rsidRPr="00677568">
        <w:rPr>
          <w:rFonts w:cs="Times New Roman"/>
        </w:rPr>
        <w:t>A</w:t>
      </w:r>
      <w:proofErr w:type="gramEnd"/>
      <w:r w:rsidRPr="00677568">
        <w:rPr>
          <w:rFonts w:cs="Times New Roman"/>
        </w:rPr>
        <w:t xml:space="preserve"> IV 1, 279-367.</w:t>
      </w:r>
    </w:p>
  </w:footnote>
  <w:footnote w:id="8">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w:t>
      </w:r>
      <w:proofErr w:type="gramStart"/>
      <w:r w:rsidRPr="00677568">
        <w:rPr>
          <w:rFonts w:cs="Times New Roman"/>
        </w:rPr>
        <w:t>A</w:t>
      </w:r>
      <w:proofErr w:type="gramEnd"/>
      <w:r w:rsidRPr="00677568">
        <w:rPr>
          <w:rFonts w:cs="Times New Roman"/>
        </w:rPr>
        <w:t xml:space="preserve"> IV 1, 368-376.</w:t>
      </w:r>
    </w:p>
  </w:footnote>
  <w:footnote w:id="9">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w:t>
      </w:r>
      <w:proofErr w:type="gramStart"/>
      <w:r w:rsidRPr="00677568">
        <w:rPr>
          <w:rFonts w:cs="Times New Roman"/>
        </w:rPr>
        <w:t>A</w:t>
      </w:r>
      <w:proofErr w:type="gramEnd"/>
      <w:r w:rsidRPr="00677568">
        <w:rPr>
          <w:rFonts w:cs="Times New Roman"/>
        </w:rPr>
        <w:t xml:space="preserve"> IV 1, 376-378.</w:t>
      </w:r>
    </w:p>
  </w:footnote>
  <w:footnote w:id="10">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w:t>
      </w:r>
      <w:proofErr w:type="gramStart"/>
      <w:r w:rsidRPr="00677568">
        <w:rPr>
          <w:rFonts w:cs="Times New Roman"/>
        </w:rPr>
        <w:t>A</w:t>
      </w:r>
      <w:proofErr w:type="gramEnd"/>
      <w:r w:rsidR="00E10E3C">
        <w:rPr>
          <w:rFonts w:cs="Times New Roman"/>
        </w:rPr>
        <w:t xml:space="preserve"> IV 1, 378-382.</w:t>
      </w:r>
    </w:p>
  </w:footnote>
  <w:footnote w:id="11">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Leibniz calls </w:t>
      </w:r>
      <w:r w:rsidR="00FF1E05">
        <w:rPr>
          <w:rFonts w:cs="Times New Roman"/>
        </w:rPr>
        <w:t>Egypt</w:t>
      </w:r>
      <w:r w:rsidRPr="00677568">
        <w:rPr>
          <w:rFonts w:cs="Times New Roman"/>
        </w:rPr>
        <w:t xml:space="preserve"> the “heart </w:t>
      </w:r>
      <w:r w:rsidR="00E10E3C">
        <w:rPr>
          <w:rFonts w:cs="Times New Roman"/>
        </w:rPr>
        <w:t xml:space="preserve">of </w:t>
      </w:r>
      <w:proofErr w:type="spellStart"/>
      <w:r w:rsidR="00E10E3C">
        <w:rPr>
          <w:rFonts w:cs="Times New Roman"/>
        </w:rPr>
        <w:t>Mahometanism</w:t>
      </w:r>
      <w:proofErr w:type="spellEnd"/>
      <w:r w:rsidR="00E10E3C">
        <w:rPr>
          <w:rFonts w:cs="Times New Roman"/>
        </w:rPr>
        <w:t>” (A IV 1, 269).</w:t>
      </w:r>
    </w:p>
  </w:footnote>
  <w:footnote w:id="12">
    <w:p w:rsidR="00232D8A" w:rsidRPr="00677568" w:rsidRDefault="00232D8A" w:rsidP="00232D8A">
      <w:pPr>
        <w:pStyle w:val="FootnoteText"/>
        <w:rPr>
          <w:rFonts w:cs="Times New Roman"/>
        </w:rPr>
      </w:pPr>
      <w:r w:rsidRPr="00677568">
        <w:rPr>
          <w:rStyle w:val="FootnoteReference"/>
          <w:rFonts w:cs="Times New Roman"/>
        </w:rPr>
        <w:footnoteRef/>
      </w:r>
      <w:r w:rsidRPr="00677568">
        <w:rPr>
          <w:rFonts w:cs="Times New Roman"/>
        </w:rPr>
        <w:t xml:space="preserve"> </w:t>
      </w:r>
      <w:proofErr w:type="gramStart"/>
      <w:r w:rsidRPr="00677568">
        <w:rPr>
          <w:rFonts w:cs="Times New Roman"/>
        </w:rPr>
        <w:t>A</w:t>
      </w:r>
      <w:proofErr w:type="gramEnd"/>
      <w:r w:rsidRPr="00677568">
        <w:rPr>
          <w:rFonts w:cs="Times New Roman"/>
        </w:rPr>
        <w:t xml:space="preserve"> IV 1, 310.</w:t>
      </w:r>
    </w:p>
  </w:footnote>
  <w:footnote w:id="13">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w:t>
      </w:r>
      <w:proofErr w:type="gramStart"/>
      <w:r w:rsidRPr="00677568">
        <w:rPr>
          <w:rFonts w:cs="Times New Roman"/>
        </w:rPr>
        <w:t>A</w:t>
      </w:r>
      <w:proofErr w:type="gramEnd"/>
      <w:r w:rsidRPr="00677568">
        <w:rPr>
          <w:rFonts w:cs="Times New Roman"/>
        </w:rPr>
        <w:t xml:space="preserve"> IV 1, 280. See also A IV 1, 300.</w:t>
      </w:r>
    </w:p>
  </w:footnote>
  <w:footnote w:id="14">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w:t>
      </w:r>
      <w:proofErr w:type="gramStart"/>
      <w:r w:rsidRPr="00677568">
        <w:rPr>
          <w:rFonts w:cs="Times New Roman"/>
        </w:rPr>
        <w:t>A</w:t>
      </w:r>
      <w:proofErr w:type="gramEnd"/>
      <w:r w:rsidRPr="00677568">
        <w:rPr>
          <w:rFonts w:cs="Times New Roman"/>
        </w:rPr>
        <w:t xml:space="preserve"> IV 1, 272.</w:t>
      </w:r>
    </w:p>
  </w:footnote>
  <w:footnote w:id="15">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See for example A IV 1, 267 and 274.</w:t>
      </w:r>
    </w:p>
  </w:footnote>
  <w:footnote w:id="16">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Leibniz also identified side-benefits of this, namely that defeating the Turks would free the Christians of the East who had been long harassed by Muslims (A IV 1, 379), and make it possible to “bring the Christian religion to the furthermost limits of the world” (A IV 1, 279).</w:t>
      </w:r>
    </w:p>
  </w:footnote>
  <w:footnote w:id="17">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w:t>
      </w:r>
      <w:r w:rsidR="00E10E3C" w:rsidRPr="00677568">
        <w:rPr>
          <w:rFonts w:cs="Times New Roman"/>
        </w:rPr>
        <w:t xml:space="preserve">Marino </w:t>
      </w:r>
      <w:proofErr w:type="spellStart"/>
      <w:r w:rsidR="00E10E3C" w:rsidRPr="00677568">
        <w:rPr>
          <w:rFonts w:cs="Times New Roman"/>
        </w:rPr>
        <w:t>Sanudo</w:t>
      </w:r>
      <w:proofErr w:type="spellEnd"/>
      <w:r w:rsidR="00E10E3C" w:rsidRPr="00677568">
        <w:rPr>
          <w:rFonts w:cs="Times New Roman"/>
        </w:rPr>
        <w:t xml:space="preserve"> </w:t>
      </w:r>
      <w:proofErr w:type="spellStart"/>
      <w:r w:rsidR="00E10E3C" w:rsidRPr="00677568">
        <w:rPr>
          <w:rFonts w:cs="Times New Roman"/>
        </w:rPr>
        <w:t>Torsello</w:t>
      </w:r>
      <w:proofErr w:type="spellEnd"/>
      <w:r w:rsidR="00E10E3C" w:rsidRPr="00677568">
        <w:rPr>
          <w:rFonts w:cs="Times New Roman"/>
        </w:rPr>
        <w:t xml:space="preserve">, </w:t>
      </w:r>
      <w:r w:rsidR="00E10E3C" w:rsidRPr="00677568">
        <w:rPr>
          <w:rFonts w:cs="Times New Roman"/>
          <w:i/>
        </w:rPr>
        <w:t>The Book of the Secrets of the Faithful of the Cross</w:t>
      </w:r>
      <w:r w:rsidR="00E10E3C" w:rsidRPr="00677568">
        <w:rPr>
          <w:rFonts w:cs="Times New Roman"/>
        </w:rPr>
        <w:t>, trans. Peter Lock, Farnham 2011</w:t>
      </w:r>
      <w:r w:rsidRPr="00677568">
        <w:rPr>
          <w:rFonts w:cs="Times New Roman"/>
        </w:rPr>
        <w:t>, p. 22.</w:t>
      </w:r>
    </w:p>
  </w:footnote>
  <w:footnote w:id="18">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John Foxe, </w:t>
      </w:r>
      <w:r w:rsidRPr="00677568">
        <w:rPr>
          <w:rFonts w:cs="Times New Roman"/>
          <w:i/>
        </w:rPr>
        <w:t>Acts and Monuments</w:t>
      </w:r>
      <w:r w:rsidRPr="00677568">
        <w:rPr>
          <w:rFonts w:cs="Times New Roman"/>
        </w:rPr>
        <w:t>, London, 1583, vol. 6, p. 773.</w:t>
      </w:r>
    </w:p>
  </w:footnote>
  <w:footnote w:id="19">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w:t>
      </w:r>
      <w:proofErr w:type="gramStart"/>
      <w:r w:rsidRPr="00677568">
        <w:rPr>
          <w:rFonts w:cs="Times New Roman"/>
        </w:rPr>
        <w:t>A</w:t>
      </w:r>
      <w:proofErr w:type="gramEnd"/>
      <w:r w:rsidRPr="00677568">
        <w:rPr>
          <w:rFonts w:cs="Times New Roman"/>
        </w:rPr>
        <w:t xml:space="preserve"> IV 1, 363.</w:t>
      </w:r>
    </w:p>
  </w:footnote>
  <w:footnote w:id="20">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w:t>
      </w:r>
      <w:proofErr w:type="gramStart"/>
      <w:r w:rsidRPr="00677568">
        <w:rPr>
          <w:rFonts w:cs="Times New Roman"/>
        </w:rPr>
        <w:t>A</w:t>
      </w:r>
      <w:proofErr w:type="gramEnd"/>
      <w:r w:rsidRPr="00677568">
        <w:rPr>
          <w:rFonts w:cs="Times New Roman"/>
        </w:rPr>
        <w:t xml:space="preserve"> IV 1, 367.</w:t>
      </w:r>
    </w:p>
  </w:footnote>
  <w:footnote w:id="21">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w:t>
      </w:r>
      <w:proofErr w:type="gramStart"/>
      <w:r w:rsidRPr="00677568">
        <w:rPr>
          <w:rFonts w:cs="Times New Roman"/>
        </w:rPr>
        <w:t>A</w:t>
      </w:r>
      <w:proofErr w:type="gramEnd"/>
      <w:r w:rsidRPr="00677568">
        <w:rPr>
          <w:rFonts w:cs="Times New Roman"/>
        </w:rPr>
        <w:t xml:space="preserve"> IV 1, 371.</w:t>
      </w:r>
    </w:p>
  </w:footnote>
  <w:footnote w:id="22">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w:t>
      </w:r>
      <w:proofErr w:type="gramStart"/>
      <w:r w:rsidRPr="00677568">
        <w:rPr>
          <w:rFonts w:cs="Times New Roman"/>
        </w:rPr>
        <w:t>A</w:t>
      </w:r>
      <w:proofErr w:type="gramEnd"/>
      <w:r w:rsidRPr="00677568">
        <w:rPr>
          <w:rFonts w:cs="Times New Roman"/>
        </w:rPr>
        <w:t xml:space="preserve"> IV 1, 360.</w:t>
      </w:r>
    </w:p>
  </w:footnote>
  <w:footnote w:id="23">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w:t>
      </w:r>
      <w:proofErr w:type="gramStart"/>
      <w:r w:rsidRPr="00677568">
        <w:rPr>
          <w:rFonts w:cs="Times New Roman"/>
        </w:rPr>
        <w:t>A</w:t>
      </w:r>
      <w:proofErr w:type="gramEnd"/>
      <w:r w:rsidRPr="00677568">
        <w:rPr>
          <w:rFonts w:cs="Times New Roman"/>
        </w:rPr>
        <w:t xml:space="preserve"> IV 1, 369.</w:t>
      </w:r>
    </w:p>
  </w:footnote>
  <w:footnote w:id="24">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See </w:t>
      </w:r>
      <w:r w:rsidRPr="00677568">
        <w:rPr>
          <w:rFonts w:cs="Times New Roman"/>
          <w:i/>
        </w:rPr>
        <w:t>Sources for the History of Western Civilization, Volume I: From Antiquity to the Mid-Eighteenth Century</w:t>
      </w:r>
      <w:r w:rsidRPr="00677568">
        <w:rPr>
          <w:rFonts w:cs="Times New Roman"/>
        </w:rPr>
        <w:t>, ed. Michael Burger, T</w:t>
      </w:r>
      <w:r w:rsidR="00E10E3C">
        <w:rPr>
          <w:rFonts w:cs="Times New Roman"/>
        </w:rPr>
        <w:t>oronto 2015, p. 338 and p. 340.</w:t>
      </w:r>
    </w:p>
  </w:footnote>
  <w:footnote w:id="25">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Translation from H. J. Schroeder, </w:t>
      </w:r>
      <w:r w:rsidRPr="00677568">
        <w:rPr>
          <w:rFonts w:cs="Times New Roman"/>
          <w:i/>
        </w:rPr>
        <w:t>Disciplinary Decrees of the General Councils: Text, Translation and Commentary</w:t>
      </w:r>
      <w:r w:rsidRPr="00677568">
        <w:rPr>
          <w:rFonts w:cs="Times New Roman"/>
        </w:rPr>
        <w:t>, St. Louis 1937, p. 295.</w:t>
      </w:r>
    </w:p>
  </w:footnote>
  <w:footnote w:id="26">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See Pierre Dubois, </w:t>
      </w:r>
      <w:r w:rsidRPr="00677568">
        <w:rPr>
          <w:rFonts w:cs="Times New Roman"/>
          <w:i/>
        </w:rPr>
        <w:t xml:space="preserve">De </w:t>
      </w:r>
      <w:proofErr w:type="spellStart"/>
      <w:r w:rsidRPr="00677568">
        <w:rPr>
          <w:rFonts w:cs="Times New Roman"/>
          <w:i/>
        </w:rPr>
        <w:t>recuperatione</w:t>
      </w:r>
      <w:proofErr w:type="spellEnd"/>
      <w:r w:rsidRPr="00677568">
        <w:rPr>
          <w:rFonts w:cs="Times New Roman"/>
          <w:i/>
        </w:rPr>
        <w:t xml:space="preserve"> </w:t>
      </w:r>
      <w:proofErr w:type="spellStart"/>
      <w:r w:rsidRPr="00677568">
        <w:rPr>
          <w:rFonts w:cs="Times New Roman"/>
          <w:i/>
        </w:rPr>
        <w:t>terre</w:t>
      </w:r>
      <w:proofErr w:type="spellEnd"/>
      <w:r w:rsidRPr="00677568">
        <w:rPr>
          <w:rFonts w:cs="Times New Roman"/>
          <w:i/>
        </w:rPr>
        <w:t xml:space="preserve"> </w:t>
      </w:r>
      <w:proofErr w:type="spellStart"/>
      <w:r w:rsidRPr="00677568">
        <w:rPr>
          <w:rFonts w:cs="Times New Roman"/>
          <w:i/>
        </w:rPr>
        <w:t>sancte</w:t>
      </w:r>
      <w:proofErr w:type="spellEnd"/>
      <w:r w:rsidRPr="00677568">
        <w:rPr>
          <w:rFonts w:cs="Times New Roman"/>
        </w:rPr>
        <w:t>, Paris 1891, p. 3.</w:t>
      </w:r>
    </w:p>
  </w:footnote>
  <w:footnote w:id="27">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See Thomas Newton, </w:t>
      </w:r>
      <w:r w:rsidRPr="00677568">
        <w:rPr>
          <w:rFonts w:cs="Times New Roman"/>
          <w:i/>
        </w:rPr>
        <w:t xml:space="preserve">A Notable </w:t>
      </w:r>
      <w:proofErr w:type="spellStart"/>
      <w:r w:rsidRPr="00677568">
        <w:rPr>
          <w:rFonts w:cs="Times New Roman"/>
          <w:i/>
        </w:rPr>
        <w:t>Historie</w:t>
      </w:r>
      <w:proofErr w:type="spellEnd"/>
      <w:r w:rsidRPr="00677568">
        <w:rPr>
          <w:rFonts w:cs="Times New Roman"/>
          <w:i/>
        </w:rPr>
        <w:t xml:space="preserve"> of the Saracens</w:t>
      </w:r>
      <w:r w:rsidRPr="00677568">
        <w:rPr>
          <w:rFonts w:cs="Times New Roman"/>
        </w:rPr>
        <w:t xml:space="preserve">, London, </w:t>
      </w:r>
      <w:proofErr w:type="gramStart"/>
      <w:r w:rsidRPr="00677568">
        <w:rPr>
          <w:rFonts w:cs="Times New Roman"/>
        </w:rPr>
        <w:t>1575,</w:t>
      </w:r>
      <w:proofErr w:type="gramEnd"/>
      <w:r w:rsidRPr="00677568">
        <w:rPr>
          <w:rFonts w:cs="Times New Roman"/>
        </w:rPr>
        <w:t xml:space="preserve"> preface [no page number].</w:t>
      </w:r>
    </w:p>
  </w:footnote>
  <w:footnote w:id="28">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See </w:t>
      </w:r>
      <w:proofErr w:type="spellStart"/>
      <w:r w:rsidRPr="00677568">
        <w:rPr>
          <w:rFonts w:cs="Times New Roman"/>
        </w:rPr>
        <w:t>Maximilien</w:t>
      </w:r>
      <w:proofErr w:type="spellEnd"/>
      <w:r w:rsidRPr="00677568">
        <w:rPr>
          <w:rFonts w:cs="Times New Roman"/>
        </w:rPr>
        <w:t xml:space="preserve"> de </w:t>
      </w:r>
      <w:proofErr w:type="spellStart"/>
      <w:r w:rsidRPr="00677568">
        <w:rPr>
          <w:rFonts w:cs="Times New Roman"/>
        </w:rPr>
        <w:t>Béthune</w:t>
      </w:r>
      <w:proofErr w:type="spellEnd"/>
      <w:r w:rsidRPr="00677568">
        <w:rPr>
          <w:rFonts w:cs="Times New Roman"/>
        </w:rPr>
        <w:t xml:space="preserve"> </w:t>
      </w:r>
      <w:proofErr w:type="spellStart"/>
      <w:r w:rsidRPr="00677568">
        <w:rPr>
          <w:rFonts w:cs="Times New Roman"/>
        </w:rPr>
        <w:t>duc</w:t>
      </w:r>
      <w:proofErr w:type="spellEnd"/>
      <w:r w:rsidRPr="00677568">
        <w:rPr>
          <w:rFonts w:cs="Times New Roman"/>
        </w:rPr>
        <w:t xml:space="preserve"> de Sully, </w:t>
      </w:r>
      <w:r w:rsidRPr="00677568">
        <w:rPr>
          <w:rFonts w:cs="Times New Roman"/>
          <w:i/>
        </w:rPr>
        <w:t>Sully’s Grand Design of Henry IV</w:t>
      </w:r>
      <w:r w:rsidRPr="00677568">
        <w:rPr>
          <w:rFonts w:cs="Times New Roman"/>
        </w:rPr>
        <w:t xml:space="preserve">, trans. David </w:t>
      </w:r>
      <w:proofErr w:type="spellStart"/>
      <w:r w:rsidRPr="00677568">
        <w:rPr>
          <w:rFonts w:cs="Times New Roman"/>
        </w:rPr>
        <w:t>Ogg</w:t>
      </w:r>
      <w:proofErr w:type="spellEnd"/>
      <w:r w:rsidRPr="00677568">
        <w:rPr>
          <w:rFonts w:cs="Times New Roman"/>
        </w:rPr>
        <w:t>, London 1921, pp. 34-</w:t>
      </w:r>
      <w:r w:rsidR="00477CD5">
        <w:rPr>
          <w:rFonts w:cs="Times New Roman"/>
        </w:rPr>
        <w:t>3</w:t>
      </w:r>
      <w:r w:rsidRPr="00677568">
        <w:rPr>
          <w:rFonts w:cs="Times New Roman"/>
        </w:rPr>
        <w:t>5.</w:t>
      </w:r>
    </w:p>
  </w:footnote>
  <w:footnote w:id="29">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w:t>
      </w:r>
      <w:proofErr w:type="gramStart"/>
      <w:r w:rsidRPr="00677568">
        <w:rPr>
          <w:rFonts w:cs="Times New Roman"/>
        </w:rPr>
        <w:t>A</w:t>
      </w:r>
      <w:proofErr w:type="gramEnd"/>
      <w:r w:rsidRPr="00677568">
        <w:rPr>
          <w:rFonts w:cs="Times New Roman"/>
        </w:rPr>
        <w:t xml:space="preserve"> IV 1, 336.</w:t>
      </w:r>
    </w:p>
  </w:footnote>
  <w:footnote w:id="30">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w:t>
      </w:r>
      <w:proofErr w:type="gramStart"/>
      <w:r w:rsidRPr="00677568">
        <w:rPr>
          <w:rFonts w:cs="Times New Roman"/>
        </w:rPr>
        <w:t>A</w:t>
      </w:r>
      <w:proofErr w:type="gramEnd"/>
      <w:r w:rsidRPr="00677568">
        <w:rPr>
          <w:rFonts w:cs="Times New Roman"/>
        </w:rPr>
        <w:t xml:space="preserve"> IV 1, 333.</w:t>
      </w:r>
    </w:p>
  </w:footnote>
  <w:footnote w:id="31">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w:t>
      </w:r>
      <w:proofErr w:type="gramStart"/>
      <w:r w:rsidRPr="00677568">
        <w:rPr>
          <w:rFonts w:cs="Times New Roman"/>
        </w:rPr>
        <w:t>A</w:t>
      </w:r>
      <w:proofErr w:type="gramEnd"/>
      <w:r w:rsidRPr="00677568">
        <w:rPr>
          <w:rFonts w:cs="Times New Roman"/>
        </w:rPr>
        <w:t xml:space="preserve"> IV 1, 297.</w:t>
      </w:r>
    </w:p>
  </w:footnote>
  <w:footnote w:id="32">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w:t>
      </w:r>
      <w:proofErr w:type="gramStart"/>
      <w:r w:rsidRPr="00677568">
        <w:rPr>
          <w:rFonts w:cs="Times New Roman"/>
        </w:rPr>
        <w:t>A</w:t>
      </w:r>
      <w:proofErr w:type="gramEnd"/>
      <w:r w:rsidRPr="00677568">
        <w:rPr>
          <w:rFonts w:cs="Times New Roman"/>
        </w:rPr>
        <w:t xml:space="preserve"> IV 1, 307.</w:t>
      </w:r>
    </w:p>
  </w:footnote>
  <w:footnote w:id="33">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w:t>
      </w:r>
      <w:proofErr w:type="gramStart"/>
      <w:r w:rsidRPr="00677568">
        <w:rPr>
          <w:rFonts w:cs="Times New Roman"/>
        </w:rPr>
        <w:t>A</w:t>
      </w:r>
      <w:proofErr w:type="gramEnd"/>
      <w:r w:rsidRPr="00677568">
        <w:rPr>
          <w:rFonts w:cs="Times New Roman"/>
        </w:rPr>
        <w:t xml:space="preserve"> IV 1, 335.</w:t>
      </w:r>
    </w:p>
  </w:footnote>
  <w:footnote w:id="34">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w:t>
      </w:r>
      <w:proofErr w:type="gramStart"/>
      <w:r w:rsidRPr="00677568">
        <w:rPr>
          <w:rFonts w:cs="Times New Roman"/>
        </w:rPr>
        <w:t>A</w:t>
      </w:r>
      <w:proofErr w:type="gramEnd"/>
      <w:r w:rsidRPr="00677568">
        <w:rPr>
          <w:rFonts w:cs="Times New Roman"/>
        </w:rPr>
        <w:t xml:space="preserve"> IV 1, 337.</w:t>
      </w:r>
    </w:p>
  </w:footnote>
  <w:footnote w:id="35">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See A VI 1 489-559.</w:t>
      </w:r>
    </w:p>
  </w:footnote>
  <w:footnote w:id="36">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Riley, </w:t>
      </w:r>
      <w:r w:rsidRPr="00677568">
        <w:rPr>
          <w:rFonts w:cs="Times New Roman"/>
          <w:i/>
        </w:rPr>
        <w:t>Leibniz’ Universal Jurisprudence</w:t>
      </w:r>
      <w:r w:rsidRPr="00677568">
        <w:rPr>
          <w:rFonts w:cs="Times New Roman"/>
        </w:rPr>
        <w:t xml:space="preserve">, p. 250. Going even further, Paul Ritter once warned that “one should be cautious before utilizing Leibniz’s political writings as sources for his views.” </w:t>
      </w:r>
      <w:proofErr w:type="gramStart"/>
      <w:r w:rsidR="00197BF3">
        <w:rPr>
          <w:rFonts w:cs="Times New Roman"/>
        </w:rPr>
        <w:t>Paul Ritter,</w:t>
      </w:r>
      <w:r w:rsidR="00197BF3" w:rsidRPr="0059381F">
        <w:rPr>
          <w:rFonts w:cs="Times New Roman"/>
        </w:rPr>
        <w:t xml:space="preserve"> </w:t>
      </w:r>
      <w:r w:rsidR="00197BF3" w:rsidRPr="0059381F">
        <w:rPr>
          <w:rFonts w:cs="Times New Roman"/>
          <w:i/>
        </w:rPr>
        <w:t xml:space="preserve">Leibniz’ </w:t>
      </w:r>
      <w:proofErr w:type="spellStart"/>
      <w:r w:rsidR="00197BF3" w:rsidRPr="0059381F">
        <w:rPr>
          <w:rFonts w:cs="Times New Roman"/>
          <w:i/>
        </w:rPr>
        <w:t>Aegyptischer</w:t>
      </w:r>
      <w:proofErr w:type="spellEnd"/>
      <w:r w:rsidR="00197BF3" w:rsidRPr="0059381F">
        <w:rPr>
          <w:rFonts w:cs="Times New Roman"/>
          <w:i/>
        </w:rPr>
        <w:t xml:space="preserve"> Plan</w:t>
      </w:r>
      <w:r w:rsidR="00197BF3">
        <w:rPr>
          <w:rFonts w:cs="Times New Roman"/>
        </w:rPr>
        <w:t xml:space="preserve">, Darmstadt </w:t>
      </w:r>
      <w:r w:rsidR="00197BF3" w:rsidRPr="0059381F">
        <w:rPr>
          <w:rFonts w:cs="Times New Roman"/>
        </w:rPr>
        <w:t>1930</w:t>
      </w:r>
      <w:r w:rsidR="00197BF3">
        <w:rPr>
          <w:rFonts w:cs="Times New Roman"/>
        </w:rPr>
        <w:t>, p.</w:t>
      </w:r>
      <w:r w:rsidRPr="00677568">
        <w:rPr>
          <w:rFonts w:cs="Times New Roman"/>
        </w:rPr>
        <w:t xml:space="preserve"> 149 note 2.</w:t>
      </w:r>
      <w:proofErr w:type="gramEnd"/>
    </w:p>
  </w:footnote>
  <w:footnote w:id="37">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See Daniel J. Cook, “Leibniz’s use and abuse of Judaism and Islam”, in: </w:t>
      </w:r>
      <w:r w:rsidRPr="00677568">
        <w:rPr>
          <w:rFonts w:cs="Times New Roman"/>
          <w:i/>
        </w:rPr>
        <w:t>Leibniz and Adam</w:t>
      </w:r>
      <w:r w:rsidRPr="00677568">
        <w:rPr>
          <w:rFonts w:cs="Times New Roman"/>
        </w:rPr>
        <w:t xml:space="preserve">, eds. Marcelo </w:t>
      </w:r>
      <w:proofErr w:type="spellStart"/>
      <w:r w:rsidRPr="00677568">
        <w:rPr>
          <w:rFonts w:cs="Times New Roman"/>
        </w:rPr>
        <w:t>Dascal</w:t>
      </w:r>
      <w:proofErr w:type="spellEnd"/>
      <w:r w:rsidRPr="00677568">
        <w:rPr>
          <w:rFonts w:cs="Times New Roman"/>
        </w:rPr>
        <w:t xml:space="preserve"> and Elhanan </w:t>
      </w:r>
      <w:proofErr w:type="spellStart"/>
      <w:r w:rsidRPr="00677568">
        <w:rPr>
          <w:rFonts w:cs="Times New Roman"/>
        </w:rPr>
        <w:t>Yakira</w:t>
      </w:r>
      <w:proofErr w:type="spellEnd"/>
      <w:r w:rsidRPr="00677568">
        <w:rPr>
          <w:rFonts w:cs="Times New Roman"/>
        </w:rPr>
        <w:t>, Tel Aviv 1993), pp. 283-297, especially pp. 290-291.</w:t>
      </w:r>
    </w:p>
  </w:footnote>
  <w:footnote w:id="38">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See </w:t>
      </w:r>
      <w:proofErr w:type="gramStart"/>
      <w:r w:rsidRPr="00677568">
        <w:rPr>
          <w:rFonts w:cs="Times New Roman"/>
        </w:rPr>
        <w:t>A</w:t>
      </w:r>
      <w:proofErr w:type="gramEnd"/>
      <w:r w:rsidRPr="00677568">
        <w:rPr>
          <w:rFonts w:cs="Times New Roman"/>
        </w:rPr>
        <w:t xml:space="preserve"> IV 1, 381-382.</w:t>
      </w:r>
    </w:p>
  </w:footnote>
  <w:footnote w:id="39">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See </w:t>
      </w:r>
      <w:proofErr w:type="gramStart"/>
      <w:r w:rsidR="00197BF3">
        <w:rPr>
          <w:rFonts w:cs="Times New Roman"/>
        </w:rPr>
        <w:t>A</w:t>
      </w:r>
      <w:proofErr w:type="gramEnd"/>
      <w:r w:rsidR="00197BF3">
        <w:rPr>
          <w:rFonts w:cs="Times New Roman"/>
        </w:rPr>
        <w:t xml:space="preserve"> IV 1</w:t>
      </w:r>
      <w:r w:rsidRPr="00677568">
        <w:rPr>
          <w:rFonts w:cs="Times New Roman"/>
        </w:rPr>
        <w:t>, 240.</w:t>
      </w:r>
    </w:p>
  </w:footnote>
  <w:footnote w:id="40">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w:t>
      </w:r>
      <w:proofErr w:type="gramStart"/>
      <w:r w:rsidR="00197BF3">
        <w:rPr>
          <w:rFonts w:cs="Times New Roman"/>
        </w:rPr>
        <w:t>A</w:t>
      </w:r>
      <w:proofErr w:type="gramEnd"/>
      <w:r w:rsidR="00197BF3">
        <w:rPr>
          <w:rFonts w:cs="Times New Roman"/>
        </w:rPr>
        <w:t xml:space="preserve"> IV 1</w:t>
      </w:r>
      <w:r w:rsidRPr="00677568">
        <w:rPr>
          <w:rFonts w:cs="Times New Roman"/>
        </w:rPr>
        <w:t>, 380.</w:t>
      </w:r>
    </w:p>
  </w:footnote>
  <w:footnote w:id="41">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Daniel J. Cook and Lloyd Strickland, “Leibniz and millenarianism,” in: </w:t>
      </w:r>
      <w:proofErr w:type="spellStart"/>
      <w:r w:rsidRPr="00677568">
        <w:rPr>
          <w:rFonts w:cs="Times New Roman"/>
          <w:i/>
        </w:rPr>
        <w:t>Pluralität</w:t>
      </w:r>
      <w:proofErr w:type="spellEnd"/>
      <w:r w:rsidRPr="00677568">
        <w:rPr>
          <w:rFonts w:cs="Times New Roman"/>
          <w:i/>
        </w:rPr>
        <w:t xml:space="preserve"> </w:t>
      </w:r>
      <w:proofErr w:type="spellStart"/>
      <w:r w:rsidRPr="00677568">
        <w:rPr>
          <w:rFonts w:cs="Times New Roman"/>
          <w:i/>
        </w:rPr>
        <w:t>der</w:t>
      </w:r>
      <w:proofErr w:type="spellEnd"/>
      <w:r w:rsidRPr="00677568">
        <w:rPr>
          <w:rFonts w:cs="Times New Roman"/>
          <w:i/>
        </w:rPr>
        <w:t xml:space="preserve"> </w:t>
      </w:r>
      <w:proofErr w:type="spellStart"/>
      <w:r w:rsidRPr="00677568">
        <w:rPr>
          <w:rFonts w:cs="Times New Roman"/>
          <w:i/>
        </w:rPr>
        <w:t>Perspektiven</w:t>
      </w:r>
      <w:proofErr w:type="spellEnd"/>
      <w:r w:rsidRPr="00677568">
        <w:rPr>
          <w:rFonts w:cs="Times New Roman"/>
          <w:i/>
        </w:rPr>
        <w:t xml:space="preserve"> und </w:t>
      </w:r>
      <w:proofErr w:type="spellStart"/>
      <w:r w:rsidRPr="00677568">
        <w:rPr>
          <w:rFonts w:cs="Times New Roman"/>
          <w:i/>
        </w:rPr>
        <w:t>Einheit</w:t>
      </w:r>
      <w:proofErr w:type="spellEnd"/>
      <w:r w:rsidRPr="00677568">
        <w:rPr>
          <w:rFonts w:cs="Times New Roman"/>
          <w:i/>
        </w:rPr>
        <w:t xml:space="preserve"> </w:t>
      </w:r>
      <w:proofErr w:type="spellStart"/>
      <w:r w:rsidRPr="00677568">
        <w:rPr>
          <w:rFonts w:cs="Times New Roman"/>
          <w:i/>
        </w:rPr>
        <w:t>der</w:t>
      </w:r>
      <w:proofErr w:type="spellEnd"/>
      <w:r w:rsidRPr="00677568">
        <w:rPr>
          <w:rFonts w:cs="Times New Roman"/>
          <w:i/>
        </w:rPr>
        <w:t xml:space="preserve"> </w:t>
      </w:r>
      <w:proofErr w:type="spellStart"/>
      <w:r w:rsidRPr="00677568">
        <w:rPr>
          <w:rFonts w:cs="Times New Roman"/>
          <w:i/>
        </w:rPr>
        <w:t>Wahrheit</w:t>
      </w:r>
      <w:proofErr w:type="spellEnd"/>
      <w:r w:rsidRPr="00677568">
        <w:rPr>
          <w:rFonts w:cs="Times New Roman"/>
          <w:i/>
        </w:rPr>
        <w:t xml:space="preserve"> </w:t>
      </w:r>
      <w:proofErr w:type="spellStart"/>
      <w:r w:rsidRPr="00677568">
        <w:rPr>
          <w:rFonts w:cs="Times New Roman"/>
          <w:i/>
        </w:rPr>
        <w:t>im</w:t>
      </w:r>
      <w:proofErr w:type="spellEnd"/>
      <w:r w:rsidRPr="00677568">
        <w:rPr>
          <w:rFonts w:cs="Times New Roman"/>
          <w:i/>
        </w:rPr>
        <w:t xml:space="preserve"> </w:t>
      </w:r>
      <w:proofErr w:type="spellStart"/>
      <w:r w:rsidRPr="00677568">
        <w:rPr>
          <w:rFonts w:cs="Times New Roman"/>
          <w:i/>
        </w:rPr>
        <w:t>Werk</w:t>
      </w:r>
      <w:proofErr w:type="spellEnd"/>
      <w:r w:rsidRPr="00677568">
        <w:rPr>
          <w:rFonts w:cs="Times New Roman"/>
          <w:i/>
        </w:rPr>
        <w:t xml:space="preserve"> von G. W. Leibniz</w:t>
      </w:r>
      <w:r w:rsidRPr="00677568">
        <w:rPr>
          <w:rFonts w:cs="Times New Roman"/>
        </w:rPr>
        <w:t xml:space="preserve">, eds. Friedrich </w:t>
      </w:r>
      <w:proofErr w:type="spellStart"/>
      <w:r w:rsidRPr="00677568">
        <w:rPr>
          <w:rFonts w:cs="Times New Roman"/>
        </w:rPr>
        <w:t>Beiderbeck</w:t>
      </w:r>
      <w:proofErr w:type="spellEnd"/>
      <w:r w:rsidRPr="00677568">
        <w:rPr>
          <w:rFonts w:cs="Times New Roman"/>
        </w:rPr>
        <w:t xml:space="preserve"> and Stephan </w:t>
      </w:r>
      <w:proofErr w:type="spellStart"/>
      <w:r w:rsidRPr="00677568">
        <w:rPr>
          <w:rFonts w:cs="Times New Roman"/>
        </w:rPr>
        <w:t>Waldhoff</w:t>
      </w:r>
      <w:proofErr w:type="spellEnd"/>
      <w:r w:rsidRPr="00677568">
        <w:rPr>
          <w:rFonts w:cs="Times New Roman"/>
        </w:rPr>
        <w:t>, Berlin 2011, pp. 77-90, here p. 88.</w:t>
      </w:r>
    </w:p>
  </w:footnote>
  <w:footnote w:id="42">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Namely the “</w:t>
      </w:r>
      <w:proofErr w:type="spellStart"/>
      <w:r w:rsidRPr="00677568">
        <w:rPr>
          <w:rFonts w:cs="Times New Roman"/>
        </w:rPr>
        <w:t>Regi</w:t>
      </w:r>
      <w:proofErr w:type="spellEnd"/>
      <w:r w:rsidRPr="00677568">
        <w:rPr>
          <w:rFonts w:cs="Times New Roman"/>
        </w:rPr>
        <w:t xml:space="preserve"> </w:t>
      </w:r>
      <w:proofErr w:type="spellStart"/>
      <w:r w:rsidRPr="00677568">
        <w:rPr>
          <w:rFonts w:cs="Times New Roman"/>
        </w:rPr>
        <w:t>Christianissimo</w:t>
      </w:r>
      <w:proofErr w:type="spellEnd"/>
      <w:r w:rsidRPr="00677568">
        <w:rPr>
          <w:rFonts w:cs="Times New Roman"/>
        </w:rPr>
        <w:t>” (December 1671): “Some time ago Your Majesty adopted nobler plans ... by sending auxiliary for</w:t>
      </w:r>
      <w:r w:rsidR="00F40E33">
        <w:rPr>
          <w:rFonts w:cs="Times New Roman"/>
        </w:rPr>
        <w:t xml:space="preserve">ces into Hungary.” </w:t>
      </w:r>
      <w:proofErr w:type="gramStart"/>
      <w:r w:rsidR="00F40E33">
        <w:rPr>
          <w:rFonts w:cs="Times New Roman"/>
        </w:rPr>
        <w:t>A</w:t>
      </w:r>
      <w:proofErr w:type="gramEnd"/>
      <w:r w:rsidR="00F40E33">
        <w:rPr>
          <w:rFonts w:cs="Times New Roman"/>
        </w:rPr>
        <w:t xml:space="preserve"> IV 1, 223.</w:t>
      </w:r>
    </w:p>
  </w:footnote>
  <w:footnote w:id="43">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See for example A IV 2, 451-502.</w:t>
      </w:r>
    </w:p>
  </w:footnote>
  <w:footnote w:id="44">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w:t>
      </w:r>
      <w:proofErr w:type="spellStart"/>
      <w:r w:rsidRPr="00677568">
        <w:rPr>
          <w:rFonts w:cs="Times New Roman"/>
        </w:rPr>
        <w:t>Saouma</w:t>
      </w:r>
      <w:proofErr w:type="spellEnd"/>
      <w:r w:rsidRPr="00677568">
        <w:rPr>
          <w:rFonts w:cs="Times New Roman"/>
        </w:rPr>
        <w:t xml:space="preserve">, “Leibniz </w:t>
      </w:r>
      <w:proofErr w:type="gramStart"/>
      <w:r w:rsidRPr="00677568">
        <w:rPr>
          <w:rFonts w:cs="Times New Roman"/>
        </w:rPr>
        <w:t>et</w:t>
      </w:r>
      <w:proofErr w:type="gramEnd"/>
      <w:r w:rsidRPr="00677568">
        <w:rPr>
          <w:rFonts w:cs="Times New Roman"/>
        </w:rPr>
        <w:t xml:space="preserve"> </w:t>
      </w:r>
      <w:proofErr w:type="spellStart"/>
      <w:r w:rsidRPr="00677568">
        <w:rPr>
          <w:rFonts w:cs="Times New Roman"/>
        </w:rPr>
        <w:t>l’idée</w:t>
      </w:r>
      <w:proofErr w:type="spellEnd"/>
      <w:r w:rsidRPr="00677568">
        <w:rPr>
          <w:rFonts w:cs="Times New Roman"/>
        </w:rPr>
        <w:t>”, p.116.</w:t>
      </w:r>
    </w:p>
  </w:footnote>
  <w:footnote w:id="45">
    <w:p w:rsidR="000772C7" w:rsidRPr="00677568" w:rsidRDefault="000772C7" w:rsidP="00677568">
      <w:pPr>
        <w:pStyle w:val="FootnoteText"/>
        <w:rPr>
          <w:rFonts w:cs="Times New Roman"/>
        </w:rPr>
      </w:pPr>
      <w:r w:rsidRPr="00677568">
        <w:rPr>
          <w:rStyle w:val="FootnoteReference"/>
          <w:rFonts w:cs="Times New Roman"/>
        </w:rPr>
        <w:footnoteRef/>
      </w:r>
      <w:r w:rsidR="000A56F5">
        <w:rPr>
          <w:rFonts w:cs="Times New Roman"/>
        </w:rPr>
        <w:t xml:space="preserve"> </w:t>
      </w:r>
      <w:proofErr w:type="gramStart"/>
      <w:r w:rsidR="000A56F5">
        <w:rPr>
          <w:rFonts w:cs="Times New Roman"/>
        </w:rPr>
        <w:t>A</w:t>
      </w:r>
      <w:proofErr w:type="gramEnd"/>
      <w:r w:rsidR="000A56F5">
        <w:rPr>
          <w:rFonts w:cs="Times New Roman"/>
        </w:rPr>
        <w:t xml:space="preserve"> I 14, 622-623.</w:t>
      </w:r>
    </w:p>
  </w:footnote>
  <w:footnote w:id="46">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w:t>
      </w:r>
      <w:proofErr w:type="gramStart"/>
      <w:r w:rsidRPr="00677568">
        <w:rPr>
          <w:rFonts w:cs="Times New Roman"/>
        </w:rPr>
        <w:t>A</w:t>
      </w:r>
      <w:proofErr w:type="gramEnd"/>
      <w:r w:rsidRPr="00677568">
        <w:rPr>
          <w:rFonts w:cs="Times New Roman"/>
        </w:rPr>
        <w:t xml:space="preserve"> II 1, 758.</w:t>
      </w:r>
    </w:p>
  </w:footnote>
  <w:footnote w:id="47">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See for example A II 1, 750-759 (late 1670s); IV 3, 226-233, and VI 4, 2313-2327 (mid-1680s).</w:t>
      </w:r>
    </w:p>
  </w:footnote>
  <w:footnote w:id="48">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See </w:t>
      </w:r>
      <w:proofErr w:type="gramStart"/>
      <w:r w:rsidRPr="00677568">
        <w:rPr>
          <w:rFonts w:cs="Times New Roman"/>
        </w:rPr>
        <w:t>A</w:t>
      </w:r>
      <w:proofErr w:type="gramEnd"/>
      <w:r w:rsidRPr="00677568">
        <w:rPr>
          <w:rFonts w:cs="Times New Roman"/>
        </w:rPr>
        <w:t xml:space="preserve"> I 14, 690-691.</w:t>
      </w:r>
    </w:p>
  </w:footnote>
  <w:footnote w:id="49">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For more details, see Jordan, </w:t>
      </w:r>
      <w:r w:rsidRPr="00677568">
        <w:rPr>
          <w:rFonts w:cs="Times New Roman"/>
          <w:i/>
        </w:rPr>
        <w:t>The Reunion</w:t>
      </w:r>
      <w:r w:rsidRPr="00677568">
        <w:rPr>
          <w:rFonts w:cs="Times New Roman"/>
        </w:rPr>
        <w:t xml:space="preserve">; Manuel and Manuel, </w:t>
      </w:r>
      <w:r w:rsidRPr="00677568">
        <w:rPr>
          <w:rFonts w:cs="Times New Roman"/>
          <w:i/>
        </w:rPr>
        <w:t>Utopian Thought</w:t>
      </w:r>
      <w:r w:rsidRPr="00677568">
        <w:rPr>
          <w:rFonts w:cs="Times New Roman"/>
        </w:rPr>
        <w:t>, pp. 392-410.</w:t>
      </w:r>
    </w:p>
  </w:footnote>
  <w:footnote w:id="50">
    <w:p w:rsidR="000772C7" w:rsidRPr="00677568" w:rsidRDefault="000772C7" w:rsidP="00677568">
      <w:pPr>
        <w:pStyle w:val="FootnoteText"/>
        <w:rPr>
          <w:rFonts w:cs="Times New Roman"/>
        </w:rPr>
      </w:pPr>
      <w:r w:rsidRPr="00677568">
        <w:rPr>
          <w:rStyle w:val="FootnoteReference"/>
          <w:rFonts w:cs="Times New Roman"/>
        </w:rPr>
        <w:footnoteRef/>
      </w:r>
      <w:r w:rsidRPr="00677568">
        <w:rPr>
          <w:rFonts w:cs="Times New Roman"/>
        </w:rPr>
        <w:t xml:space="preserve"> I would like to thank Daniel J. Cook, Jason Roche, and Paul Lodge for their helpful comments on an earlier draft of this paper.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1132F"/>
    <w:multiLevelType w:val="hybridMultilevel"/>
    <w:tmpl w:val="49F80576"/>
    <w:lvl w:ilvl="0" w:tplc="7E6EB23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A746688"/>
    <w:multiLevelType w:val="hybridMultilevel"/>
    <w:tmpl w:val="326E2B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8131DF"/>
    <w:rsid w:val="00002A82"/>
    <w:rsid w:val="000104D4"/>
    <w:rsid w:val="00013E76"/>
    <w:rsid w:val="00014785"/>
    <w:rsid w:val="0001589D"/>
    <w:rsid w:val="00015DAB"/>
    <w:rsid w:val="000263A6"/>
    <w:rsid w:val="00032603"/>
    <w:rsid w:val="00057A66"/>
    <w:rsid w:val="000620B6"/>
    <w:rsid w:val="00064E69"/>
    <w:rsid w:val="000718CF"/>
    <w:rsid w:val="00073556"/>
    <w:rsid w:val="0007433B"/>
    <w:rsid w:val="00076F8C"/>
    <w:rsid w:val="000772C7"/>
    <w:rsid w:val="0008102B"/>
    <w:rsid w:val="000822B6"/>
    <w:rsid w:val="000903D8"/>
    <w:rsid w:val="0009384C"/>
    <w:rsid w:val="000A2EF2"/>
    <w:rsid w:val="000A3016"/>
    <w:rsid w:val="000A56F5"/>
    <w:rsid w:val="000E1875"/>
    <w:rsid w:val="000E3435"/>
    <w:rsid w:val="000E6BCA"/>
    <w:rsid w:val="000E7BEC"/>
    <w:rsid w:val="000F1585"/>
    <w:rsid w:val="000F200C"/>
    <w:rsid w:val="000F25CB"/>
    <w:rsid w:val="000F460D"/>
    <w:rsid w:val="0012042A"/>
    <w:rsid w:val="0013068D"/>
    <w:rsid w:val="00131CCA"/>
    <w:rsid w:val="00134A8E"/>
    <w:rsid w:val="00140C22"/>
    <w:rsid w:val="00147176"/>
    <w:rsid w:val="00150071"/>
    <w:rsid w:val="00152FE2"/>
    <w:rsid w:val="00153556"/>
    <w:rsid w:val="00172209"/>
    <w:rsid w:val="00176985"/>
    <w:rsid w:val="00183047"/>
    <w:rsid w:val="0018319C"/>
    <w:rsid w:val="00183C18"/>
    <w:rsid w:val="00194B5E"/>
    <w:rsid w:val="00197BF3"/>
    <w:rsid w:val="001A07F1"/>
    <w:rsid w:val="001A162A"/>
    <w:rsid w:val="001A1BF6"/>
    <w:rsid w:val="001A5C86"/>
    <w:rsid w:val="001A7A9F"/>
    <w:rsid w:val="001B05DF"/>
    <w:rsid w:val="001C04E7"/>
    <w:rsid w:val="001C24DB"/>
    <w:rsid w:val="001C3FFB"/>
    <w:rsid w:val="001D0DA7"/>
    <w:rsid w:val="001F1057"/>
    <w:rsid w:val="001F303A"/>
    <w:rsid w:val="001F30B1"/>
    <w:rsid w:val="001F3817"/>
    <w:rsid w:val="001F4F04"/>
    <w:rsid w:val="001F4F10"/>
    <w:rsid w:val="001F4F9F"/>
    <w:rsid w:val="00201437"/>
    <w:rsid w:val="0021002B"/>
    <w:rsid w:val="00210886"/>
    <w:rsid w:val="0022008D"/>
    <w:rsid w:val="0022327B"/>
    <w:rsid w:val="00225F18"/>
    <w:rsid w:val="00231579"/>
    <w:rsid w:val="00232D8A"/>
    <w:rsid w:val="00234E00"/>
    <w:rsid w:val="00237A1E"/>
    <w:rsid w:val="002505A6"/>
    <w:rsid w:val="00250FE3"/>
    <w:rsid w:val="00252E90"/>
    <w:rsid w:val="00253485"/>
    <w:rsid w:val="00264581"/>
    <w:rsid w:val="0027032B"/>
    <w:rsid w:val="00275C49"/>
    <w:rsid w:val="002765D8"/>
    <w:rsid w:val="002767DB"/>
    <w:rsid w:val="00277685"/>
    <w:rsid w:val="0029277C"/>
    <w:rsid w:val="00293089"/>
    <w:rsid w:val="002949B8"/>
    <w:rsid w:val="002A0301"/>
    <w:rsid w:val="002A1C83"/>
    <w:rsid w:val="002B725C"/>
    <w:rsid w:val="002C10DC"/>
    <w:rsid w:val="002D3BD5"/>
    <w:rsid w:val="002E1AFF"/>
    <w:rsid w:val="002E6100"/>
    <w:rsid w:val="002F44BE"/>
    <w:rsid w:val="002F6501"/>
    <w:rsid w:val="002F7CEB"/>
    <w:rsid w:val="00301BCA"/>
    <w:rsid w:val="00311CCD"/>
    <w:rsid w:val="00313763"/>
    <w:rsid w:val="00320BA1"/>
    <w:rsid w:val="00326CBB"/>
    <w:rsid w:val="00327ADE"/>
    <w:rsid w:val="00332218"/>
    <w:rsid w:val="00360493"/>
    <w:rsid w:val="0036409B"/>
    <w:rsid w:val="0036616D"/>
    <w:rsid w:val="00380B77"/>
    <w:rsid w:val="00381BF0"/>
    <w:rsid w:val="00381D14"/>
    <w:rsid w:val="00392E62"/>
    <w:rsid w:val="003A0C5D"/>
    <w:rsid w:val="003A48D2"/>
    <w:rsid w:val="003A5074"/>
    <w:rsid w:val="003B7DC5"/>
    <w:rsid w:val="003C77F3"/>
    <w:rsid w:val="003D2599"/>
    <w:rsid w:val="003E2387"/>
    <w:rsid w:val="003E6981"/>
    <w:rsid w:val="0040161C"/>
    <w:rsid w:val="00402751"/>
    <w:rsid w:val="00403FCC"/>
    <w:rsid w:val="0040642E"/>
    <w:rsid w:val="004130BA"/>
    <w:rsid w:val="00423252"/>
    <w:rsid w:val="0042686F"/>
    <w:rsid w:val="00431731"/>
    <w:rsid w:val="0043277B"/>
    <w:rsid w:val="00437D11"/>
    <w:rsid w:val="00442856"/>
    <w:rsid w:val="004465A9"/>
    <w:rsid w:val="00451DA2"/>
    <w:rsid w:val="00452308"/>
    <w:rsid w:val="00453726"/>
    <w:rsid w:val="0046409D"/>
    <w:rsid w:val="00464661"/>
    <w:rsid w:val="00471E6E"/>
    <w:rsid w:val="00476A40"/>
    <w:rsid w:val="00477CD5"/>
    <w:rsid w:val="00481CFF"/>
    <w:rsid w:val="0048457F"/>
    <w:rsid w:val="00490D96"/>
    <w:rsid w:val="004A337B"/>
    <w:rsid w:val="004A3A24"/>
    <w:rsid w:val="004A47F4"/>
    <w:rsid w:val="004D027E"/>
    <w:rsid w:val="004D273E"/>
    <w:rsid w:val="004E2B5B"/>
    <w:rsid w:val="004E3E2F"/>
    <w:rsid w:val="004E456F"/>
    <w:rsid w:val="004E69DD"/>
    <w:rsid w:val="004F3E4F"/>
    <w:rsid w:val="004F4F60"/>
    <w:rsid w:val="004F6951"/>
    <w:rsid w:val="00504D53"/>
    <w:rsid w:val="005107C6"/>
    <w:rsid w:val="005109AC"/>
    <w:rsid w:val="00516061"/>
    <w:rsid w:val="00521412"/>
    <w:rsid w:val="00530349"/>
    <w:rsid w:val="00541A50"/>
    <w:rsid w:val="005513BB"/>
    <w:rsid w:val="005523C1"/>
    <w:rsid w:val="00560F92"/>
    <w:rsid w:val="0057066F"/>
    <w:rsid w:val="00571E79"/>
    <w:rsid w:val="00572719"/>
    <w:rsid w:val="0057438E"/>
    <w:rsid w:val="005747B8"/>
    <w:rsid w:val="00581C75"/>
    <w:rsid w:val="00586382"/>
    <w:rsid w:val="00590985"/>
    <w:rsid w:val="005943A8"/>
    <w:rsid w:val="0059498B"/>
    <w:rsid w:val="00596359"/>
    <w:rsid w:val="005A194E"/>
    <w:rsid w:val="005A774D"/>
    <w:rsid w:val="005A7939"/>
    <w:rsid w:val="005B3401"/>
    <w:rsid w:val="005B3689"/>
    <w:rsid w:val="005C01FA"/>
    <w:rsid w:val="005C1123"/>
    <w:rsid w:val="005C11ED"/>
    <w:rsid w:val="005C793E"/>
    <w:rsid w:val="005D287C"/>
    <w:rsid w:val="005D7C78"/>
    <w:rsid w:val="005E32F2"/>
    <w:rsid w:val="005E3CAC"/>
    <w:rsid w:val="005F0068"/>
    <w:rsid w:val="00600633"/>
    <w:rsid w:val="006042D7"/>
    <w:rsid w:val="0060466F"/>
    <w:rsid w:val="00607147"/>
    <w:rsid w:val="00611F11"/>
    <w:rsid w:val="006131E1"/>
    <w:rsid w:val="006229A1"/>
    <w:rsid w:val="006243D9"/>
    <w:rsid w:val="00627870"/>
    <w:rsid w:val="00633D50"/>
    <w:rsid w:val="00633F06"/>
    <w:rsid w:val="006367E2"/>
    <w:rsid w:val="00637AA9"/>
    <w:rsid w:val="00644518"/>
    <w:rsid w:val="00652338"/>
    <w:rsid w:val="00654382"/>
    <w:rsid w:val="00655127"/>
    <w:rsid w:val="00660FA9"/>
    <w:rsid w:val="006620A3"/>
    <w:rsid w:val="00664F56"/>
    <w:rsid w:val="0066611D"/>
    <w:rsid w:val="00666920"/>
    <w:rsid w:val="00667616"/>
    <w:rsid w:val="00672D3D"/>
    <w:rsid w:val="006741F6"/>
    <w:rsid w:val="0067703D"/>
    <w:rsid w:val="00677568"/>
    <w:rsid w:val="00680639"/>
    <w:rsid w:val="00682BE7"/>
    <w:rsid w:val="006837BF"/>
    <w:rsid w:val="006855F2"/>
    <w:rsid w:val="006921A2"/>
    <w:rsid w:val="00697587"/>
    <w:rsid w:val="00697651"/>
    <w:rsid w:val="006B18C1"/>
    <w:rsid w:val="006B1A7F"/>
    <w:rsid w:val="006C7442"/>
    <w:rsid w:val="006D1F05"/>
    <w:rsid w:val="006D47DB"/>
    <w:rsid w:val="006D4BF1"/>
    <w:rsid w:val="006D7FEE"/>
    <w:rsid w:val="006E06D9"/>
    <w:rsid w:val="006F0764"/>
    <w:rsid w:val="006F5803"/>
    <w:rsid w:val="006F7560"/>
    <w:rsid w:val="00703358"/>
    <w:rsid w:val="00703B19"/>
    <w:rsid w:val="007042B3"/>
    <w:rsid w:val="00704BA6"/>
    <w:rsid w:val="00711EEE"/>
    <w:rsid w:val="00726F2A"/>
    <w:rsid w:val="007308AF"/>
    <w:rsid w:val="00730DD1"/>
    <w:rsid w:val="007400D0"/>
    <w:rsid w:val="00743127"/>
    <w:rsid w:val="00744D63"/>
    <w:rsid w:val="00751024"/>
    <w:rsid w:val="00753886"/>
    <w:rsid w:val="00756176"/>
    <w:rsid w:val="00757717"/>
    <w:rsid w:val="007724E9"/>
    <w:rsid w:val="007736B5"/>
    <w:rsid w:val="00775D77"/>
    <w:rsid w:val="00777453"/>
    <w:rsid w:val="00783127"/>
    <w:rsid w:val="00786C87"/>
    <w:rsid w:val="00796CCA"/>
    <w:rsid w:val="007A37EC"/>
    <w:rsid w:val="007C2345"/>
    <w:rsid w:val="007C2C8E"/>
    <w:rsid w:val="007C302D"/>
    <w:rsid w:val="007C3BFD"/>
    <w:rsid w:val="007C638D"/>
    <w:rsid w:val="007C6FDD"/>
    <w:rsid w:val="007C7782"/>
    <w:rsid w:val="007E3D54"/>
    <w:rsid w:val="007F5A9D"/>
    <w:rsid w:val="008000CE"/>
    <w:rsid w:val="0080089D"/>
    <w:rsid w:val="0080104B"/>
    <w:rsid w:val="00801AA8"/>
    <w:rsid w:val="008109D8"/>
    <w:rsid w:val="008131DF"/>
    <w:rsid w:val="008175D4"/>
    <w:rsid w:val="00822D99"/>
    <w:rsid w:val="008252D8"/>
    <w:rsid w:val="00827830"/>
    <w:rsid w:val="00832088"/>
    <w:rsid w:val="00834BFC"/>
    <w:rsid w:val="008366E9"/>
    <w:rsid w:val="008460C6"/>
    <w:rsid w:val="0084776E"/>
    <w:rsid w:val="0085033B"/>
    <w:rsid w:val="0085514A"/>
    <w:rsid w:val="0085778D"/>
    <w:rsid w:val="008632D4"/>
    <w:rsid w:val="00863868"/>
    <w:rsid w:val="008653F2"/>
    <w:rsid w:val="00871318"/>
    <w:rsid w:val="00876E5D"/>
    <w:rsid w:val="00877934"/>
    <w:rsid w:val="0088031B"/>
    <w:rsid w:val="00884175"/>
    <w:rsid w:val="00894B61"/>
    <w:rsid w:val="00896113"/>
    <w:rsid w:val="008A23A3"/>
    <w:rsid w:val="008A2DE8"/>
    <w:rsid w:val="008A6513"/>
    <w:rsid w:val="008B52EC"/>
    <w:rsid w:val="008B7075"/>
    <w:rsid w:val="008C31A1"/>
    <w:rsid w:val="008C663F"/>
    <w:rsid w:val="008C780D"/>
    <w:rsid w:val="008D2912"/>
    <w:rsid w:val="008D402F"/>
    <w:rsid w:val="008D4759"/>
    <w:rsid w:val="008E1380"/>
    <w:rsid w:val="008E4296"/>
    <w:rsid w:val="008F0C7B"/>
    <w:rsid w:val="008F3188"/>
    <w:rsid w:val="008F4360"/>
    <w:rsid w:val="008F5B1D"/>
    <w:rsid w:val="008F5D08"/>
    <w:rsid w:val="008F67D1"/>
    <w:rsid w:val="008F6E7D"/>
    <w:rsid w:val="00901328"/>
    <w:rsid w:val="0090198D"/>
    <w:rsid w:val="00903C60"/>
    <w:rsid w:val="009068E0"/>
    <w:rsid w:val="009226DF"/>
    <w:rsid w:val="009240C4"/>
    <w:rsid w:val="00924DB4"/>
    <w:rsid w:val="00931883"/>
    <w:rsid w:val="0093400D"/>
    <w:rsid w:val="0093568E"/>
    <w:rsid w:val="00940520"/>
    <w:rsid w:val="00942479"/>
    <w:rsid w:val="00942F8D"/>
    <w:rsid w:val="00945A3D"/>
    <w:rsid w:val="00946784"/>
    <w:rsid w:val="00955283"/>
    <w:rsid w:val="00972152"/>
    <w:rsid w:val="009746F8"/>
    <w:rsid w:val="00980D39"/>
    <w:rsid w:val="00983A1D"/>
    <w:rsid w:val="00993356"/>
    <w:rsid w:val="00993F09"/>
    <w:rsid w:val="00996E1B"/>
    <w:rsid w:val="009A3B33"/>
    <w:rsid w:val="009A3B60"/>
    <w:rsid w:val="009A50E8"/>
    <w:rsid w:val="009A7687"/>
    <w:rsid w:val="009B2209"/>
    <w:rsid w:val="009B2F37"/>
    <w:rsid w:val="009B79C5"/>
    <w:rsid w:val="009C0506"/>
    <w:rsid w:val="009C1008"/>
    <w:rsid w:val="009C54A7"/>
    <w:rsid w:val="009D4459"/>
    <w:rsid w:val="009E2768"/>
    <w:rsid w:val="009E57AF"/>
    <w:rsid w:val="009E6AB9"/>
    <w:rsid w:val="009F317C"/>
    <w:rsid w:val="009F4332"/>
    <w:rsid w:val="009F4AD4"/>
    <w:rsid w:val="00A114CD"/>
    <w:rsid w:val="00A22AB8"/>
    <w:rsid w:val="00A23BE1"/>
    <w:rsid w:val="00A23DFD"/>
    <w:rsid w:val="00A2404E"/>
    <w:rsid w:val="00A24280"/>
    <w:rsid w:val="00A2464C"/>
    <w:rsid w:val="00A26626"/>
    <w:rsid w:val="00A27F4C"/>
    <w:rsid w:val="00A510D9"/>
    <w:rsid w:val="00A535E6"/>
    <w:rsid w:val="00A60C8F"/>
    <w:rsid w:val="00A72343"/>
    <w:rsid w:val="00A75A4D"/>
    <w:rsid w:val="00A77040"/>
    <w:rsid w:val="00A77E89"/>
    <w:rsid w:val="00A8097C"/>
    <w:rsid w:val="00A80F47"/>
    <w:rsid w:val="00A86080"/>
    <w:rsid w:val="00A8641D"/>
    <w:rsid w:val="00A936A7"/>
    <w:rsid w:val="00AB1041"/>
    <w:rsid w:val="00AB2D86"/>
    <w:rsid w:val="00AB4B96"/>
    <w:rsid w:val="00AC13F5"/>
    <w:rsid w:val="00AC25AB"/>
    <w:rsid w:val="00AC293E"/>
    <w:rsid w:val="00AD0BA1"/>
    <w:rsid w:val="00AD5207"/>
    <w:rsid w:val="00AD6EC1"/>
    <w:rsid w:val="00AE3022"/>
    <w:rsid w:val="00AF2ADE"/>
    <w:rsid w:val="00AF5DBE"/>
    <w:rsid w:val="00B052EF"/>
    <w:rsid w:val="00B11DE3"/>
    <w:rsid w:val="00B1796D"/>
    <w:rsid w:val="00B30F22"/>
    <w:rsid w:val="00B419D4"/>
    <w:rsid w:val="00B439CA"/>
    <w:rsid w:val="00B50285"/>
    <w:rsid w:val="00B50A86"/>
    <w:rsid w:val="00B52A27"/>
    <w:rsid w:val="00B54EE9"/>
    <w:rsid w:val="00B64C6A"/>
    <w:rsid w:val="00B656AB"/>
    <w:rsid w:val="00B671C6"/>
    <w:rsid w:val="00B67F06"/>
    <w:rsid w:val="00B71967"/>
    <w:rsid w:val="00B7662A"/>
    <w:rsid w:val="00B829A3"/>
    <w:rsid w:val="00B8633C"/>
    <w:rsid w:val="00B86666"/>
    <w:rsid w:val="00B90334"/>
    <w:rsid w:val="00B93A27"/>
    <w:rsid w:val="00BA31B9"/>
    <w:rsid w:val="00BA4095"/>
    <w:rsid w:val="00BB1344"/>
    <w:rsid w:val="00BB4AC4"/>
    <w:rsid w:val="00BC42AA"/>
    <w:rsid w:val="00BD2886"/>
    <w:rsid w:val="00BD410D"/>
    <w:rsid w:val="00BE172A"/>
    <w:rsid w:val="00BE2767"/>
    <w:rsid w:val="00BE3521"/>
    <w:rsid w:val="00BE4BF6"/>
    <w:rsid w:val="00BE6199"/>
    <w:rsid w:val="00BE635B"/>
    <w:rsid w:val="00BF0DC5"/>
    <w:rsid w:val="00BF4CC6"/>
    <w:rsid w:val="00BF58CD"/>
    <w:rsid w:val="00BF7A59"/>
    <w:rsid w:val="00C0039C"/>
    <w:rsid w:val="00C0124D"/>
    <w:rsid w:val="00C03F08"/>
    <w:rsid w:val="00C164C7"/>
    <w:rsid w:val="00C24276"/>
    <w:rsid w:val="00C24F2A"/>
    <w:rsid w:val="00C27393"/>
    <w:rsid w:val="00C40818"/>
    <w:rsid w:val="00C5554C"/>
    <w:rsid w:val="00C55B85"/>
    <w:rsid w:val="00C7041E"/>
    <w:rsid w:val="00C75525"/>
    <w:rsid w:val="00C86CEE"/>
    <w:rsid w:val="00C87321"/>
    <w:rsid w:val="00C9184D"/>
    <w:rsid w:val="00C93198"/>
    <w:rsid w:val="00CC3481"/>
    <w:rsid w:val="00CC3C8A"/>
    <w:rsid w:val="00CD4120"/>
    <w:rsid w:val="00CE215E"/>
    <w:rsid w:val="00CE5094"/>
    <w:rsid w:val="00CE5950"/>
    <w:rsid w:val="00CF64A8"/>
    <w:rsid w:val="00CF6B9A"/>
    <w:rsid w:val="00D04E5E"/>
    <w:rsid w:val="00D059C3"/>
    <w:rsid w:val="00D1671D"/>
    <w:rsid w:val="00D20E7B"/>
    <w:rsid w:val="00D2122D"/>
    <w:rsid w:val="00D230DF"/>
    <w:rsid w:val="00D35C45"/>
    <w:rsid w:val="00D40799"/>
    <w:rsid w:val="00D4179F"/>
    <w:rsid w:val="00D46B33"/>
    <w:rsid w:val="00D47D3C"/>
    <w:rsid w:val="00D5557D"/>
    <w:rsid w:val="00D66976"/>
    <w:rsid w:val="00D669EB"/>
    <w:rsid w:val="00D71903"/>
    <w:rsid w:val="00D72813"/>
    <w:rsid w:val="00D72929"/>
    <w:rsid w:val="00D75590"/>
    <w:rsid w:val="00D762D6"/>
    <w:rsid w:val="00D836B0"/>
    <w:rsid w:val="00DA140A"/>
    <w:rsid w:val="00DA1A88"/>
    <w:rsid w:val="00DA314D"/>
    <w:rsid w:val="00DA3CAE"/>
    <w:rsid w:val="00DA42E1"/>
    <w:rsid w:val="00DC4769"/>
    <w:rsid w:val="00DD6A8C"/>
    <w:rsid w:val="00DE2287"/>
    <w:rsid w:val="00DE58AA"/>
    <w:rsid w:val="00DE6422"/>
    <w:rsid w:val="00DF3F97"/>
    <w:rsid w:val="00DF7B66"/>
    <w:rsid w:val="00E043BD"/>
    <w:rsid w:val="00E05540"/>
    <w:rsid w:val="00E10E3C"/>
    <w:rsid w:val="00E16C1F"/>
    <w:rsid w:val="00E325D5"/>
    <w:rsid w:val="00E35E7F"/>
    <w:rsid w:val="00E3758C"/>
    <w:rsid w:val="00E37859"/>
    <w:rsid w:val="00E44475"/>
    <w:rsid w:val="00E45AB6"/>
    <w:rsid w:val="00E46F04"/>
    <w:rsid w:val="00E61089"/>
    <w:rsid w:val="00E619A5"/>
    <w:rsid w:val="00E61F03"/>
    <w:rsid w:val="00E66FB0"/>
    <w:rsid w:val="00E74809"/>
    <w:rsid w:val="00E74811"/>
    <w:rsid w:val="00E80534"/>
    <w:rsid w:val="00E82390"/>
    <w:rsid w:val="00E865A5"/>
    <w:rsid w:val="00E872EB"/>
    <w:rsid w:val="00E90461"/>
    <w:rsid w:val="00E93E15"/>
    <w:rsid w:val="00EA5EC7"/>
    <w:rsid w:val="00EB2F6C"/>
    <w:rsid w:val="00EB7D73"/>
    <w:rsid w:val="00EC2013"/>
    <w:rsid w:val="00EC74E0"/>
    <w:rsid w:val="00ED2B93"/>
    <w:rsid w:val="00ED34F4"/>
    <w:rsid w:val="00ED5410"/>
    <w:rsid w:val="00ED56E4"/>
    <w:rsid w:val="00EE0576"/>
    <w:rsid w:val="00EE5460"/>
    <w:rsid w:val="00EF2A57"/>
    <w:rsid w:val="00EF7981"/>
    <w:rsid w:val="00F02A5D"/>
    <w:rsid w:val="00F22137"/>
    <w:rsid w:val="00F31A8A"/>
    <w:rsid w:val="00F33F7D"/>
    <w:rsid w:val="00F408F8"/>
    <w:rsid w:val="00F40E33"/>
    <w:rsid w:val="00F4260B"/>
    <w:rsid w:val="00F445A2"/>
    <w:rsid w:val="00F5101A"/>
    <w:rsid w:val="00F534DC"/>
    <w:rsid w:val="00F617ED"/>
    <w:rsid w:val="00F6714C"/>
    <w:rsid w:val="00F86F95"/>
    <w:rsid w:val="00F90449"/>
    <w:rsid w:val="00F944CA"/>
    <w:rsid w:val="00F97980"/>
    <w:rsid w:val="00FA00B8"/>
    <w:rsid w:val="00FA09BA"/>
    <w:rsid w:val="00FA127B"/>
    <w:rsid w:val="00FA19AD"/>
    <w:rsid w:val="00FA4231"/>
    <w:rsid w:val="00FB05D9"/>
    <w:rsid w:val="00FB2092"/>
    <w:rsid w:val="00FB49C2"/>
    <w:rsid w:val="00FB7A0F"/>
    <w:rsid w:val="00FC2CD6"/>
    <w:rsid w:val="00FC6480"/>
    <w:rsid w:val="00FC6F24"/>
    <w:rsid w:val="00FC7F1D"/>
    <w:rsid w:val="00FD004A"/>
    <w:rsid w:val="00FE056C"/>
    <w:rsid w:val="00FF1E0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1DF"/>
    <w:pPr>
      <w:spacing w:after="0" w:line="240" w:lineRule="auto"/>
    </w:pPr>
    <w:rPr>
      <w:rFonts w:ascii="Times New Roman" w:hAnsi="Times New Roman"/>
      <w:sz w:val="24"/>
    </w:rPr>
  </w:style>
  <w:style w:type="paragraph" w:styleId="Heading1">
    <w:name w:val="heading 1"/>
    <w:basedOn w:val="Normal"/>
    <w:link w:val="Heading1Char"/>
    <w:autoRedefine/>
    <w:uiPriority w:val="9"/>
    <w:qFormat/>
    <w:rsid w:val="00F31A8A"/>
    <w:pPr>
      <w:outlineLvl w:val="0"/>
    </w:pPr>
    <w:rPr>
      <w:rFonts w:eastAsia="Times New Roman" w:cs="Times New Roman"/>
      <w:b/>
      <w:bCs/>
      <w:kern w:val="36"/>
      <w:sz w:val="48"/>
      <w:szCs w:val="48"/>
      <w:lang w:eastAsia="en-GB"/>
    </w:rPr>
  </w:style>
  <w:style w:type="paragraph" w:styleId="Heading2">
    <w:name w:val="heading 2"/>
    <w:basedOn w:val="Normal"/>
    <w:link w:val="Heading2Char"/>
    <w:autoRedefine/>
    <w:uiPriority w:val="9"/>
    <w:qFormat/>
    <w:rsid w:val="00F31A8A"/>
    <w:pPr>
      <w:outlineLvl w:val="1"/>
    </w:pPr>
    <w:rPr>
      <w:rFonts w:eastAsia="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A8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31A8A"/>
    <w:rPr>
      <w:rFonts w:ascii="Times New Roman" w:eastAsia="Times New Roman" w:hAnsi="Times New Roman" w:cs="Times New Roman"/>
      <w:b/>
      <w:bCs/>
      <w:sz w:val="36"/>
      <w:szCs w:val="36"/>
      <w:lang w:eastAsia="en-GB"/>
    </w:rPr>
  </w:style>
  <w:style w:type="paragraph" w:styleId="FootnoteText">
    <w:name w:val="footnote text"/>
    <w:basedOn w:val="Normal"/>
    <w:link w:val="FootnoteTextChar"/>
    <w:uiPriority w:val="99"/>
    <w:unhideWhenUsed/>
    <w:rsid w:val="008131DF"/>
    <w:rPr>
      <w:sz w:val="20"/>
      <w:szCs w:val="20"/>
    </w:rPr>
  </w:style>
  <w:style w:type="character" w:customStyle="1" w:styleId="FootnoteTextChar">
    <w:name w:val="Footnote Text Char"/>
    <w:basedOn w:val="DefaultParagraphFont"/>
    <w:link w:val="FootnoteText"/>
    <w:uiPriority w:val="99"/>
    <w:rsid w:val="008131DF"/>
    <w:rPr>
      <w:rFonts w:ascii="Times New Roman" w:hAnsi="Times New Roman"/>
      <w:sz w:val="20"/>
      <w:szCs w:val="20"/>
    </w:rPr>
  </w:style>
  <w:style w:type="character" w:styleId="FootnoteReference">
    <w:name w:val="footnote reference"/>
    <w:basedOn w:val="DefaultParagraphFont"/>
    <w:uiPriority w:val="99"/>
    <w:semiHidden/>
    <w:unhideWhenUsed/>
    <w:rsid w:val="008131DF"/>
    <w:rPr>
      <w:vertAlign w:val="superscript"/>
    </w:rPr>
  </w:style>
  <w:style w:type="character" w:customStyle="1" w:styleId="field773">
    <w:name w:val="field_773"/>
    <w:basedOn w:val="DefaultParagraphFont"/>
    <w:rsid w:val="008131DF"/>
  </w:style>
  <w:style w:type="paragraph" w:styleId="Header">
    <w:name w:val="header"/>
    <w:basedOn w:val="Normal"/>
    <w:link w:val="HeaderChar"/>
    <w:uiPriority w:val="99"/>
    <w:semiHidden/>
    <w:unhideWhenUsed/>
    <w:rsid w:val="008D2912"/>
    <w:pPr>
      <w:tabs>
        <w:tab w:val="center" w:pos="4513"/>
        <w:tab w:val="right" w:pos="9026"/>
      </w:tabs>
    </w:pPr>
  </w:style>
  <w:style w:type="character" w:customStyle="1" w:styleId="HeaderChar">
    <w:name w:val="Header Char"/>
    <w:basedOn w:val="DefaultParagraphFont"/>
    <w:link w:val="Header"/>
    <w:uiPriority w:val="99"/>
    <w:semiHidden/>
    <w:rsid w:val="008D2912"/>
    <w:rPr>
      <w:rFonts w:ascii="Times New Roman" w:hAnsi="Times New Roman"/>
      <w:sz w:val="24"/>
    </w:rPr>
  </w:style>
  <w:style w:type="paragraph" w:styleId="Footer">
    <w:name w:val="footer"/>
    <w:basedOn w:val="Normal"/>
    <w:link w:val="FooterChar"/>
    <w:uiPriority w:val="99"/>
    <w:unhideWhenUsed/>
    <w:rsid w:val="008D2912"/>
    <w:pPr>
      <w:tabs>
        <w:tab w:val="center" w:pos="4513"/>
        <w:tab w:val="right" w:pos="9026"/>
      </w:tabs>
    </w:pPr>
  </w:style>
  <w:style w:type="character" w:customStyle="1" w:styleId="FooterChar">
    <w:name w:val="Footer Char"/>
    <w:basedOn w:val="DefaultParagraphFont"/>
    <w:link w:val="Footer"/>
    <w:uiPriority w:val="99"/>
    <w:rsid w:val="008D2912"/>
    <w:rPr>
      <w:rFonts w:ascii="Times New Roman" w:hAnsi="Times New Roman"/>
      <w:sz w:val="24"/>
    </w:rPr>
  </w:style>
  <w:style w:type="character" w:styleId="Emphasis">
    <w:name w:val="Emphasis"/>
    <w:basedOn w:val="DefaultParagraphFont"/>
    <w:uiPriority w:val="20"/>
    <w:qFormat/>
    <w:rsid w:val="00064E69"/>
    <w:rPr>
      <w:i/>
      <w:iCs/>
    </w:rPr>
  </w:style>
  <w:style w:type="character" w:customStyle="1" w:styleId="rom">
    <w:name w:val="rom"/>
    <w:basedOn w:val="DefaultParagraphFont"/>
    <w:rsid w:val="00D2122D"/>
  </w:style>
  <w:style w:type="character" w:styleId="Strong">
    <w:name w:val="Strong"/>
    <w:basedOn w:val="DefaultParagraphFont"/>
    <w:uiPriority w:val="22"/>
    <w:qFormat/>
    <w:rsid w:val="00D2122D"/>
    <w:rPr>
      <w:b/>
      <w:bCs/>
    </w:rPr>
  </w:style>
  <w:style w:type="paragraph" w:styleId="EndnoteText">
    <w:name w:val="endnote text"/>
    <w:basedOn w:val="Normal"/>
    <w:link w:val="EndnoteTextChar"/>
    <w:uiPriority w:val="99"/>
    <w:semiHidden/>
    <w:unhideWhenUsed/>
    <w:rsid w:val="00637AA9"/>
    <w:rPr>
      <w:sz w:val="20"/>
      <w:szCs w:val="20"/>
    </w:rPr>
  </w:style>
  <w:style w:type="character" w:customStyle="1" w:styleId="EndnoteTextChar">
    <w:name w:val="Endnote Text Char"/>
    <w:basedOn w:val="DefaultParagraphFont"/>
    <w:link w:val="EndnoteText"/>
    <w:uiPriority w:val="99"/>
    <w:semiHidden/>
    <w:rsid w:val="00637AA9"/>
    <w:rPr>
      <w:rFonts w:ascii="Times New Roman" w:hAnsi="Times New Roman"/>
      <w:sz w:val="20"/>
      <w:szCs w:val="20"/>
    </w:rPr>
  </w:style>
  <w:style w:type="character" w:styleId="EndnoteReference">
    <w:name w:val="endnote reference"/>
    <w:basedOn w:val="DefaultParagraphFont"/>
    <w:uiPriority w:val="99"/>
    <w:semiHidden/>
    <w:unhideWhenUsed/>
    <w:rsid w:val="00637AA9"/>
    <w:rPr>
      <w:vertAlign w:val="superscript"/>
    </w:rPr>
  </w:style>
  <w:style w:type="paragraph" w:styleId="ListParagraph">
    <w:name w:val="List Paragraph"/>
    <w:basedOn w:val="Normal"/>
    <w:uiPriority w:val="34"/>
    <w:qFormat/>
    <w:rsid w:val="00637AA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2A478D9B-41B8-47A8-9DFB-7F964AE82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4636</Words>
  <Characters>23370</Characters>
  <Application>Microsoft Office Word</Application>
  <DocSecurity>0</DocSecurity>
  <Lines>333</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dc:creator>
  <cp:lastModifiedBy>Lloyd</cp:lastModifiedBy>
  <cp:revision>7</cp:revision>
  <dcterms:created xsi:type="dcterms:W3CDTF">2016-03-31T13:59:00Z</dcterms:created>
  <dcterms:modified xsi:type="dcterms:W3CDTF">2016-03-31T14:11:00Z</dcterms:modified>
</cp:coreProperties>
</file>