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F16" w:rsidRPr="00FB0F16" w:rsidRDefault="00FB0F16" w:rsidP="00C055DE">
      <w:pPr>
        <w:rPr>
          <w:b/>
        </w:rPr>
      </w:pPr>
      <w:r w:rsidRPr="00FB0F16">
        <w:rPr>
          <w:b/>
        </w:rPr>
        <w:t xml:space="preserve">Leibniz Encounters </w:t>
      </w:r>
      <w:r w:rsidR="002B50F4">
        <w:rPr>
          <w:b/>
        </w:rPr>
        <w:t>Maimonides</w:t>
      </w:r>
    </w:p>
    <w:p w:rsidR="00FB0F16" w:rsidRDefault="00FB0F16" w:rsidP="00C055DE"/>
    <w:p w:rsidR="00FB0F16" w:rsidRDefault="008C09E4" w:rsidP="00C055DE">
      <w:r>
        <w:t>Leibniz’s</w:t>
      </w:r>
      <w:r w:rsidR="003D4245">
        <w:t xml:space="preserve"> reading notes on </w:t>
      </w:r>
      <w:r w:rsidR="00683BE3">
        <w:t xml:space="preserve">the </w:t>
      </w:r>
      <w:r w:rsidR="003D4245">
        <w:rPr>
          <w:i/>
        </w:rPr>
        <w:t>Guide of the Perplexed</w:t>
      </w:r>
      <w:r w:rsidR="003D4245">
        <w:t xml:space="preserve">—translated </w:t>
      </w:r>
      <w:r w:rsidR="00683BE3">
        <w:t xml:space="preserve">into English </w:t>
      </w:r>
      <w:r w:rsidR="003D4245">
        <w:t xml:space="preserve">here for the first time—represent </w:t>
      </w:r>
      <w:r>
        <w:t>his</w:t>
      </w:r>
      <w:r w:rsidR="003D4245">
        <w:t xml:space="preserve"> deepest engagement with Maimonides</w:t>
      </w:r>
      <w:r>
        <w:t>. In order to provide some context for</w:t>
      </w:r>
      <w:r w:rsidR="00FB0F16">
        <w:t xml:space="preserve"> Leibniz’s notes, it is worthwhile </w:t>
      </w:r>
      <w:r>
        <w:t>taking a moment to consider the only remark</w:t>
      </w:r>
      <w:r w:rsidR="009B4A92">
        <w:t>s</w:t>
      </w:r>
      <w:r>
        <w:t xml:space="preserve"> Leibniz</w:t>
      </w:r>
      <w:r w:rsidR="00FB0F16">
        <w:t xml:space="preserve"> </w:t>
      </w:r>
      <w:r w:rsidR="009B4A92">
        <w:t xml:space="preserve">himself </w:t>
      </w:r>
      <w:r>
        <w:t xml:space="preserve">published on Maimonides, in </w:t>
      </w:r>
      <w:r>
        <w:rPr>
          <w:rFonts w:cs="Times New Roman"/>
        </w:rPr>
        <w:t>§§</w:t>
      </w:r>
      <w:r>
        <w:t>262</w:t>
      </w:r>
      <w:r>
        <w:rPr>
          <w:rFonts w:cs="Times New Roman"/>
          <w:szCs w:val="24"/>
        </w:rPr>
        <w:t>–</w:t>
      </w:r>
      <w:r>
        <w:t>263 of his</w:t>
      </w:r>
      <w:r w:rsidR="00FB0F16">
        <w:t xml:space="preserve"> </w:t>
      </w:r>
      <w:r w:rsidR="00FB0F16">
        <w:rPr>
          <w:i/>
        </w:rPr>
        <w:t>Theodicy</w:t>
      </w:r>
      <w:r>
        <w:t xml:space="preserve"> (1710). A deep dive here</w:t>
      </w:r>
      <w:r w:rsidR="00FB0F16">
        <w:t xml:space="preserve"> can help us understand what Leibniz knew of Maimonides’ </w:t>
      </w:r>
      <w:r w:rsidR="00FB0F16">
        <w:rPr>
          <w:i/>
        </w:rPr>
        <w:t>Guide</w:t>
      </w:r>
      <w:r w:rsidR="00FB0F16">
        <w:t>, from whom, and when.</w:t>
      </w:r>
    </w:p>
    <w:p w:rsidR="002A10A5" w:rsidRDefault="008C09E4" w:rsidP="008C09E4">
      <w:r>
        <w:tab/>
      </w:r>
      <w:r w:rsidR="002B50F4">
        <w:t xml:space="preserve">In </w:t>
      </w:r>
      <w:r w:rsidR="002B50F4">
        <w:rPr>
          <w:rFonts w:cs="Times New Roman"/>
        </w:rPr>
        <w:t>§</w:t>
      </w:r>
      <w:r w:rsidR="002B50F4">
        <w:t xml:space="preserve">262 of </w:t>
      </w:r>
      <w:r w:rsidR="003F7F68">
        <w:t>the</w:t>
      </w:r>
      <w:r w:rsidR="002B50F4">
        <w:t xml:space="preserve"> </w:t>
      </w:r>
      <w:r w:rsidR="002B50F4">
        <w:rPr>
          <w:i/>
        </w:rPr>
        <w:t>Theodicy</w:t>
      </w:r>
      <w:r w:rsidR="002B50F4">
        <w:t xml:space="preserve">, </w:t>
      </w:r>
      <w:r w:rsidR="003F7F68">
        <w:t xml:space="preserve">his book-length response to the sceptical arguments of Pierre Bayle, </w:t>
      </w:r>
      <w:r w:rsidR="002B50F4">
        <w:t xml:space="preserve">Leibniz considered the question of whether there was more good than evil in the world, and quoted with approval a passage from book 3, chapter 12 of Maimonides’ </w:t>
      </w:r>
      <w:r w:rsidR="002B50F4">
        <w:rPr>
          <w:i/>
        </w:rPr>
        <w:t>Guide</w:t>
      </w:r>
      <w:r w:rsidR="002A10A5">
        <w:t>:</w:t>
      </w:r>
    </w:p>
    <w:p w:rsidR="002A10A5" w:rsidRDefault="002A10A5" w:rsidP="008C09E4"/>
    <w:p w:rsidR="002A10A5" w:rsidRDefault="002A10A5" w:rsidP="002A10A5">
      <w:pPr>
        <w:ind w:left="720"/>
      </w:pPr>
      <w:r w:rsidRPr="002A10A5">
        <w:t xml:space="preserve">But even though there should have fallen to the lot of the human kind more evil than good, it is enough where God is concerned that there is incomparably more good than evil in the universe. Rabbi Maimonides (whose merit is not sufficiently recognized in the statement that he is the first of the Rabbis to have ceased talking nonsense) also gave wise judgement on this question of the predominance of good over evil in the world. Here is what he says in his </w:t>
      </w:r>
      <w:r w:rsidRPr="009B4A92">
        <w:rPr>
          <w:i/>
        </w:rPr>
        <w:t xml:space="preserve">Doctor </w:t>
      </w:r>
      <w:proofErr w:type="spellStart"/>
      <w:r w:rsidRPr="009B4A92">
        <w:rPr>
          <w:i/>
        </w:rPr>
        <w:t>Perplexorum</w:t>
      </w:r>
      <w:proofErr w:type="spellEnd"/>
      <w:r w:rsidRPr="002A10A5">
        <w:t xml:space="preserve"> (cap. 12, p. 3): ‘There arise often in the hearts of ill-instructed persons thoughts which persuade them there is more evil than good in the world: and one often finds in the poems and songs of the pagans that it is as it were a miracle when something good comes to pass, whereas evils are usual and constant. This error has taken hold not of the common herd only, those very persons who wish to be considered wise have been beguiled thereby. A celebrated writer named </w:t>
      </w:r>
      <w:proofErr w:type="spellStart"/>
      <w:r w:rsidRPr="002A10A5">
        <w:t>Alrasi</w:t>
      </w:r>
      <w:proofErr w:type="spellEnd"/>
      <w:r w:rsidRPr="002A10A5">
        <w:t xml:space="preserve">, in his </w:t>
      </w:r>
      <w:proofErr w:type="spellStart"/>
      <w:r w:rsidRPr="009B4A92">
        <w:rPr>
          <w:i/>
        </w:rPr>
        <w:t>Sepher</w:t>
      </w:r>
      <w:proofErr w:type="spellEnd"/>
      <w:r w:rsidRPr="009B4A92">
        <w:rPr>
          <w:i/>
        </w:rPr>
        <w:t xml:space="preserve"> </w:t>
      </w:r>
      <w:proofErr w:type="spellStart"/>
      <w:r w:rsidRPr="009B4A92">
        <w:rPr>
          <w:i/>
        </w:rPr>
        <w:t>Elohuth</w:t>
      </w:r>
      <w:proofErr w:type="spellEnd"/>
      <w:r w:rsidRPr="002A10A5">
        <w:t xml:space="preserve">, or Theosophy, amongst other absurdities has stated that there are more evils than goods, and that upon comparison of the recreations and the pleasures man enjoys in times of tranquillity with the pains, the torments, the troubles, faults, cares, </w:t>
      </w:r>
      <w:proofErr w:type="spellStart"/>
      <w:r w:rsidRPr="002A10A5">
        <w:t>griefs</w:t>
      </w:r>
      <w:proofErr w:type="spellEnd"/>
      <w:r w:rsidRPr="002A10A5">
        <w:t xml:space="preserve"> and afflictions whereby he is overwhelmed our life would prove to be a great evil, and an actual penalty inflicted upon us to punish us.’ Maimonides adds that the cause of their extravagant error is their supposition that Nature was made for them only, and that they hold of no account what is separate from their person; whence they infer that when something unpleasing to them occurs all goes ill in the universe.</w:t>
      </w:r>
      <w:r>
        <w:rPr>
          <w:rStyle w:val="FootnoteReference"/>
        </w:rPr>
        <w:footnoteReference w:id="1"/>
      </w:r>
    </w:p>
    <w:p w:rsidR="002A10A5" w:rsidRDefault="002A10A5" w:rsidP="008C09E4"/>
    <w:p w:rsidR="00315A63" w:rsidRDefault="00315A63" w:rsidP="008C09E4">
      <w:r>
        <w:t xml:space="preserve">In </w:t>
      </w:r>
      <w:r>
        <w:rPr>
          <w:rFonts w:cs="Times New Roman"/>
        </w:rPr>
        <w:t>§</w:t>
      </w:r>
      <w:r>
        <w:t>263, Leibniz indicate</w:t>
      </w:r>
      <w:r w:rsidR="00683BE3">
        <w:t>s</w:t>
      </w:r>
      <w:r>
        <w:t xml:space="preserve"> his approval of Maimonides’ position:</w:t>
      </w:r>
    </w:p>
    <w:p w:rsidR="00315A63" w:rsidRDefault="00315A63" w:rsidP="008C09E4"/>
    <w:p w:rsidR="00315A63" w:rsidRPr="00315A63" w:rsidRDefault="00315A63" w:rsidP="00315A63">
      <w:pPr>
        <w:autoSpaceDE w:val="0"/>
        <w:autoSpaceDN w:val="0"/>
        <w:adjustRightInd w:val="0"/>
        <w:ind w:left="720"/>
        <w:rPr>
          <w:rFonts w:cs="Times New Roman"/>
          <w:szCs w:val="24"/>
        </w:rPr>
      </w:pPr>
      <w:r w:rsidRPr="00315A63">
        <w:rPr>
          <w:rFonts w:cs="Times New Roman"/>
          <w:szCs w:val="24"/>
        </w:rPr>
        <w:t>M. Bayle says that this observation of Maimonides is not to the point, because the question is whether among men evil exceeds good. But, upon consideration of the Rabbi’s words, I find that the question he formulates is general, and that he wished to refute those who decide it on one particular motive derived from the evils of the human race, as if all had been made for man; and it seems as though the author whom he refutes spoke also of good and evil in general. Maimonides is right in saying that if one took into account the littleness of man in relation to the universe one would comprehend clearly that the predominance of evil, even though it prevailed among men, need not on that account occur among the angels, nor among the heavenly bodies, nor among the elements and inanimate compounds, nor among many kinds of animals.</w:t>
      </w:r>
      <w:r>
        <w:rPr>
          <w:rStyle w:val="FootnoteReference"/>
          <w:rFonts w:cs="Times New Roman"/>
          <w:szCs w:val="24"/>
        </w:rPr>
        <w:footnoteReference w:id="2"/>
      </w:r>
    </w:p>
    <w:p w:rsidR="00315A63" w:rsidRDefault="00315A63" w:rsidP="00315A63">
      <w:pPr>
        <w:autoSpaceDE w:val="0"/>
        <w:autoSpaceDN w:val="0"/>
        <w:adjustRightInd w:val="0"/>
      </w:pPr>
    </w:p>
    <w:p w:rsidR="008C09E4" w:rsidRPr="005B0174" w:rsidRDefault="008C09E4" w:rsidP="008C09E4">
      <w:r>
        <w:lastRenderedPageBreak/>
        <w:t>How did Leibniz happen upon th</w:t>
      </w:r>
      <w:r w:rsidR="00315A63">
        <w:t>e</w:t>
      </w:r>
      <w:r>
        <w:t xml:space="preserve"> passage</w:t>
      </w:r>
      <w:r w:rsidR="00315A63">
        <w:t xml:space="preserve"> from Maimonides</w:t>
      </w:r>
      <w:r>
        <w:t xml:space="preserve">? </w:t>
      </w:r>
      <w:r w:rsidR="00315A63">
        <w:t xml:space="preserve">In the </w:t>
      </w:r>
      <w:r w:rsidR="00315A63" w:rsidRPr="00315A63">
        <w:rPr>
          <w:i/>
        </w:rPr>
        <w:t>Theodicy</w:t>
      </w:r>
      <w:r w:rsidR="00315A63">
        <w:t>, Leibniz provide</w:t>
      </w:r>
      <w:r w:rsidR="00683BE3">
        <w:t>d</w:t>
      </w:r>
      <w:r w:rsidR="00315A63">
        <w:t xml:space="preserve"> his own </w:t>
      </w:r>
      <w:r>
        <w:t>French translation</w:t>
      </w:r>
      <w:r w:rsidR="00505506">
        <w:t xml:space="preserve"> of the passage, based on</w:t>
      </w:r>
      <w:r>
        <w:t xml:space="preserve"> </w:t>
      </w:r>
      <w:r w:rsidR="00505506">
        <w:t>pp.354</w:t>
      </w:r>
      <w:r w:rsidR="00505506">
        <w:rPr>
          <w:rFonts w:cs="Times New Roman"/>
          <w:szCs w:val="24"/>
        </w:rPr>
        <w:t>–</w:t>
      </w:r>
      <w:r w:rsidR="00505506">
        <w:t>355</w:t>
      </w:r>
      <w:r>
        <w:t xml:space="preserve"> of Johann </w:t>
      </w:r>
      <w:proofErr w:type="spellStart"/>
      <w:r>
        <w:t>Buxtorf’s</w:t>
      </w:r>
      <w:proofErr w:type="spellEnd"/>
      <w:r>
        <w:t xml:space="preserve"> Latin translation of Maimonides’ </w:t>
      </w:r>
      <w:r>
        <w:rPr>
          <w:i/>
        </w:rPr>
        <w:t>Guide</w:t>
      </w:r>
      <w:r w:rsidR="00505506">
        <w:t xml:space="preserve">, namely </w:t>
      </w:r>
      <w:r w:rsidR="005B0174" w:rsidRPr="005B0174">
        <w:rPr>
          <w:i/>
        </w:rPr>
        <w:t xml:space="preserve">Doctor </w:t>
      </w:r>
      <w:proofErr w:type="spellStart"/>
      <w:r w:rsidR="005B0174" w:rsidRPr="005B0174">
        <w:rPr>
          <w:i/>
        </w:rPr>
        <w:t>perplexorum</w:t>
      </w:r>
      <w:proofErr w:type="spellEnd"/>
      <w:r w:rsidR="005B0174">
        <w:t xml:space="preserve"> (1629)</w:t>
      </w:r>
      <w:r w:rsidR="00505506">
        <w:t>.</w:t>
      </w:r>
      <w:r w:rsidR="005B0174">
        <w:rPr>
          <w:rStyle w:val="FootnoteReference"/>
        </w:rPr>
        <w:footnoteReference w:id="3"/>
      </w:r>
      <w:r w:rsidR="00505506">
        <w:t xml:space="preserve"> O</w:t>
      </w:r>
      <w:r w:rsidR="005B0174">
        <w:t xml:space="preserve">ne </w:t>
      </w:r>
      <w:r w:rsidR="00505506">
        <w:t xml:space="preserve">might suppose </w:t>
      </w:r>
      <w:r w:rsidR="005B0174">
        <w:t xml:space="preserve">that </w:t>
      </w:r>
      <w:r w:rsidR="00505506">
        <w:t>Leibniz</w:t>
      </w:r>
      <w:r w:rsidR="005B0174">
        <w:t xml:space="preserve"> drew </w:t>
      </w:r>
      <w:r w:rsidR="00505506">
        <w:t>the passage</w:t>
      </w:r>
      <w:r w:rsidR="005B0174">
        <w:t xml:space="preserve"> directly from </w:t>
      </w:r>
      <w:proofErr w:type="spellStart"/>
      <w:r w:rsidR="005B0174">
        <w:t>Buxtorf</w:t>
      </w:r>
      <w:r w:rsidR="00505506">
        <w:t>’s</w:t>
      </w:r>
      <w:proofErr w:type="spellEnd"/>
      <w:r w:rsidR="00505506">
        <w:t xml:space="preserve"> translation</w:t>
      </w:r>
      <w:r>
        <w:t xml:space="preserve">. But in fact, Leibniz’s source was not </w:t>
      </w:r>
      <w:proofErr w:type="spellStart"/>
      <w:r>
        <w:t>Buxtorf</w:t>
      </w:r>
      <w:proofErr w:type="spellEnd"/>
      <w:r>
        <w:t xml:space="preserve"> but rather the second edition of Pierre Bayle’s </w:t>
      </w:r>
      <w:proofErr w:type="spellStart"/>
      <w:r w:rsidRPr="00022914">
        <w:rPr>
          <w:i/>
        </w:rPr>
        <w:t>Dictionnaire</w:t>
      </w:r>
      <w:proofErr w:type="spellEnd"/>
      <w:r w:rsidRPr="00022914">
        <w:rPr>
          <w:i/>
        </w:rPr>
        <w:t xml:space="preserve"> </w:t>
      </w:r>
      <w:proofErr w:type="spellStart"/>
      <w:r w:rsidRPr="00022914">
        <w:rPr>
          <w:i/>
        </w:rPr>
        <w:t>historique</w:t>
      </w:r>
      <w:proofErr w:type="spellEnd"/>
      <w:r w:rsidRPr="00022914">
        <w:rPr>
          <w:i/>
        </w:rPr>
        <w:t xml:space="preserve"> et critique</w:t>
      </w:r>
      <w:r>
        <w:t xml:space="preserve"> (1702), or more specifically, a set of planned additions and corrections for the third edition that Bayle printed at the end of the second edition.</w:t>
      </w:r>
      <w:r>
        <w:rPr>
          <w:rStyle w:val="FootnoteReference"/>
        </w:rPr>
        <w:footnoteReference w:id="4"/>
      </w:r>
      <w:r w:rsidR="005B0174">
        <w:t xml:space="preserve"> The passage Leibniz cites in </w:t>
      </w:r>
      <w:r w:rsidR="005B0174">
        <w:rPr>
          <w:rFonts w:cs="Times New Roman"/>
        </w:rPr>
        <w:t>§</w:t>
      </w:r>
      <w:r w:rsidR="005B0174">
        <w:t xml:space="preserve">262 of his </w:t>
      </w:r>
      <w:r w:rsidR="005B0174">
        <w:rPr>
          <w:i/>
        </w:rPr>
        <w:t>Theodicy</w:t>
      </w:r>
      <w:r w:rsidR="00505506">
        <w:t xml:space="preserve"> is the same one cited by Bayle. Moreover, every detail Leibniz provides of Maimonides’ position is to be found in the remarks Bayle</w:t>
      </w:r>
      <w:r w:rsidR="00FB32A4">
        <w:t xml:space="preserve"> made on the passage</w:t>
      </w:r>
      <w:r w:rsidR="00505506">
        <w:t xml:space="preserve">, virtually verbatim. This would suggest that at the time of writing the </w:t>
      </w:r>
      <w:r w:rsidR="00505506" w:rsidRPr="00FB0F16">
        <w:rPr>
          <w:i/>
        </w:rPr>
        <w:t>Theodicy</w:t>
      </w:r>
      <w:r w:rsidR="00505506">
        <w:t xml:space="preserve">, Leibniz had no deeper knowledge of the </w:t>
      </w:r>
      <w:r w:rsidR="00505506" w:rsidRPr="00022914">
        <w:rPr>
          <w:i/>
        </w:rPr>
        <w:t>Guide</w:t>
      </w:r>
      <w:r w:rsidR="00505506">
        <w:t xml:space="preserve"> than the short excerpt of it he had found in Bayle.</w:t>
      </w:r>
    </w:p>
    <w:p w:rsidR="00C055DE" w:rsidRDefault="00505506" w:rsidP="00505506">
      <w:r>
        <w:tab/>
        <w:t xml:space="preserve">This hypothesis is confirmed by the unpublished manuscripts of the </w:t>
      </w:r>
      <w:r>
        <w:rPr>
          <w:i/>
        </w:rPr>
        <w:t>Theodicy</w:t>
      </w:r>
      <w:r>
        <w:t xml:space="preserve">. </w:t>
      </w:r>
      <w:r w:rsidR="00683BE3">
        <w:t xml:space="preserve">In the original first draft (which is without </w:t>
      </w:r>
      <w:r w:rsidR="00683BE3">
        <w:rPr>
          <w:rFonts w:cs="Times New Roman"/>
        </w:rPr>
        <w:t>§</w:t>
      </w:r>
      <w:r w:rsidR="00683BE3">
        <w:t xml:space="preserve"> numbers)</w:t>
      </w:r>
      <w:r>
        <w:t>, Leibniz quotes the same passage from Maimonides</w:t>
      </w:r>
      <w:r w:rsidR="00683BE3">
        <w:t>,</w:t>
      </w:r>
      <w:r w:rsidR="005C0083">
        <w:rPr>
          <w:rStyle w:val="FootnoteReference"/>
        </w:rPr>
        <w:footnoteReference w:id="5"/>
      </w:r>
      <w:r>
        <w:t xml:space="preserve"> </w:t>
      </w:r>
      <w:r w:rsidR="009B4A92">
        <w:t>following it with</w:t>
      </w:r>
      <w:r>
        <w:t xml:space="preserve"> this intriguing comment, which he subsequently deleted: </w:t>
      </w:r>
      <w:r w:rsidR="00FB0F16">
        <w:t>“</w:t>
      </w:r>
      <w:r w:rsidR="00C055DE">
        <w:t xml:space="preserve">I suspect that there is something missing in the text of Maimonides, </w:t>
      </w:r>
      <w:r w:rsidR="00282575">
        <w:t>in which</w:t>
      </w:r>
      <w:r w:rsidR="00C055DE">
        <w:t xml:space="preserve"> he will have maintained that </w:t>
      </w:r>
      <w:r w:rsidR="00610923">
        <w:t xml:space="preserve">even </w:t>
      </w:r>
      <w:r w:rsidR="00C055DE">
        <w:t>among men prosperity prevails over adversity, because he was too good a logician to change the question in this way.</w:t>
      </w:r>
      <w:r w:rsidR="00FB0F16">
        <w:t>”</w:t>
      </w:r>
      <w:r w:rsidR="008C09E4">
        <w:rPr>
          <w:rStyle w:val="FootnoteReference"/>
        </w:rPr>
        <w:footnoteReference w:id="6"/>
      </w:r>
      <w:r w:rsidR="005B0174">
        <w:t xml:space="preserve"> </w:t>
      </w:r>
      <w:r w:rsidR="00C055DE">
        <w:t>In fact, in b</w:t>
      </w:r>
      <w:r w:rsidR="005B0174">
        <w:t>oo</w:t>
      </w:r>
      <w:r w:rsidR="00C055DE">
        <w:t>k 3</w:t>
      </w:r>
      <w:r w:rsidR="005B0174">
        <w:t>,</w:t>
      </w:r>
      <w:r w:rsidR="00C055DE">
        <w:t xml:space="preserve"> ch</w:t>
      </w:r>
      <w:r w:rsidR="005B0174">
        <w:t>apter</w:t>
      </w:r>
      <w:r w:rsidR="00C055DE">
        <w:t xml:space="preserve"> 12 </w:t>
      </w:r>
      <w:r w:rsidR="005B0174">
        <w:t xml:space="preserve">of the </w:t>
      </w:r>
      <w:r w:rsidR="005B0174" w:rsidRPr="005B0174">
        <w:rPr>
          <w:i/>
        </w:rPr>
        <w:t>Guide</w:t>
      </w:r>
      <w:r w:rsidR="005B0174">
        <w:t xml:space="preserve">, </w:t>
      </w:r>
      <w:r w:rsidR="00C055DE">
        <w:t>Maimonides doesn</w:t>
      </w:r>
      <w:r w:rsidR="00FB0F16">
        <w:t>’</w:t>
      </w:r>
      <w:r w:rsidR="00C055DE">
        <w:t>t make th</w:t>
      </w:r>
      <w:r w:rsidR="00683BE3">
        <w:t>e</w:t>
      </w:r>
      <w:r w:rsidR="00C055DE">
        <w:t xml:space="preserve"> argument </w:t>
      </w:r>
      <w:r w:rsidR="00683BE3">
        <w:t>Leibniz suspected he had</w:t>
      </w:r>
      <w:r w:rsidR="00C055DE">
        <w:t xml:space="preserve">; </w:t>
      </w:r>
      <w:r w:rsidR="00EA5099">
        <w:t>Maimonides’</w:t>
      </w:r>
      <w:r w:rsidR="00C055DE">
        <w:t xml:space="preserve"> point is rather that humans often labour under the misconception that the universe was made for them (and specifically, </w:t>
      </w:r>
      <w:r w:rsidR="003F7F68">
        <w:t xml:space="preserve">for </w:t>
      </w:r>
      <w:r w:rsidR="00C055DE">
        <w:t xml:space="preserve">their convenience and pleasure), and that in any case most of those disgruntled with the universe seek unnecessary things rather than content themselves with the necessities of life. In his </w:t>
      </w:r>
      <w:r>
        <w:t>original</w:t>
      </w:r>
      <w:r w:rsidR="00C055DE">
        <w:t xml:space="preserve"> </w:t>
      </w:r>
      <w:r>
        <w:t>commen</w:t>
      </w:r>
      <w:r w:rsidR="005B0174">
        <w:t>t</w:t>
      </w:r>
      <w:r w:rsidR="00C055DE">
        <w:t xml:space="preserve"> on the passage of Maimonides, Leibniz </w:t>
      </w:r>
      <w:r w:rsidR="00282575">
        <w:t>did no more than</w:t>
      </w:r>
      <w:r w:rsidR="00C055DE">
        <w:t xml:space="preserve"> </w:t>
      </w:r>
      <w:r w:rsidR="00282575">
        <w:t>guess</w:t>
      </w:r>
      <w:r w:rsidR="005B0174">
        <w:t xml:space="preserve"> </w:t>
      </w:r>
      <w:r w:rsidR="00FB32A4">
        <w:t xml:space="preserve">at </w:t>
      </w:r>
      <w:r w:rsidR="005B0174">
        <w:t>what</w:t>
      </w:r>
      <w:r w:rsidR="00C055DE">
        <w:t xml:space="preserve"> Maimonides</w:t>
      </w:r>
      <w:r w:rsidR="005B0174">
        <w:t xml:space="preserve">’ argument </w:t>
      </w:r>
      <w:r w:rsidR="00282575">
        <w:t>would be, and chide</w:t>
      </w:r>
      <w:r w:rsidR="005B0174">
        <w:t xml:space="preserve"> Bayle for omitting the key part of it.</w:t>
      </w:r>
      <w:r w:rsidR="00C055DE">
        <w:t xml:space="preserve"> </w:t>
      </w:r>
      <w:r w:rsidR="005B0174">
        <w:t>The fact that Leibniz resorted to guessing (and guessing incorrectly!)</w:t>
      </w:r>
      <w:r w:rsidR="00F8617C">
        <w:t xml:space="preserve"> at Maimonides’ argument</w:t>
      </w:r>
      <w:r w:rsidR="005B0174">
        <w:t xml:space="preserve"> </w:t>
      </w:r>
      <w:r w:rsidR="00F8617C">
        <w:t>indicates that</w:t>
      </w:r>
      <w:r w:rsidR="00C055DE">
        <w:t xml:space="preserve"> </w:t>
      </w:r>
      <w:r w:rsidR="005B0174">
        <w:t>he</w:t>
      </w:r>
      <w:r w:rsidR="00C055DE">
        <w:t xml:space="preserve"> had not read </w:t>
      </w:r>
      <w:r w:rsidR="005B0174">
        <w:t xml:space="preserve">the </w:t>
      </w:r>
      <w:r w:rsidR="005B0174" w:rsidRPr="005B0174">
        <w:rPr>
          <w:i/>
        </w:rPr>
        <w:t>Guide</w:t>
      </w:r>
      <w:r w:rsidR="00C055DE">
        <w:t xml:space="preserve"> at the time </w:t>
      </w:r>
      <w:r w:rsidR="005B0174">
        <w:t>he wrote</w:t>
      </w:r>
      <w:r w:rsidR="00C055DE">
        <w:t xml:space="preserve"> the initial draft of the </w:t>
      </w:r>
      <w:r w:rsidR="00C055DE" w:rsidRPr="005B0174">
        <w:rPr>
          <w:i/>
        </w:rPr>
        <w:t>Theodicy</w:t>
      </w:r>
      <w:r w:rsidR="00F8617C">
        <w:t>. S</w:t>
      </w:r>
      <w:r w:rsidR="00C055DE">
        <w:t xml:space="preserve">ince that draft dates </w:t>
      </w:r>
      <w:r w:rsidR="00F8617C">
        <w:t>to</w:t>
      </w:r>
      <w:r w:rsidR="00C055DE">
        <w:t xml:space="preserve"> c. 1707, it is reasonable to suppose that Leibniz</w:t>
      </w:r>
      <w:r w:rsidR="00FB0F16">
        <w:t>’</w:t>
      </w:r>
      <w:r w:rsidR="00C055DE">
        <w:t xml:space="preserve">s </w:t>
      </w:r>
      <w:r w:rsidR="00EA5099">
        <w:t xml:space="preserve">first </w:t>
      </w:r>
      <w:r w:rsidR="00C055DE">
        <w:t>reading of Maimonides</w:t>
      </w:r>
      <w:r w:rsidR="00FB0F16">
        <w:t>’</w:t>
      </w:r>
      <w:r w:rsidR="00C055DE">
        <w:t xml:space="preserve"> </w:t>
      </w:r>
      <w:r w:rsidR="00C055DE" w:rsidRPr="00FB0F16">
        <w:rPr>
          <w:i/>
        </w:rPr>
        <w:t>Guide</w:t>
      </w:r>
      <w:r w:rsidR="00F8617C">
        <w:t xml:space="preserve"> </w:t>
      </w:r>
      <w:r w:rsidR="00C055DE">
        <w:t>occurred</w:t>
      </w:r>
      <w:r w:rsidR="00FB0F16">
        <w:t xml:space="preserve"> </w:t>
      </w:r>
      <w:r w:rsidR="00C055DE">
        <w:t>l</w:t>
      </w:r>
      <w:r w:rsidR="00F8617C">
        <w:t>ater than this</w:t>
      </w:r>
      <w:r w:rsidR="00C055DE">
        <w:t>.</w:t>
      </w:r>
    </w:p>
    <w:p w:rsidR="0063740B" w:rsidRPr="002A22D6" w:rsidRDefault="0063740B" w:rsidP="00361E15">
      <w:pPr>
        <w:rPr>
          <w:rFonts w:eastAsia="Times New Roman" w:cs="Times New Roman"/>
          <w:color w:val="000000"/>
          <w:szCs w:val="24"/>
          <w:lang w:eastAsia="en-GB"/>
        </w:rPr>
      </w:pPr>
      <w:r>
        <w:tab/>
      </w:r>
      <w:r w:rsidRPr="002A22D6">
        <w:rPr>
          <w:rFonts w:eastAsia="Times New Roman" w:cs="Times New Roman"/>
          <w:color w:val="000000"/>
          <w:szCs w:val="24"/>
          <w:lang w:eastAsia="en-GB"/>
        </w:rPr>
        <w:t xml:space="preserve">However, </w:t>
      </w:r>
      <w:r w:rsidRPr="00207E92">
        <w:rPr>
          <w:rFonts w:eastAsia="Times New Roman" w:cs="Times New Roman"/>
          <w:color w:val="000000"/>
          <w:szCs w:val="24"/>
          <w:lang w:eastAsia="en-GB"/>
        </w:rPr>
        <w:t xml:space="preserve">Leibniz had </w:t>
      </w:r>
      <w:r w:rsidRPr="002A22D6">
        <w:rPr>
          <w:rFonts w:eastAsia="Times New Roman" w:cs="Times New Roman"/>
          <w:color w:val="000000"/>
          <w:szCs w:val="24"/>
          <w:lang w:eastAsia="en-GB"/>
        </w:rPr>
        <w:t xml:space="preserve">certainly </w:t>
      </w:r>
      <w:r w:rsidRPr="00207E92">
        <w:rPr>
          <w:rFonts w:eastAsia="Times New Roman" w:cs="Times New Roman"/>
          <w:color w:val="000000"/>
          <w:szCs w:val="24"/>
          <w:lang w:eastAsia="en-GB"/>
        </w:rPr>
        <w:t xml:space="preserve">read some of the </w:t>
      </w:r>
      <w:r w:rsidRPr="00207E92">
        <w:rPr>
          <w:rFonts w:eastAsia="Times New Roman" w:cs="Times New Roman"/>
          <w:i/>
          <w:color w:val="000000"/>
          <w:szCs w:val="24"/>
          <w:lang w:eastAsia="en-GB"/>
        </w:rPr>
        <w:t>Guide</w:t>
      </w:r>
      <w:r w:rsidRPr="00207E92">
        <w:rPr>
          <w:rFonts w:eastAsia="Times New Roman" w:cs="Times New Roman"/>
          <w:color w:val="000000"/>
          <w:szCs w:val="24"/>
          <w:lang w:eastAsia="en-GB"/>
        </w:rPr>
        <w:t xml:space="preserve"> prior to 1707, namely, the dedicatory letter at the start</w:t>
      </w:r>
      <w:r w:rsidRPr="002A22D6">
        <w:rPr>
          <w:rFonts w:eastAsia="Times New Roman" w:cs="Times New Roman"/>
          <w:color w:val="000000"/>
          <w:szCs w:val="24"/>
          <w:lang w:eastAsia="en-GB"/>
        </w:rPr>
        <w:t>, which was published by Thomas Hyde in 1690 as a bilingual 4-page pamphlet with Maimonides’ original Arabic on the left hand side and a Latin translation on the right.</w:t>
      </w:r>
      <w:r w:rsidRPr="002A22D6">
        <w:rPr>
          <w:rStyle w:val="FootnoteReference"/>
          <w:rFonts w:eastAsia="Times New Roman" w:cs="Times New Roman"/>
          <w:color w:val="000000"/>
          <w:szCs w:val="24"/>
          <w:lang w:eastAsia="en-GB"/>
        </w:rPr>
        <w:footnoteReference w:id="7"/>
      </w:r>
      <w:r w:rsidRPr="002A22D6">
        <w:rPr>
          <w:rFonts w:eastAsia="Times New Roman" w:cs="Times New Roman"/>
          <w:color w:val="000000"/>
          <w:szCs w:val="24"/>
          <w:lang w:eastAsia="en-GB"/>
        </w:rPr>
        <w:t xml:space="preserve"> Hyde’s pamphlet was</w:t>
      </w:r>
      <w:r w:rsidRPr="00207E92">
        <w:rPr>
          <w:rFonts w:eastAsia="Times New Roman" w:cs="Times New Roman"/>
          <w:color w:val="000000"/>
          <w:szCs w:val="24"/>
          <w:lang w:eastAsia="en-GB"/>
        </w:rPr>
        <w:t xml:space="preserve"> intended as a sample to make the case for</w:t>
      </w:r>
      <w:r w:rsidRPr="002A22D6">
        <w:rPr>
          <w:rFonts w:eastAsia="Times New Roman" w:cs="Times New Roman"/>
          <w:color w:val="000000"/>
          <w:szCs w:val="24"/>
          <w:lang w:eastAsia="en-GB"/>
        </w:rPr>
        <w:t xml:space="preserve"> </w:t>
      </w:r>
      <w:r w:rsidRPr="00207E92">
        <w:rPr>
          <w:rFonts w:eastAsia="Times New Roman" w:cs="Times New Roman"/>
          <w:color w:val="000000"/>
          <w:szCs w:val="24"/>
          <w:lang w:eastAsia="en-GB"/>
        </w:rPr>
        <w:t xml:space="preserve">a complete edition </w:t>
      </w:r>
      <w:r w:rsidRPr="002A22D6">
        <w:rPr>
          <w:rFonts w:eastAsia="Times New Roman" w:cs="Times New Roman"/>
          <w:color w:val="000000"/>
          <w:szCs w:val="24"/>
          <w:lang w:eastAsia="en-GB"/>
        </w:rPr>
        <w:t xml:space="preserve">of the </w:t>
      </w:r>
      <w:r w:rsidRPr="002A22D6">
        <w:rPr>
          <w:rFonts w:eastAsia="Times New Roman" w:cs="Times New Roman"/>
          <w:i/>
          <w:color w:val="000000"/>
          <w:szCs w:val="24"/>
          <w:lang w:eastAsia="en-GB"/>
        </w:rPr>
        <w:t>Guide</w:t>
      </w:r>
      <w:r w:rsidRPr="002A22D6">
        <w:rPr>
          <w:rFonts w:eastAsia="Times New Roman" w:cs="Times New Roman"/>
          <w:color w:val="000000"/>
          <w:szCs w:val="24"/>
          <w:lang w:eastAsia="en-GB"/>
        </w:rPr>
        <w:t>, though such an edition did not appear</w:t>
      </w:r>
      <w:r w:rsidRPr="00207E92">
        <w:rPr>
          <w:rFonts w:eastAsia="Times New Roman" w:cs="Times New Roman"/>
          <w:color w:val="000000"/>
          <w:szCs w:val="24"/>
          <w:lang w:eastAsia="en-GB"/>
        </w:rPr>
        <w:t>.</w:t>
      </w:r>
      <w:r w:rsidRPr="002A22D6">
        <w:rPr>
          <w:rStyle w:val="FootnoteReference"/>
          <w:rFonts w:eastAsia="Times New Roman" w:cs="Times New Roman"/>
          <w:color w:val="000000"/>
          <w:szCs w:val="24"/>
          <w:lang w:eastAsia="en-GB"/>
        </w:rPr>
        <w:footnoteReference w:id="8"/>
      </w:r>
      <w:r w:rsidRPr="00207E92">
        <w:rPr>
          <w:rFonts w:eastAsia="Times New Roman" w:cs="Times New Roman"/>
          <w:color w:val="000000"/>
          <w:szCs w:val="24"/>
          <w:lang w:eastAsia="en-GB"/>
        </w:rPr>
        <w:t xml:space="preserve"> Leibniz read Hyde</w:t>
      </w:r>
      <w:r>
        <w:rPr>
          <w:rFonts w:eastAsia="Times New Roman" w:cs="Times New Roman"/>
          <w:color w:val="000000"/>
          <w:szCs w:val="24"/>
          <w:lang w:eastAsia="en-GB"/>
        </w:rPr>
        <w:t>’</w:t>
      </w:r>
      <w:r w:rsidRPr="00207E92">
        <w:rPr>
          <w:rFonts w:eastAsia="Times New Roman" w:cs="Times New Roman"/>
          <w:color w:val="000000"/>
          <w:szCs w:val="24"/>
          <w:lang w:eastAsia="en-GB"/>
        </w:rPr>
        <w:t xml:space="preserve">s pamphlet in </w:t>
      </w:r>
      <w:r w:rsidRPr="00207E92">
        <w:rPr>
          <w:rFonts w:eastAsia="Times New Roman" w:cs="Times New Roman"/>
          <w:color w:val="000000"/>
          <w:szCs w:val="24"/>
          <w:lang w:eastAsia="en-GB"/>
        </w:rPr>
        <w:lastRenderedPageBreak/>
        <w:t xml:space="preserve">1696: </w:t>
      </w:r>
      <w:r w:rsidRPr="002A22D6">
        <w:rPr>
          <w:rFonts w:eastAsia="Times New Roman" w:cs="Times New Roman"/>
          <w:color w:val="000000"/>
          <w:szCs w:val="24"/>
          <w:lang w:eastAsia="en-GB"/>
        </w:rPr>
        <w:t xml:space="preserve">in a letter to </w:t>
      </w:r>
      <w:proofErr w:type="spellStart"/>
      <w:r w:rsidRPr="002A22D6">
        <w:rPr>
          <w:rFonts w:eastAsia="Times New Roman" w:cs="Times New Roman"/>
          <w:color w:val="000000"/>
          <w:szCs w:val="24"/>
          <w:lang w:eastAsia="en-GB"/>
        </w:rPr>
        <w:t>Ezechiel</w:t>
      </w:r>
      <w:proofErr w:type="spellEnd"/>
      <w:r w:rsidRPr="002A22D6">
        <w:rPr>
          <w:rFonts w:eastAsia="Times New Roman" w:cs="Times New Roman"/>
          <w:color w:val="000000"/>
          <w:szCs w:val="24"/>
          <w:lang w:eastAsia="en-GB"/>
        </w:rPr>
        <w:t xml:space="preserve"> </w:t>
      </w:r>
      <w:proofErr w:type="spellStart"/>
      <w:r w:rsidRPr="002A22D6">
        <w:rPr>
          <w:rFonts w:eastAsia="Times New Roman" w:cs="Times New Roman"/>
          <w:color w:val="000000"/>
          <w:szCs w:val="24"/>
          <w:lang w:eastAsia="en-GB"/>
        </w:rPr>
        <w:t>Spanheim</w:t>
      </w:r>
      <w:proofErr w:type="spellEnd"/>
      <w:r w:rsidRPr="002A22D6">
        <w:rPr>
          <w:rFonts w:eastAsia="Times New Roman" w:cs="Times New Roman"/>
          <w:color w:val="000000"/>
          <w:szCs w:val="24"/>
          <w:lang w:eastAsia="en-GB"/>
        </w:rPr>
        <w:t xml:space="preserve"> of</w:t>
      </w:r>
      <w:r w:rsidRPr="00207E92">
        <w:rPr>
          <w:rFonts w:eastAsia="Times New Roman" w:cs="Times New Roman"/>
          <w:color w:val="000000"/>
          <w:szCs w:val="24"/>
          <w:lang w:eastAsia="en-GB"/>
        </w:rPr>
        <w:t xml:space="preserve"> 23 December 1696, he wrote:</w:t>
      </w:r>
      <w:r w:rsidRPr="002A22D6">
        <w:rPr>
          <w:rFonts w:eastAsia="Times New Roman" w:cs="Times New Roman"/>
          <w:color w:val="000000"/>
          <w:szCs w:val="24"/>
          <w:lang w:eastAsia="en-GB"/>
        </w:rPr>
        <w:t xml:space="preserve"> “Mr. Thomas Hyde has printed Maimonides</w:t>
      </w:r>
      <w:r>
        <w:rPr>
          <w:rFonts w:eastAsia="Times New Roman" w:cs="Times New Roman"/>
          <w:color w:val="000000"/>
          <w:szCs w:val="24"/>
          <w:lang w:eastAsia="en-GB"/>
        </w:rPr>
        <w:t>’</w:t>
      </w:r>
      <w:r w:rsidRPr="002A22D6">
        <w:rPr>
          <w:rFonts w:eastAsia="Times New Roman" w:cs="Times New Roman"/>
          <w:color w:val="000000"/>
          <w:szCs w:val="24"/>
          <w:lang w:eastAsia="en-GB"/>
        </w:rPr>
        <w:t xml:space="preserve"> </w:t>
      </w:r>
      <w:proofErr w:type="spellStart"/>
      <w:r w:rsidRPr="002A22D6">
        <w:rPr>
          <w:rFonts w:eastAsia="Times New Roman" w:cs="Times New Roman"/>
          <w:i/>
          <w:iCs/>
          <w:color w:val="000000"/>
          <w:szCs w:val="24"/>
          <w:lang w:eastAsia="en-GB"/>
        </w:rPr>
        <w:t>Moreh</w:t>
      </w:r>
      <w:proofErr w:type="spellEnd"/>
      <w:r w:rsidRPr="002A22D6">
        <w:rPr>
          <w:rFonts w:eastAsia="Times New Roman" w:cs="Times New Roman"/>
          <w:i/>
          <w:iCs/>
          <w:color w:val="000000"/>
          <w:szCs w:val="24"/>
          <w:lang w:eastAsia="en-GB"/>
        </w:rPr>
        <w:t xml:space="preserve"> </w:t>
      </w:r>
      <w:proofErr w:type="spellStart"/>
      <w:r w:rsidRPr="002A22D6">
        <w:rPr>
          <w:rFonts w:eastAsia="Times New Roman" w:cs="Times New Roman"/>
          <w:i/>
          <w:iCs/>
          <w:color w:val="000000"/>
          <w:szCs w:val="24"/>
          <w:lang w:eastAsia="en-GB"/>
        </w:rPr>
        <w:t>Nevochim</w:t>
      </w:r>
      <w:proofErr w:type="spellEnd"/>
      <w:r w:rsidRPr="002A22D6">
        <w:rPr>
          <w:rFonts w:eastAsia="Times New Roman" w:cs="Times New Roman"/>
          <w:color w:val="000000"/>
          <w:szCs w:val="24"/>
          <w:lang w:eastAsia="en-GB"/>
        </w:rPr>
        <w:t xml:space="preserve"> in Arabic as it was written by the author with the Latin version by </w:t>
      </w:r>
      <w:proofErr w:type="spellStart"/>
      <w:r w:rsidRPr="002A22D6">
        <w:rPr>
          <w:rFonts w:eastAsia="Times New Roman" w:cs="Times New Roman"/>
          <w:color w:val="000000"/>
          <w:szCs w:val="24"/>
          <w:lang w:eastAsia="en-GB"/>
        </w:rPr>
        <w:t>Buxtorf</w:t>
      </w:r>
      <w:proofErr w:type="spellEnd"/>
      <w:r w:rsidRPr="002A22D6">
        <w:rPr>
          <w:rFonts w:eastAsia="Times New Roman" w:cs="Times New Roman"/>
          <w:color w:val="000000"/>
          <w:szCs w:val="24"/>
          <w:lang w:eastAsia="en-GB"/>
        </w:rPr>
        <w:t>, and some notes which seemed excellent, judging by the essay sent to me.”</w:t>
      </w:r>
      <w:r w:rsidRPr="002A22D6">
        <w:rPr>
          <w:rStyle w:val="FootnoteReference"/>
          <w:rFonts w:eastAsia="Times New Roman" w:cs="Times New Roman"/>
          <w:color w:val="000000"/>
          <w:szCs w:val="24"/>
          <w:lang w:eastAsia="en-GB"/>
        </w:rPr>
        <w:footnoteReference w:id="9"/>
      </w:r>
    </w:p>
    <w:p w:rsidR="0063740B" w:rsidRPr="002A22D6" w:rsidRDefault="0063740B" w:rsidP="00361E15">
      <w:pPr>
        <w:rPr>
          <w:rFonts w:eastAsia="Times New Roman" w:cs="Times New Roman"/>
          <w:color w:val="000000"/>
          <w:szCs w:val="24"/>
          <w:lang w:eastAsia="en-GB"/>
        </w:rPr>
      </w:pPr>
      <w:r>
        <w:rPr>
          <w:rFonts w:eastAsia="Times New Roman" w:cs="Times New Roman"/>
          <w:color w:val="000000"/>
          <w:szCs w:val="24"/>
          <w:lang w:eastAsia="en-GB"/>
        </w:rPr>
        <w:tab/>
      </w:r>
      <w:r w:rsidRPr="002A22D6">
        <w:rPr>
          <w:rFonts w:eastAsia="Times New Roman" w:cs="Times New Roman"/>
          <w:color w:val="000000"/>
          <w:szCs w:val="24"/>
          <w:lang w:eastAsia="en-GB"/>
        </w:rPr>
        <w:t xml:space="preserve">Another brush with the </w:t>
      </w:r>
      <w:r w:rsidRPr="002A22D6">
        <w:rPr>
          <w:rFonts w:eastAsia="Times New Roman" w:cs="Times New Roman"/>
          <w:i/>
          <w:color w:val="000000"/>
          <w:szCs w:val="24"/>
          <w:lang w:eastAsia="en-GB"/>
        </w:rPr>
        <w:t>Guide</w:t>
      </w:r>
      <w:r w:rsidRPr="002A22D6">
        <w:rPr>
          <w:rFonts w:eastAsia="Times New Roman" w:cs="Times New Roman"/>
          <w:color w:val="000000"/>
          <w:szCs w:val="24"/>
          <w:lang w:eastAsia="en-GB"/>
        </w:rPr>
        <w:t xml:space="preserve"> occurred ten years later. In a letter of 26 October 1706, another of Leibniz’s correspondents, Hermann von </w:t>
      </w:r>
      <w:proofErr w:type="spellStart"/>
      <w:r w:rsidRPr="002A22D6">
        <w:rPr>
          <w:rFonts w:eastAsia="Times New Roman" w:cs="Times New Roman"/>
          <w:color w:val="000000"/>
          <w:szCs w:val="24"/>
          <w:lang w:eastAsia="en-GB"/>
        </w:rPr>
        <w:t>der</w:t>
      </w:r>
      <w:proofErr w:type="spellEnd"/>
      <w:r w:rsidRPr="002A22D6">
        <w:rPr>
          <w:rFonts w:eastAsia="Times New Roman" w:cs="Times New Roman"/>
          <w:color w:val="000000"/>
          <w:szCs w:val="24"/>
          <w:lang w:eastAsia="en-GB"/>
        </w:rPr>
        <w:t xml:space="preserve"> </w:t>
      </w:r>
      <w:proofErr w:type="spellStart"/>
      <w:r w:rsidRPr="002A22D6">
        <w:rPr>
          <w:rFonts w:eastAsia="Times New Roman" w:cs="Times New Roman"/>
          <w:color w:val="000000"/>
          <w:szCs w:val="24"/>
          <w:lang w:eastAsia="en-GB"/>
        </w:rPr>
        <w:t>Hardt</w:t>
      </w:r>
      <w:proofErr w:type="spellEnd"/>
      <w:r w:rsidRPr="002A22D6">
        <w:rPr>
          <w:rFonts w:eastAsia="Times New Roman" w:cs="Times New Roman"/>
          <w:color w:val="000000"/>
          <w:szCs w:val="24"/>
          <w:lang w:eastAsia="en-GB"/>
        </w:rPr>
        <w:t xml:space="preserve">, provided some details of Maimonides’ interpretation (in the </w:t>
      </w:r>
      <w:r w:rsidRPr="002A22D6">
        <w:rPr>
          <w:rFonts w:eastAsia="Times New Roman" w:cs="Times New Roman"/>
          <w:i/>
          <w:color w:val="000000"/>
          <w:szCs w:val="24"/>
          <w:lang w:eastAsia="en-GB"/>
        </w:rPr>
        <w:t>Guide</w:t>
      </w:r>
      <w:r w:rsidRPr="002A22D6">
        <w:rPr>
          <w:rFonts w:eastAsia="Times New Roman" w:cs="Times New Roman"/>
          <w:color w:val="000000"/>
          <w:szCs w:val="24"/>
          <w:lang w:eastAsia="en-GB"/>
        </w:rPr>
        <w:t xml:space="preserve"> II.42) of the visions and dreams of </w:t>
      </w:r>
      <w:proofErr w:type="spellStart"/>
      <w:r w:rsidRPr="002A22D6">
        <w:rPr>
          <w:rFonts w:eastAsia="Times New Roman" w:cs="Times New Roman"/>
          <w:color w:val="000000"/>
          <w:szCs w:val="24"/>
          <w:lang w:eastAsia="en-GB"/>
        </w:rPr>
        <w:t>Bileam</w:t>
      </w:r>
      <w:proofErr w:type="spellEnd"/>
      <w:r w:rsidRPr="002A22D6">
        <w:rPr>
          <w:rFonts w:eastAsia="Times New Roman" w:cs="Times New Roman"/>
          <w:color w:val="000000"/>
          <w:szCs w:val="24"/>
          <w:lang w:eastAsia="en-GB"/>
        </w:rPr>
        <w:t xml:space="preserve">, a soothsayer who features in several chapters of the Book of Numbers. Von </w:t>
      </w:r>
      <w:proofErr w:type="spellStart"/>
      <w:r w:rsidRPr="002A22D6">
        <w:rPr>
          <w:rFonts w:eastAsia="Times New Roman" w:cs="Times New Roman"/>
          <w:color w:val="000000"/>
          <w:szCs w:val="24"/>
          <w:lang w:eastAsia="en-GB"/>
        </w:rPr>
        <w:t>der</w:t>
      </w:r>
      <w:proofErr w:type="spellEnd"/>
      <w:r w:rsidRPr="002A22D6">
        <w:rPr>
          <w:rFonts w:eastAsia="Times New Roman" w:cs="Times New Roman"/>
          <w:color w:val="000000"/>
          <w:szCs w:val="24"/>
          <w:lang w:eastAsia="en-GB"/>
        </w:rPr>
        <w:t xml:space="preserve"> </w:t>
      </w:r>
      <w:proofErr w:type="spellStart"/>
      <w:r w:rsidRPr="002A22D6">
        <w:rPr>
          <w:rFonts w:eastAsia="Times New Roman" w:cs="Times New Roman"/>
          <w:color w:val="000000"/>
          <w:szCs w:val="24"/>
          <w:lang w:eastAsia="en-GB"/>
        </w:rPr>
        <w:t>Hardt</w:t>
      </w:r>
      <w:proofErr w:type="spellEnd"/>
      <w:r w:rsidRPr="002A22D6">
        <w:rPr>
          <w:rFonts w:eastAsia="Times New Roman" w:cs="Times New Roman"/>
          <w:color w:val="000000"/>
          <w:szCs w:val="24"/>
          <w:lang w:eastAsia="en-GB"/>
        </w:rPr>
        <w:t xml:space="preserve"> explained that Maimonides had interpreted the episode of the talking she-ass in Numbers 22 as occurring in Balaam’s </w:t>
      </w:r>
      <w:r w:rsidR="00361E15">
        <w:rPr>
          <w:rFonts w:eastAsia="Times New Roman" w:cs="Times New Roman"/>
          <w:color w:val="000000"/>
          <w:szCs w:val="24"/>
          <w:lang w:eastAsia="en-GB"/>
        </w:rPr>
        <w:t>dream</w:t>
      </w:r>
      <w:r w:rsidRPr="002A22D6">
        <w:rPr>
          <w:rFonts w:eastAsia="Times New Roman" w:cs="Times New Roman"/>
          <w:color w:val="000000"/>
          <w:szCs w:val="24"/>
          <w:lang w:eastAsia="en-GB"/>
        </w:rPr>
        <w:t>, exactly as Leibniz had in an essay on the subject written shortly beforehand.</w:t>
      </w:r>
      <w:r w:rsidRPr="002A22D6">
        <w:rPr>
          <w:rStyle w:val="FootnoteReference"/>
          <w:rFonts w:eastAsia="Times New Roman" w:cs="Times New Roman"/>
          <w:color w:val="000000"/>
          <w:szCs w:val="24"/>
          <w:lang w:eastAsia="en-GB"/>
        </w:rPr>
        <w:footnoteReference w:id="10"/>
      </w:r>
      <w:r w:rsidRPr="002A22D6">
        <w:rPr>
          <w:rFonts w:eastAsia="Times New Roman" w:cs="Times New Roman"/>
          <w:color w:val="000000"/>
          <w:szCs w:val="24"/>
          <w:lang w:eastAsia="en-GB"/>
        </w:rPr>
        <w:t xml:space="preserve"> Von </w:t>
      </w:r>
      <w:proofErr w:type="spellStart"/>
      <w:r w:rsidRPr="002A22D6">
        <w:rPr>
          <w:rFonts w:eastAsia="Times New Roman" w:cs="Times New Roman"/>
          <w:color w:val="000000"/>
          <w:szCs w:val="24"/>
          <w:lang w:eastAsia="en-GB"/>
        </w:rPr>
        <w:t>der</w:t>
      </w:r>
      <w:proofErr w:type="spellEnd"/>
      <w:r w:rsidRPr="002A22D6">
        <w:rPr>
          <w:rFonts w:eastAsia="Times New Roman" w:cs="Times New Roman"/>
          <w:color w:val="000000"/>
          <w:szCs w:val="24"/>
          <w:lang w:eastAsia="en-GB"/>
        </w:rPr>
        <w:t xml:space="preserve"> </w:t>
      </w:r>
      <w:proofErr w:type="spellStart"/>
      <w:r w:rsidRPr="002A22D6">
        <w:rPr>
          <w:rFonts w:eastAsia="Times New Roman" w:cs="Times New Roman"/>
          <w:color w:val="000000"/>
          <w:szCs w:val="24"/>
          <w:lang w:eastAsia="en-GB"/>
        </w:rPr>
        <w:t>Hardt’s</w:t>
      </w:r>
      <w:proofErr w:type="spellEnd"/>
      <w:r w:rsidRPr="002A22D6">
        <w:rPr>
          <w:rFonts w:eastAsia="Times New Roman" w:cs="Times New Roman"/>
          <w:color w:val="000000"/>
          <w:szCs w:val="24"/>
          <w:lang w:eastAsia="en-GB"/>
        </w:rPr>
        <w:t xml:space="preserve"> description of Maimonides as “the first among the Jews to cease talking nonsense”</w:t>
      </w:r>
      <w:r w:rsidRPr="002A22D6">
        <w:rPr>
          <w:rStyle w:val="FootnoteReference"/>
          <w:rFonts w:eastAsia="Times New Roman" w:cs="Times New Roman"/>
          <w:color w:val="000000"/>
          <w:szCs w:val="24"/>
          <w:lang w:eastAsia="en-GB"/>
        </w:rPr>
        <w:footnoteReference w:id="11"/>
      </w:r>
      <w:r w:rsidRPr="002A22D6">
        <w:rPr>
          <w:rFonts w:eastAsia="Times New Roman" w:cs="Times New Roman"/>
          <w:color w:val="000000"/>
          <w:szCs w:val="24"/>
          <w:lang w:eastAsia="en-GB"/>
        </w:rPr>
        <w:t xml:space="preserve"> was later borrowed by Leibniz in §262 of his </w:t>
      </w:r>
      <w:r w:rsidRPr="002A22D6">
        <w:rPr>
          <w:rFonts w:eastAsia="Times New Roman" w:cs="Times New Roman"/>
          <w:i/>
          <w:color w:val="000000"/>
          <w:szCs w:val="24"/>
          <w:lang w:eastAsia="en-GB"/>
        </w:rPr>
        <w:t>Theodicy</w:t>
      </w:r>
      <w:r w:rsidRPr="002A22D6">
        <w:rPr>
          <w:rFonts w:eastAsia="Times New Roman" w:cs="Times New Roman"/>
          <w:color w:val="000000"/>
          <w:szCs w:val="24"/>
          <w:lang w:eastAsia="en-GB"/>
        </w:rPr>
        <w:t>, quoted above.</w:t>
      </w:r>
    </w:p>
    <w:p w:rsidR="003D4245" w:rsidRDefault="0063740B" w:rsidP="00361E15">
      <w:pPr>
        <w:ind w:firstLine="720"/>
      </w:pPr>
      <w:r w:rsidRPr="002A22D6">
        <w:rPr>
          <w:rFonts w:eastAsia="Times New Roman" w:cs="Times New Roman"/>
          <w:color w:val="000000"/>
          <w:szCs w:val="24"/>
          <w:lang w:eastAsia="en-GB"/>
        </w:rPr>
        <w:t xml:space="preserve">As for Leibniz’s reading notes on the </w:t>
      </w:r>
      <w:proofErr w:type="spellStart"/>
      <w:r w:rsidRPr="002A22D6">
        <w:rPr>
          <w:rFonts w:eastAsia="Times New Roman" w:cs="Times New Roman"/>
          <w:color w:val="000000"/>
          <w:szCs w:val="24"/>
          <w:lang w:eastAsia="en-GB"/>
        </w:rPr>
        <w:t>Buxtorf</w:t>
      </w:r>
      <w:proofErr w:type="spellEnd"/>
      <w:r w:rsidRPr="002A22D6">
        <w:rPr>
          <w:rFonts w:eastAsia="Times New Roman" w:cs="Times New Roman"/>
          <w:color w:val="000000"/>
          <w:szCs w:val="24"/>
          <w:lang w:eastAsia="en-GB"/>
        </w:rPr>
        <w:t xml:space="preserve"> edition of the </w:t>
      </w:r>
      <w:r w:rsidRPr="002A22D6">
        <w:rPr>
          <w:rFonts w:eastAsia="Times New Roman" w:cs="Times New Roman"/>
          <w:i/>
          <w:color w:val="000000"/>
          <w:szCs w:val="24"/>
          <w:lang w:eastAsia="en-GB"/>
        </w:rPr>
        <w:t>Guide</w:t>
      </w:r>
      <w:r w:rsidRPr="002A22D6">
        <w:rPr>
          <w:rFonts w:eastAsia="Times New Roman" w:cs="Times New Roman"/>
          <w:color w:val="000000"/>
          <w:szCs w:val="24"/>
          <w:lang w:eastAsia="en-GB"/>
        </w:rPr>
        <w:t>, the paper contains</w:t>
      </w:r>
      <w:r w:rsidRPr="002A22D6">
        <w:rPr>
          <w:rFonts w:cs="Times New Roman"/>
          <w:color w:val="000000"/>
          <w:szCs w:val="24"/>
        </w:rPr>
        <w:t xml:space="preserve"> watermarks attested to 1685 and 1708; the former is clearly too early for the date of composition, as Leibniz had not read the whole of the </w:t>
      </w:r>
      <w:r w:rsidRPr="002A22D6">
        <w:rPr>
          <w:rFonts w:cs="Times New Roman"/>
          <w:i/>
          <w:iCs/>
          <w:color w:val="000000"/>
          <w:szCs w:val="24"/>
        </w:rPr>
        <w:t>Guide</w:t>
      </w:r>
      <w:r w:rsidRPr="002A22D6">
        <w:rPr>
          <w:rFonts w:cs="Times New Roman"/>
          <w:color w:val="000000"/>
          <w:szCs w:val="24"/>
        </w:rPr>
        <w:t xml:space="preserve"> even by 1707, as we have seen. However, the latter date is a good fit. In which case it is likely that Leibniz encountered Maimonides late in life, probably around 1708, eight years before his death. We could even speculate that the catalyst for his reading Maimonides was the information received from von </w:t>
      </w:r>
      <w:proofErr w:type="spellStart"/>
      <w:r w:rsidRPr="002A22D6">
        <w:rPr>
          <w:rFonts w:cs="Times New Roman"/>
          <w:color w:val="000000"/>
          <w:szCs w:val="24"/>
        </w:rPr>
        <w:t>der</w:t>
      </w:r>
      <w:proofErr w:type="spellEnd"/>
      <w:r w:rsidRPr="002A22D6">
        <w:rPr>
          <w:rFonts w:cs="Times New Roman"/>
          <w:color w:val="000000"/>
          <w:szCs w:val="24"/>
        </w:rPr>
        <w:t xml:space="preserve"> </w:t>
      </w:r>
      <w:proofErr w:type="spellStart"/>
      <w:r w:rsidRPr="002A22D6">
        <w:rPr>
          <w:rFonts w:cs="Times New Roman"/>
          <w:color w:val="000000"/>
          <w:szCs w:val="24"/>
        </w:rPr>
        <w:t>Hardt</w:t>
      </w:r>
      <w:proofErr w:type="spellEnd"/>
      <w:r w:rsidRPr="002A22D6">
        <w:rPr>
          <w:rFonts w:cs="Times New Roman"/>
          <w:color w:val="000000"/>
          <w:szCs w:val="24"/>
        </w:rPr>
        <w:t xml:space="preserve"> and the passage Leibniz encountered in Bayle’s </w:t>
      </w:r>
      <w:r w:rsidRPr="002A22D6">
        <w:rPr>
          <w:rFonts w:cs="Times New Roman"/>
          <w:i/>
          <w:iCs/>
          <w:color w:val="000000"/>
          <w:szCs w:val="24"/>
        </w:rPr>
        <w:t>Dictionary</w:t>
      </w:r>
      <w:r w:rsidRPr="002A22D6">
        <w:rPr>
          <w:rFonts w:cs="Times New Roman"/>
          <w:color w:val="000000"/>
          <w:szCs w:val="24"/>
        </w:rPr>
        <w:t xml:space="preserve">, both of which suggested that there were sympathies, perhaps even overlaps, between Maimonides’ thought and his own, this prompting him to get hold of </w:t>
      </w:r>
      <w:proofErr w:type="spellStart"/>
      <w:r w:rsidRPr="002A22D6">
        <w:rPr>
          <w:rFonts w:cs="Times New Roman"/>
          <w:color w:val="000000"/>
          <w:szCs w:val="24"/>
        </w:rPr>
        <w:t>Buxtorf’s</w:t>
      </w:r>
      <w:proofErr w:type="spellEnd"/>
      <w:r w:rsidRPr="002A22D6">
        <w:rPr>
          <w:rFonts w:cs="Times New Roman"/>
          <w:color w:val="000000"/>
          <w:szCs w:val="24"/>
        </w:rPr>
        <w:t xml:space="preserve"> translation. And certainly, as his reading notes on the </w:t>
      </w:r>
      <w:r w:rsidRPr="002A22D6">
        <w:rPr>
          <w:rFonts w:cs="Times New Roman"/>
          <w:i/>
          <w:iCs/>
          <w:color w:val="000000"/>
          <w:szCs w:val="24"/>
        </w:rPr>
        <w:t>Guide</w:t>
      </w:r>
      <w:r w:rsidRPr="002A22D6">
        <w:rPr>
          <w:rFonts w:cs="Times New Roman"/>
          <w:color w:val="000000"/>
          <w:szCs w:val="24"/>
        </w:rPr>
        <w:t xml:space="preserve"> indicate, Leibniz did find plenty of things in Maimonides’ thought worthy of his attention and approval.</w:t>
      </w:r>
    </w:p>
    <w:sectPr w:rsidR="003D4245" w:rsidSect="00BC413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D81" w:rsidRDefault="001A7D81" w:rsidP="00FB0F16">
      <w:r>
        <w:separator/>
      </w:r>
    </w:p>
  </w:endnote>
  <w:endnote w:type="continuationSeparator" w:id="0">
    <w:p w:rsidR="001A7D81" w:rsidRDefault="001A7D81" w:rsidP="00FB0F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D81" w:rsidRDefault="001A7D81" w:rsidP="00FB0F16">
      <w:r>
        <w:separator/>
      </w:r>
    </w:p>
  </w:footnote>
  <w:footnote w:type="continuationSeparator" w:id="0">
    <w:p w:rsidR="001A7D81" w:rsidRDefault="001A7D81" w:rsidP="00FB0F16">
      <w:r>
        <w:continuationSeparator/>
      </w:r>
    </w:p>
  </w:footnote>
  <w:footnote w:id="1">
    <w:p w:rsidR="002A10A5" w:rsidRPr="005C0083" w:rsidRDefault="002A10A5">
      <w:pPr>
        <w:pStyle w:val="FootnoteText"/>
      </w:pPr>
      <w:r w:rsidRPr="005C0083">
        <w:rPr>
          <w:rStyle w:val="FootnoteReference"/>
        </w:rPr>
        <w:footnoteRef/>
      </w:r>
      <w:r w:rsidRPr="005C0083">
        <w:t xml:space="preserve"> G. W. Leibniz, </w:t>
      </w:r>
      <w:r w:rsidRPr="005C0083">
        <w:rPr>
          <w:i/>
        </w:rPr>
        <w:t>Theodicy</w:t>
      </w:r>
      <w:r w:rsidRPr="005C0083">
        <w:t xml:space="preserve">, ed. Austin Farrar, trans. E. M. </w:t>
      </w:r>
      <w:proofErr w:type="spellStart"/>
      <w:r w:rsidRPr="005C0083">
        <w:t>Huggard</w:t>
      </w:r>
      <w:proofErr w:type="spellEnd"/>
      <w:r w:rsidRPr="005C0083">
        <w:t xml:space="preserve"> (Chicago: Open Court, 1990), 287</w:t>
      </w:r>
      <w:r w:rsidRPr="005C0083">
        <w:rPr>
          <w:rFonts w:cs="Times New Roman"/>
        </w:rPr>
        <w:t>–</w:t>
      </w:r>
      <w:r w:rsidRPr="005C0083">
        <w:t>288.</w:t>
      </w:r>
    </w:p>
  </w:footnote>
  <w:footnote w:id="2">
    <w:p w:rsidR="00315A63" w:rsidRPr="005C0083" w:rsidRDefault="00315A63">
      <w:pPr>
        <w:pStyle w:val="FootnoteText"/>
      </w:pPr>
      <w:r w:rsidRPr="005C0083">
        <w:rPr>
          <w:rStyle w:val="FootnoteReference"/>
        </w:rPr>
        <w:footnoteRef/>
      </w:r>
      <w:r w:rsidRPr="005C0083">
        <w:t xml:space="preserve"> Leibniz, </w:t>
      </w:r>
      <w:r w:rsidRPr="005C0083">
        <w:rPr>
          <w:i/>
        </w:rPr>
        <w:t>Theodicy</w:t>
      </w:r>
      <w:r w:rsidRPr="005C0083">
        <w:t>, 288.</w:t>
      </w:r>
    </w:p>
  </w:footnote>
  <w:footnote w:id="3">
    <w:p w:rsidR="005B0174" w:rsidRPr="005C0083" w:rsidRDefault="005B0174">
      <w:pPr>
        <w:pStyle w:val="FootnoteText"/>
      </w:pPr>
      <w:r w:rsidRPr="005C0083">
        <w:rPr>
          <w:rStyle w:val="FootnoteReference"/>
        </w:rPr>
        <w:footnoteRef/>
      </w:r>
      <w:r w:rsidRPr="005C0083">
        <w:t xml:space="preserve"> Moses Maimonides, </w:t>
      </w:r>
      <w:r w:rsidRPr="005C0083">
        <w:rPr>
          <w:i/>
        </w:rPr>
        <w:t xml:space="preserve">Doctor </w:t>
      </w:r>
      <w:proofErr w:type="spellStart"/>
      <w:r w:rsidRPr="005C0083">
        <w:rPr>
          <w:i/>
        </w:rPr>
        <w:t>perplexorum</w:t>
      </w:r>
      <w:proofErr w:type="spellEnd"/>
      <w:r w:rsidRPr="005C0083">
        <w:t xml:space="preserve">, trans. Johann </w:t>
      </w:r>
      <w:proofErr w:type="spellStart"/>
      <w:r w:rsidRPr="005C0083">
        <w:t>Buxtorf</w:t>
      </w:r>
      <w:proofErr w:type="spellEnd"/>
      <w:r w:rsidRPr="005C0083">
        <w:t xml:space="preserve"> (Basel: </w:t>
      </w:r>
      <w:proofErr w:type="spellStart"/>
      <w:r w:rsidRPr="005C0083">
        <w:t>König</w:t>
      </w:r>
      <w:proofErr w:type="spellEnd"/>
      <w:r w:rsidRPr="005C0083">
        <w:t>, 1629)</w:t>
      </w:r>
      <w:r w:rsidR="00505506" w:rsidRPr="005C0083">
        <w:t>, 354</w:t>
      </w:r>
      <w:r w:rsidR="00505506" w:rsidRPr="005C0083">
        <w:rPr>
          <w:rFonts w:cs="Times New Roman"/>
        </w:rPr>
        <w:t>–355</w:t>
      </w:r>
      <w:r w:rsidRPr="005C0083">
        <w:t>.</w:t>
      </w:r>
    </w:p>
  </w:footnote>
  <w:footnote w:id="4">
    <w:p w:rsidR="008C09E4" w:rsidRPr="005C0083" w:rsidRDefault="008C09E4" w:rsidP="008C09E4">
      <w:pPr>
        <w:rPr>
          <w:sz w:val="20"/>
          <w:szCs w:val="20"/>
        </w:rPr>
      </w:pPr>
      <w:r w:rsidRPr="005C0083">
        <w:rPr>
          <w:rStyle w:val="FootnoteReference"/>
          <w:sz w:val="20"/>
          <w:szCs w:val="20"/>
        </w:rPr>
        <w:footnoteRef/>
      </w:r>
      <w:r w:rsidRPr="005C0083">
        <w:rPr>
          <w:sz w:val="20"/>
          <w:szCs w:val="20"/>
        </w:rPr>
        <w:t xml:space="preserve"> Pierre Bayle, </w:t>
      </w:r>
      <w:proofErr w:type="spellStart"/>
      <w:r w:rsidRPr="005C0083">
        <w:rPr>
          <w:i/>
          <w:sz w:val="20"/>
          <w:szCs w:val="20"/>
        </w:rPr>
        <w:t>Dictionnaire</w:t>
      </w:r>
      <w:proofErr w:type="spellEnd"/>
      <w:r w:rsidRPr="005C0083">
        <w:rPr>
          <w:i/>
          <w:sz w:val="20"/>
          <w:szCs w:val="20"/>
        </w:rPr>
        <w:t xml:space="preserve"> </w:t>
      </w:r>
      <w:proofErr w:type="spellStart"/>
      <w:r w:rsidRPr="005C0083">
        <w:rPr>
          <w:i/>
          <w:sz w:val="20"/>
          <w:szCs w:val="20"/>
        </w:rPr>
        <w:t>historique</w:t>
      </w:r>
      <w:proofErr w:type="spellEnd"/>
      <w:r w:rsidRPr="005C0083">
        <w:rPr>
          <w:i/>
          <w:sz w:val="20"/>
          <w:szCs w:val="20"/>
        </w:rPr>
        <w:t xml:space="preserve"> et critique</w:t>
      </w:r>
      <w:r w:rsidRPr="005C0083">
        <w:rPr>
          <w:sz w:val="20"/>
          <w:szCs w:val="20"/>
        </w:rPr>
        <w:t xml:space="preserve">, 3 vols. (Rotterdam: </w:t>
      </w:r>
      <w:proofErr w:type="spellStart"/>
      <w:r w:rsidRPr="005C0083">
        <w:rPr>
          <w:sz w:val="20"/>
          <w:szCs w:val="20"/>
        </w:rPr>
        <w:t>Reinier</w:t>
      </w:r>
      <w:proofErr w:type="spellEnd"/>
      <w:r w:rsidRPr="005C0083">
        <w:rPr>
          <w:sz w:val="20"/>
          <w:szCs w:val="20"/>
        </w:rPr>
        <w:t xml:space="preserve"> Leers, 1702), III: 3189. In accordance with Bayle’s plans, a posthumous third edition of the </w:t>
      </w:r>
      <w:r w:rsidRPr="005C0083">
        <w:rPr>
          <w:i/>
          <w:sz w:val="20"/>
          <w:szCs w:val="20"/>
        </w:rPr>
        <w:t>Dictionary</w:t>
      </w:r>
      <w:r w:rsidRPr="005C0083">
        <w:rPr>
          <w:sz w:val="20"/>
          <w:szCs w:val="20"/>
        </w:rPr>
        <w:t xml:space="preserve"> was issued in 1715, with the Maimonides passage in question appearing </w:t>
      </w:r>
      <w:r w:rsidR="00753BCA">
        <w:rPr>
          <w:sz w:val="20"/>
          <w:szCs w:val="20"/>
        </w:rPr>
        <w:t>in</w:t>
      </w:r>
      <w:r w:rsidRPr="005C0083">
        <w:rPr>
          <w:sz w:val="20"/>
          <w:szCs w:val="20"/>
        </w:rPr>
        <w:t xml:space="preserve"> note K of the article “Xenophanes”. </w:t>
      </w:r>
      <w:r w:rsidR="005B0174" w:rsidRPr="005C0083">
        <w:rPr>
          <w:sz w:val="20"/>
          <w:szCs w:val="20"/>
        </w:rPr>
        <w:t xml:space="preserve">See Pierre Bayle, </w:t>
      </w:r>
      <w:proofErr w:type="spellStart"/>
      <w:r w:rsidR="005B0174" w:rsidRPr="005C0083">
        <w:rPr>
          <w:i/>
          <w:sz w:val="20"/>
          <w:szCs w:val="20"/>
        </w:rPr>
        <w:t>Dictionnaire</w:t>
      </w:r>
      <w:proofErr w:type="spellEnd"/>
      <w:r w:rsidR="005B0174" w:rsidRPr="005C0083">
        <w:rPr>
          <w:i/>
          <w:sz w:val="20"/>
          <w:szCs w:val="20"/>
        </w:rPr>
        <w:t xml:space="preserve"> </w:t>
      </w:r>
      <w:proofErr w:type="spellStart"/>
      <w:r w:rsidR="005B0174" w:rsidRPr="005C0083">
        <w:rPr>
          <w:i/>
          <w:sz w:val="20"/>
          <w:szCs w:val="20"/>
        </w:rPr>
        <w:t>historique</w:t>
      </w:r>
      <w:proofErr w:type="spellEnd"/>
      <w:r w:rsidR="005B0174" w:rsidRPr="005C0083">
        <w:rPr>
          <w:i/>
          <w:sz w:val="20"/>
          <w:szCs w:val="20"/>
        </w:rPr>
        <w:t xml:space="preserve"> et critique</w:t>
      </w:r>
      <w:r w:rsidR="005B0174" w:rsidRPr="005C0083">
        <w:rPr>
          <w:sz w:val="20"/>
          <w:szCs w:val="20"/>
        </w:rPr>
        <w:t xml:space="preserve">, </w:t>
      </w:r>
      <w:r w:rsidR="005B0174" w:rsidRPr="005C0083">
        <w:rPr>
          <w:i/>
          <w:sz w:val="20"/>
          <w:szCs w:val="20"/>
        </w:rPr>
        <w:t xml:space="preserve"> </w:t>
      </w:r>
      <w:r w:rsidR="005B0174" w:rsidRPr="005C0083">
        <w:rPr>
          <w:sz w:val="20"/>
          <w:szCs w:val="20"/>
        </w:rPr>
        <w:t xml:space="preserve">(Rotterdam: </w:t>
      </w:r>
      <w:proofErr w:type="spellStart"/>
      <w:r w:rsidR="005B0174" w:rsidRPr="005C0083">
        <w:rPr>
          <w:sz w:val="20"/>
          <w:szCs w:val="20"/>
        </w:rPr>
        <w:t>n.p</w:t>
      </w:r>
      <w:proofErr w:type="spellEnd"/>
      <w:r w:rsidR="005B0174" w:rsidRPr="005C0083">
        <w:rPr>
          <w:sz w:val="20"/>
          <w:szCs w:val="20"/>
        </w:rPr>
        <w:t>., 1715, 3ed),</w:t>
      </w:r>
      <w:r w:rsidR="003F7F68" w:rsidRPr="005C0083">
        <w:rPr>
          <w:sz w:val="20"/>
          <w:szCs w:val="20"/>
        </w:rPr>
        <w:t xml:space="preserve"> III:</w:t>
      </w:r>
      <w:r w:rsidRPr="005C0083">
        <w:rPr>
          <w:sz w:val="20"/>
          <w:szCs w:val="20"/>
        </w:rPr>
        <w:t xml:space="preserve"> 889</w:t>
      </w:r>
      <w:r w:rsidR="003F7F68" w:rsidRPr="005C0083">
        <w:rPr>
          <w:sz w:val="20"/>
          <w:szCs w:val="20"/>
        </w:rPr>
        <w:t>.</w:t>
      </w:r>
    </w:p>
  </w:footnote>
  <w:footnote w:id="5">
    <w:p w:rsidR="005C0083" w:rsidRPr="00683BE3" w:rsidRDefault="005C0083" w:rsidP="00683BE3">
      <w:pPr>
        <w:rPr>
          <w:rFonts w:cs="Times New Roman"/>
          <w:sz w:val="20"/>
          <w:szCs w:val="20"/>
        </w:rPr>
      </w:pPr>
      <w:r w:rsidRPr="005C0083">
        <w:rPr>
          <w:rStyle w:val="FootnoteReference"/>
          <w:sz w:val="20"/>
          <w:szCs w:val="20"/>
        </w:rPr>
        <w:footnoteRef/>
      </w:r>
      <w:r w:rsidRPr="005C0083">
        <w:rPr>
          <w:sz w:val="20"/>
          <w:szCs w:val="20"/>
        </w:rPr>
        <w:t xml:space="preserve"> </w:t>
      </w:r>
      <w:r>
        <w:rPr>
          <w:sz w:val="20"/>
          <w:szCs w:val="20"/>
        </w:rPr>
        <w:t>T</w:t>
      </w:r>
      <w:r w:rsidRPr="005C0083">
        <w:rPr>
          <w:sz w:val="20"/>
          <w:szCs w:val="20"/>
        </w:rPr>
        <w:t xml:space="preserve">he unpublished manuscripts of the </w:t>
      </w:r>
      <w:r w:rsidRPr="005C0083">
        <w:rPr>
          <w:i/>
          <w:sz w:val="20"/>
          <w:szCs w:val="20"/>
        </w:rPr>
        <w:t>Theodicy</w:t>
      </w:r>
      <w:r w:rsidRPr="005C0083">
        <w:rPr>
          <w:sz w:val="20"/>
          <w:szCs w:val="20"/>
        </w:rPr>
        <w:t xml:space="preserve"> </w:t>
      </w:r>
      <w:r>
        <w:rPr>
          <w:sz w:val="20"/>
          <w:szCs w:val="20"/>
        </w:rPr>
        <w:t>show</w:t>
      </w:r>
      <w:r w:rsidRPr="005C0083">
        <w:rPr>
          <w:sz w:val="20"/>
          <w:szCs w:val="20"/>
        </w:rPr>
        <w:t xml:space="preserve"> that Leibniz’s original intention was to quote the passage from Maimonides in Latin, as Bayle had in his </w:t>
      </w:r>
      <w:r w:rsidRPr="005C0083">
        <w:rPr>
          <w:i/>
          <w:sz w:val="20"/>
          <w:szCs w:val="20"/>
        </w:rPr>
        <w:t>Dictionary</w:t>
      </w:r>
      <w:r w:rsidRPr="005C0083">
        <w:rPr>
          <w:sz w:val="20"/>
          <w:szCs w:val="20"/>
        </w:rPr>
        <w:t xml:space="preserve">; this is how Leibniz had it in his first draft and in the fair copy. But the fair copy shows that Leibniz </w:t>
      </w:r>
      <w:r w:rsidR="00DE3B1C">
        <w:rPr>
          <w:sz w:val="20"/>
          <w:szCs w:val="20"/>
        </w:rPr>
        <w:t xml:space="preserve">then </w:t>
      </w:r>
      <w:r w:rsidRPr="005C0083">
        <w:rPr>
          <w:sz w:val="20"/>
          <w:szCs w:val="20"/>
        </w:rPr>
        <w:t>changed his mind</w:t>
      </w:r>
      <w:r w:rsidRPr="00683BE3">
        <w:rPr>
          <w:rFonts w:cs="Times New Roman"/>
          <w:sz w:val="20"/>
          <w:szCs w:val="20"/>
        </w:rPr>
        <w:t>, as there he crossed out the Latin quotation</w:t>
      </w:r>
      <w:r w:rsidR="00EA5099">
        <w:rPr>
          <w:rFonts w:cs="Times New Roman"/>
          <w:sz w:val="20"/>
          <w:szCs w:val="20"/>
        </w:rPr>
        <w:t>, replacing it with</w:t>
      </w:r>
      <w:r w:rsidRPr="00683BE3">
        <w:rPr>
          <w:rFonts w:cs="Times New Roman"/>
          <w:sz w:val="20"/>
          <w:szCs w:val="20"/>
        </w:rPr>
        <w:t xml:space="preserve"> his own</w:t>
      </w:r>
      <w:r w:rsidR="00EA5099">
        <w:rPr>
          <w:rFonts w:cs="Times New Roman"/>
          <w:sz w:val="20"/>
          <w:szCs w:val="20"/>
        </w:rPr>
        <w:t xml:space="preserve"> French translation</w:t>
      </w:r>
      <w:r w:rsidRPr="00683BE3">
        <w:rPr>
          <w:rFonts w:cs="Times New Roman"/>
          <w:sz w:val="20"/>
          <w:szCs w:val="20"/>
        </w:rPr>
        <w:t>.</w:t>
      </w:r>
      <w:r w:rsidR="00683BE3" w:rsidRPr="00683BE3">
        <w:rPr>
          <w:rFonts w:cs="Times New Roman"/>
          <w:sz w:val="20"/>
          <w:szCs w:val="20"/>
        </w:rPr>
        <w:t xml:space="preserve"> The manuscripts are held by the Gottfried Wilhelm Leibniz </w:t>
      </w:r>
      <w:proofErr w:type="spellStart"/>
      <w:r w:rsidR="00683BE3" w:rsidRPr="00683BE3">
        <w:rPr>
          <w:rFonts w:cs="Times New Roman"/>
          <w:sz w:val="20"/>
          <w:szCs w:val="20"/>
        </w:rPr>
        <w:t>Bibliothek</w:t>
      </w:r>
      <w:proofErr w:type="spellEnd"/>
      <w:r w:rsidR="00683BE3" w:rsidRPr="00683BE3">
        <w:rPr>
          <w:rFonts w:cs="Times New Roman"/>
          <w:sz w:val="20"/>
          <w:szCs w:val="20"/>
        </w:rPr>
        <w:t xml:space="preserve"> – </w:t>
      </w:r>
      <w:proofErr w:type="spellStart"/>
      <w:r w:rsidR="00683BE3" w:rsidRPr="00683BE3">
        <w:rPr>
          <w:rFonts w:cs="Times New Roman"/>
          <w:sz w:val="20"/>
          <w:szCs w:val="20"/>
        </w:rPr>
        <w:t>Niedersächsische</w:t>
      </w:r>
      <w:proofErr w:type="spellEnd"/>
      <w:r w:rsidR="00683BE3" w:rsidRPr="00683BE3">
        <w:rPr>
          <w:rFonts w:cs="Times New Roman"/>
          <w:sz w:val="20"/>
          <w:szCs w:val="20"/>
        </w:rPr>
        <w:t xml:space="preserve"> </w:t>
      </w:r>
      <w:proofErr w:type="spellStart"/>
      <w:r w:rsidR="00683BE3" w:rsidRPr="00683BE3">
        <w:rPr>
          <w:rFonts w:cs="Times New Roman"/>
          <w:sz w:val="20"/>
          <w:szCs w:val="20"/>
        </w:rPr>
        <w:t>Landesbibliothek</w:t>
      </w:r>
      <w:proofErr w:type="spellEnd"/>
      <w:r w:rsidR="00683BE3" w:rsidRPr="00683BE3">
        <w:rPr>
          <w:rFonts w:cs="Times New Roman"/>
          <w:sz w:val="20"/>
          <w:szCs w:val="20"/>
        </w:rPr>
        <w:t>, Ha</w:t>
      </w:r>
      <w:r w:rsidR="00DE3B1C">
        <w:rPr>
          <w:rFonts w:cs="Times New Roman"/>
          <w:sz w:val="20"/>
          <w:szCs w:val="20"/>
        </w:rPr>
        <w:t>n</w:t>
      </w:r>
      <w:r w:rsidR="00683BE3" w:rsidRPr="00683BE3">
        <w:rPr>
          <w:rFonts w:cs="Times New Roman"/>
          <w:sz w:val="20"/>
          <w:szCs w:val="20"/>
        </w:rPr>
        <w:t>nover; f</w:t>
      </w:r>
      <w:r w:rsidRPr="00683BE3">
        <w:rPr>
          <w:rFonts w:cs="Times New Roman"/>
          <w:sz w:val="20"/>
          <w:szCs w:val="20"/>
        </w:rPr>
        <w:t>or the first draft, see LH 1, 1, 2 Bl. 120; for the fair copy, see LH 1, 1, 1 Bl. 193.</w:t>
      </w:r>
    </w:p>
  </w:footnote>
  <w:footnote w:id="6">
    <w:p w:rsidR="008C09E4" w:rsidRPr="005C0083" w:rsidRDefault="008C09E4">
      <w:pPr>
        <w:pStyle w:val="FootnoteText"/>
      </w:pPr>
      <w:r w:rsidRPr="005C0083">
        <w:rPr>
          <w:rStyle w:val="FootnoteReference"/>
        </w:rPr>
        <w:footnoteRef/>
      </w:r>
      <w:r w:rsidRPr="005C0083">
        <w:t xml:space="preserve"> LH 1, 1, 2 Bl. 120.</w:t>
      </w:r>
      <w:r w:rsidR="00610923">
        <w:t xml:space="preserve"> Before writing and deleting this passage, Leibniz wrote and deleted another, this time introducing the Maimonides passage with this: “</w:t>
      </w:r>
      <w:r w:rsidR="00610923">
        <w:rPr>
          <w:rStyle w:val="rynqvb"/>
        </w:rPr>
        <w:t xml:space="preserve">I would give almost the same praise to Rabbi Maimonides as Mr. </w:t>
      </w:r>
      <w:proofErr w:type="spellStart"/>
      <w:r w:rsidR="00610923">
        <w:rPr>
          <w:rStyle w:val="rynqvb"/>
        </w:rPr>
        <w:t>M</w:t>
      </w:r>
      <w:r w:rsidR="00610923">
        <w:rPr>
          <w:rStyle w:val="rynqvb"/>
          <w:rFonts w:cs="Times New Roman"/>
        </w:rPr>
        <w:t>é</w:t>
      </w:r>
      <w:r w:rsidR="00610923">
        <w:rPr>
          <w:rStyle w:val="rynqvb"/>
        </w:rPr>
        <w:t>ric</w:t>
      </w:r>
      <w:proofErr w:type="spellEnd"/>
      <w:r w:rsidR="00610923">
        <w:rPr>
          <w:rStyle w:val="rynqvb"/>
        </w:rPr>
        <w:t xml:space="preserve"> Casaubon gave to Euripides if a natural piety were not enough to inspire the </w:t>
      </w:r>
      <w:r w:rsidR="00282575">
        <w:rPr>
          <w:rStyle w:val="rynqvb"/>
        </w:rPr>
        <w:t>sentiment in which</w:t>
      </w:r>
      <w:r w:rsidR="00610923">
        <w:rPr>
          <w:rStyle w:val="rynqvb"/>
        </w:rPr>
        <w:t xml:space="preserve"> he will have maintained that even </w:t>
      </w:r>
      <w:r w:rsidR="00EA5099">
        <w:rPr>
          <w:rStyle w:val="rynqvb"/>
        </w:rPr>
        <w:t>among men</w:t>
      </w:r>
      <w:r w:rsidR="00610923">
        <w:rPr>
          <w:rStyle w:val="rynqvb"/>
        </w:rPr>
        <w:t xml:space="preserve"> prosperity prevails over adversity.</w:t>
      </w:r>
      <w:r w:rsidR="00282575">
        <w:rPr>
          <w:rStyle w:val="rynqvb"/>
        </w:rPr>
        <w:t>”</w:t>
      </w:r>
    </w:p>
  </w:footnote>
  <w:footnote w:id="7">
    <w:p w:rsidR="0063740B" w:rsidRDefault="0063740B" w:rsidP="0063740B">
      <w:pPr>
        <w:pStyle w:val="FootnoteText"/>
      </w:pPr>
      <w:r>
        <w:rPr>
          <w:rStyle w:val="FootnoteReference"/>
        </w:rPr>
        <w:footnoteRef/>
      </w:r>
      <w:r>
        <w:t xml:space="preserve"> </w:t>
      </w:r>
      <w:r w:rsidRPr="00207E92">
        <w:t xml:space="preserve">Thomas Hyde, </w:t>
      </w:r>
      <w:proofErr w:type="spellStart"/>
      <w:r w:rsidRPr="00207E92">
        <w:rPr>
          <w:i/>
        </w:rPr>
        <w:t>Proponitur</w:t>
      </w:r>
      <w:proofErr w:type="spellEnd"/>
      <w:r w:rsidRPr="00207E92">
        <w:rPr>
          <w:i/>
        </w:rPr>
        <w:t xml:space="preserve">, </w:t>
      </w:r>
      <w:proofErr w:type="spellStart"/>
      <w:r w:rsidRPr="00207E92">
        <w:rPr>
          <w:i/>
        </w:rPr>
        <w:t>Maimonidis</w:t>
      </w:r>
      <w:proofErr w:type="spellEnd"/>
      <w:r w:rsidRPr="00207E92">
        <w:rPr>
          <w:i/>
        </w:rPr>
        <w:t xml:space="preserve"> More </w:t>
      </w:r>
      <w:proofErr w:type="spellStart"/>
      <w:r w:rsidRPr="00207E92">
        <w:rPr>
          <w:i/>
        </w:rPr>
        <w:t>Nevochim</w:t>
      </w:r>
      <w:proofErr w:type="spellEnd"/>
      <w:r w:rsidRPr="00207E92">
        <w:rPr>
          <w:i/>
        </w:rPr>
        <w:t xml:space="preserve"> </w:t>
      </w:r>
      <w:proofErr w:type="spellStart"/>
      <w:r w:rsidRPr="00207E92">
        <w:rPr>
          <w:i/>
        </w:rPr>
        <w:t>typis</w:t>
      </w:r>
      <w:proofErr w:type="spellEnd"/>
      <w:r w:rsidRPr="00207E92">
        <w:rPr>
          <w:i/>
        </w:rPr>
        <w:t xml:space="preserve"> </w:t>
      </w:r>
      <w:proofErr w:type="spellStart"/>
      <w:r w:rsidRPr="00207E92">
        <w:rPr>
          <w:i/>
        </w:rPr>
        <w:t>mandandum</w:t>
      </w:r>
      <w:proofErr w:type="spellEnd"/>
      <w:r w:rsidRPr="00207E92">
        <w:rPr>
          <w:i/>
        </w:rPr>
        <w:t xml:space="preserve"> Lingua Arabica, qua </w:t>
      </w:r>
      <w:proofErr w:type="spellStart"/>
      <w:r w:rsidRPr="00207E92">
        <w:rPr>
          <w:i/>
        </w:rPr>
        <w:t>ab</w:t>
      </w:r>
      <w:proofErr w:type="spellEnd"/>
      <w:r w:rsidRPr="00207E92">
        <w:rPr>
          <w:i/>
        </w:rPr>
        <w:t xml:space="preserve"> </w:t>
      </w:r>
      <w:proofErr w:type="spellStart"/>
      <w:r w:rsidRPr="00207E92">
        <w:rPr>
          <w:i/>
        </w:rPr>
        <w:t>Authore</w:t>
      </w:r>
      <w:proofErr w:type="spellEnd"/>
      <w:r w:rsidRPr="00207E92">
        <w:rPr>
          <w:i/>
        </w:rPr>
        <w:t xml:space="preserve"> primo scriptum </w:t>
      </w:r>
      <w:proofErr w:type="spellStart"/>
      <w:r w:rsidRPr="00207E92">
        <w:rPr>
          <w:i/>
        </w:rPr>
        <w:t>est</w:t>
      </w:r>
      <w:proofErr w:type="spellEnd"/>
      <w:r w:rsidRPr="00207E92">
        <w:t xml:space="preserve"> (Oxford: </w:t>
      </w:r>
      <w:proofErr w:type="spellStart"/>
      <w:r w:rsidRPr="00207E92">
        <w:t>n.p</w:t>
      </w:r>
      <w:proofErr w:type="spellEnd"/>
      <w:r w:rsidRPr="00207E92">
        <w:t>., 1690).</w:t>
      </w:r>
    </w:p>
  </w:footnote>
  <w:footnote w:id="8">
    <w:p w:rsidR="0063740B" w:rsidRDefault="0063740B" w:rsidP="0063740B">
      <w:pPr>
        <w:pStyle w:val="FootnoteText"/>
      </w:pPr>
      <w:r>
        <w:rPr>
          <w:rStyle w:val="FootnoteReference"/>
        </w:rPr>
        <w:footnoteRef/>
      </w:r>
      <w:r>
        <w:t xml:space="preserve"> The short sample of Maimonides was subsequently republished in a posthumous collection of Hyde’s works: </w:t>
      </w:r>
      <w:r w:rsidRPr="00207E92">
        <w:t xml:space="preserve">Thomas Hyde, </w:t>
      </w:r>
      <w:proofErr w:type="spellStart"/>
      <w:r w:rsidRPr="00207E92">
        <w:rPr>
          <w:i/>
        </w:rPr>
        <w:t>Syntagma</w:t>
      </w:r>
      <w:proofErr w:type="spellEnd"/>
      <w:r w:rsidRPr="00207E92">
        <w:rPr>
          <w:i/>
        </w:rPr>
        <w:t xml:space="preserve"> </w:t>
      </w:r>
      <w:proofErr w:type="spellStart"/>
      <w:r w:rsidRPr="00207E92">
        <w:rPr>
          <w:i/>
        </w:rPr>
        <w:t>dissertationum</w:t>
      </w:r>
      <w:proofErr w:type="spellEnd"/>
      <w:r w:rsidRPr="00207E92">
        <w:rPr>
          <w:i/>
        </w:rPr>
        <w:t xml:space="preserve"> </w:t>
      </w:r>
      <w:proofErr w:type="spellStart"/>
      <w:r w:rsidRPr="00207E92">
        <w:rPr>
          <w:i/>
        </w:rPr>
        <w:t>quas</w:t>
      </w:r>
      <w:proofErr w:type="spellEnd"/>
      <w:r w:rsidRPr="00207E92">
        <w:rPr>
          <w:i/>
        </w:rPr>
        <w:t xml:space="preserve"> </w:t>
      </w:r>
      <w:proofErr w:type="spellStart"/>
      <w:r w:rsidRPr="00207E92">
        <w:rPr>
          <w:i/>
        </w:rPr>
        <w:t>olim</w:t>
      </w:r>
      <w:proofErr w:type="spellEnd"/>
      <w:r w:rsidRPr="00207E92">
        <w:rPr>
          <w:i/>
        </w:rPr>
        <w:t xml:space="preserve"> </w:t>
      </w:r>
      <w:proofErr w:type="spellStart"/>
      <w:r w:rsidRPr="00207E92">
        <w:rPr>
          <w:i/>
        </w:rPr>
        <w:t>auctor</w:t>
      </w:r>
      <w:proofErr w:type="spellEnd"/>
      <w:r w:rsidRPr="00207E92">
        <w:rPr>
          <w:i/>
        </w:rPr>
        <w:t xml:space="preserve"> </w:t>
      </w:r>
      <w:proofErr w:type="spellStart"/>
      <w:r w:rsidRPr="00207E92">
        <w:rPr>
          <w:i/>
        </w:rPr>
        <w:t>doctissimus</w:t>
      </w:r>
      <w:proofErr w:type="spellEnd"/>
      <w:r w:rsidRPr="00207E92">
        <w:rPr>
          <w:i/>
        </w:rPr>
        <w:t xml:space="preserve"> Thomas Hyde S.T.P. </w:t>
      </w:r>
      <w:proofErr w:type="spellStart"/>
      <w:r w:rsidRPr="00207E92">
        <w:rPr>
          <w:i/>
        </w:rPr>
        <w:t>separatim</w:t>
      </w:r>
      <w:proofErr w:type="spellEnd"/>
      <w:r w:rsidRPr="00207E92">
        <w:rPr>
          <w:i/>
        </w:rPr>
        <w:t xml:space="preserve"> </w:t>
      </w:r>
      <w:proofErr w:type="spellStart"/>
      <w:r w:rsidRPr="00207E92">
        <w:rPr>
          <w:i/>
        </w:rPr>
        <w:t>edidt</w:t>
      </w:r>
      <w:proofErr w:type="spellEnd"/>
      <w:r w:rsidRPr="00207E92">
        <w:t>, 2 vols. (Oxford: Clarendon Press, 1767), II: 435</w:t>
      </w:r>
      <w:r>
        <w:rPr>
          <w:rFonts w:cs="Times New Roman"/>
          <w:szCs w:val="24"/>
        </w:rPr>
        <w:t>–</w:t>
      </w:r>
      <w:r w:rsidRPr="00207E92">
        <w:t>438.</w:t>
      </w:r>
    </w:p>
  </w:footnote>
  <w:footnote w:id="9">
    <w:p w:rsidR="0063740B" w:rsidRDefault="0063740B" w:rsidP="0063740B">
      <w:pPr>
        <w:pStyle w:val="FootnoteText"/>
      </w:pPr>
      <w:r>
        <w:rPr>
          <w:rStyle w:val="FootnoteReference"/>
        </w:rPr>
        <w:footnoteRef/>
      </w:r>
      <w:r w:rsidRPr="000173CE">
        <w:rPr>
          <w:rFonts w:cs="Times New Roman"/>
          <w:color w:val="231F20"/>
          <w:szCs w:val="24"/>
        </w:rPr>
        <w:t xml:space="preserve"> Gottfried Wilhelm</w:t>
      </w:r>
      <w:r>
        <w:rPr>
          <w:rFonts w:cs="Times New Roman"/>
          <w:color w:val="231F20"/>
          <w:szCs w:val="24"/>
        </w:rPr>
        <w:t xml:space="preserve"> </w:t>
      </w:r>
      <w:r w:rsidRPr="000173CE">
        <w:rPr>
          <w:rFonts w:cs="Times New Roman"/>
          <w:color w:val="231F20"/>
          <w:szCs w:val="24"/>
        </w:rPr>
        <w:t>Leibniz</w:t>
      </w:r>
      <w:r>
        <w:rPr>
          <w:rFonts w:cs="Times New Roman"/>
          <w:color w:val="231F20"/>
          <w:szCs w:val="24"/>
        </w:rPr>
        <w:t xml:space="preserve">, </w:t>
      </w:r>
      <w:proofErr w:type="spellStart"/>
      <w:r w:rsidRPr="000173CE">
        <w:rPr>
          <w:rFonts w:cs="Times New Roman"/>
          <w:i/>
          <w:color w:val="231F20"/>
          <w:szCs w:val="24"/>
        </w:rPr>
        <w:t>Sämtliche</w:t>
      </w:r>
      <w:proofErr w:type="spellEnd"/>
      <w:r w:rsidRPr="000173CE">
        <w:rPr>
          <w:rFonts w:cs="Times New Roman"/>
          <w:i/>
          <w:color w:val="231F20"/>
          <w:szCs w:val="24"/>
        </w:rPr>
        <w:t xml:space="preserve"> </w:t>
      </w:r>
      <w:proofErr w:type="spellStart"/>
      <w:r w:rsidRPr="000173CE">
        <w:rPr>
          <w:rFonts w:cs="Times New Roman"/>
          <w:i/>
          <w:color w:val="231F20"/>
          <w:szCs w:val="24"/>
        </w:rPr>
        <w:t>Schriften</w:t>
      </w:r>
      <w:proofErr w:type="spellEnd"/>
      <w:r w:rsidRPr="000173CE">
        <w:rPr>
          <w:rFonts w:cs="Times New Roman"/>
          <w:i/>
          <w:color w:val="231F20"/>
          <w:szCs w:val="24"/>
        </w:rPr>
        <w:t xml:space="preserve"> und </w:t>
      </w:r>
      <w:proofErr w:type="spellStart"/>
      <w:r w:rsidRPr="000173CE">
        <w:rPr>
          <w:rFonts w:cs="Times New Roman"/>
          <w:i/>
          <w:color w:val="231F20"/>
          <w:szCs w:val="24"/>
        </w:rPr>
        <w:t>Briefe</w:t>
      </w:r>
      <w:proofErr w:type="spellEnd"/>
      <w:r>
        <w:rPr>
          <w:rFonts w:cs="Times New Roman"/>
          <w:i/>
          <w:color w:val="231F20"/>
          <w:szCs w:val="24"/>
        </w:rPr>
        <w:t xml:space="preserve">. </w:t>
      </w:r>
      <w:proofErr w:type="spellStart"/>
      <w:r>
        <w:rPr>
          <w:rFonts w:cs="Times New Roman"/>
          <w:i/>
          <w:color w:val="231F20"/>
          <w:szCs w:val="24"/>
        </w:rPr>
        <w:t>Erste</w:t>
      </w:r>
      <w:proofErr w:type="spellEnd"/>
      <w:r>
        <w:rPr>
          <w:rFonts w:cs="Times New Roman"/>
          <w:i/>
          <w:color w:val="231F20"/>
          <w:szCs w:val="24"/>
        </w:rPr>
        <w:t xml:space="preserve"> </w:t>
      </w:r>
      <w:proofErr w:type="spellStart"/>
      <w:r>
        <w:rPr>
          <w:rFonts w:cs="Times New Roman"/>
          <w:i/>
          <w:color w:val="231F20"/>
          <w:szCs w:val="24"/>
        </w:rPr>
        <w:t>Reihe</w:t>
      </w:r>
      <w:proofErr w:type="spellEnd"/>
      <w:r>
        <w:rPr>
          <w:rFonts w:cs="Times New Roman"/>
          <w:i/>
          <w:color w:val="231F20"/>
          <w:szCs w:val="24"/>
        </w:rPr>
        <w:t xml:space="preserve">. </w:t>
      </w:r>
      <w:proofErr w:type="spellStart"/>
      <w:r>
        <w:rPr>
          <w:rFonts w:cs="Times New Roman"/>
          <w:i/>
          <w:color w:val="231F20"/>
          <w:szCs w:val="24"/>
        </w:rPr>
        <w:t>Dreizehnter</w:t>
      </w:r>
      <w:proofErr w:type="spellEnd"/>
      <w:r>
        <w:rPr>
          <w:rFonts w:cs="Times New Roman"/>
          <w:i/>
          <w:color w:val="231F20"/>
          <w:szCs w:val="24"/>
        </w:rPr>
        <w:t xml:space="preserve"> Band</w:t>
      </w:r>
      <w:r w:rsidRPr="000173CE">
        <w:rPr>
          <w:rFonts w:cs="Times New Roman"/>
          <w:color w:val="231F20"/>
          <w:szCs w:val="24"/>
        </w:rPr>
        <w:t>. Edited by Berlin-</w:t>
      </w:r>
      <w:proofErr w:type="spellStart"/>
      <w:r w:rsidRPr="000173CE">
        <w:rPr>
          <w:rFonts w:cs="Times New Roman"/>
          <w:color w:val="231F20"/>
          <w:szCs w:val="24"/>
        </w:rPr>
        <w:t>Brandenburgische</w:t>
      </w:r>
      <w:proofErr w:type="spellEnd"/>
      <w:r>
        <w:rPr>
          <w:rFonts w:cs="Times New Roman"/>
          <w:color w:val="231F20"/>
          <w:szCs w:val="24"/>
        </w:rPr>
        <w:t xml:space="preserve"> </w:t>
      </w:r>
      <w:proofErr w:type="spellStart"/>
      <w:r w:rsidRPr="000173CE">
        <w:rPr>
          <w:rFonts w:cs="Times New Roman"/>
          <w:color w:val="231F20"/>
          <w:szCs w:val="24"/>
        </w:rPr>
        <w:t>Akademie</w:t>
      </w:r>
      <w:proofErr w:type="spellEnd"/>
      <w:r w:rsidRPr="000173CE">
        <w:rPr>
          <w:rFonts w:cs="Times New Roman"/>
          <w:color w:val="231F20"/>
          <w:szCs w:val="24"/>
        </w:rPr>
        <w:t xml:space="preserve"> </w:t>
      </w:r>
      <w:proofErr w:type="spellStart"/>
      <w:r w:rsidRPr="000173CE">
        <w:rPr>
          <w:rFonts w:cs="Times New Roman"/>
          <w:color w:val="231F20"/>
          <w:szCs w:val="24"/>
        </w:rPr>
        <w:t>der</w:t>
      </w:r>
      <w:proofErr w:type="spellEnd"/>
      <w:r w:rsidRPr="000173CE">
        <w:rPr>
          <w:rFonts w:cs="Times New Roman"/>
          <w:color w:val="231F20"/>
          <w:szCs w:val="24"/>
        </w:rPr>
        <w:t xml:space="preserve"> </w:t>
      </w:r>
      <w:proofErr w:type="spellStart"/>
      <w:r>
        <w:t>Wissenschaften</w:t>
      </w:r>
      <w:proofErr w:type="spellEnd"/>
      <w:r>
        <w:t xml:space="preserve"> und </w:t>
      </w:r>
      <w:proofErr w:type="spellStart"/>
      <w:r>
        <w:t>der</w:t>
      </w:r>
      <w:proofErr w:type="spellEnd"/>
      <w:r>
        <w:t xml:space="preserve"> </w:t>
      </w:r>
      <w:proofErr w:type="spellStart"/>
      <w:r>
        <w:t>Akademie</w:t>
      </w:r>
      <w:proofErr w:type="spellEnd"/>
      <w:r>
        <w:t xml:space="preserve"> </w:t>
      </w:r>
      <w:proofErr w:type="spellStart"/>
      <w:r>
        <w:t>der</w:t>
      </w:r>
      <w:proofErr w:type="spellEnd"/>
      <w:r>
        <w:t xml:space="preserve"> </w:t>
      </w:r>
      <w:proofErr w:type="spellStart"/>
      <w:r>
        <w:t>Wissenschaften</w:t>
      </w:r>
      <w:proofErr w:type="spellEnd"/>
      <w:r>
        <w:t xml:space="preserve"> </w:t>
      </w:r>
      <w:proofErr w:type="spellStart"/>
      <w:r>
        <w:t>zu</w:t>
      </w:r>
      <w:proofErr w:type="spellEnd"/>
      <w:r>
        <w:t xml:space="preserve"> </w:t>
      </w:r>
      <w:proofErr w:type="spellStart"/>
      <w:r>
        <w:t>Göttingen</w:t>
      </w:r>
      <w:proofErr w:type="spellEnd"/>
      <w:r>
        <w:rPr>
          <w:rFonts w:cs="Times New Roman"/>
          <w:color w:val="231F20"/>
          <w:szCs w:val="24"/>
        </w:rPr>
        <w:t xml:space="preserve"> (Berlin: </w:t>
      </w:r>
      <w:proofErr w:type="spellStart"/>
      <w:r>
        <w:rPr>
          <w:rFonts w:cs="Times New Roman"/>
          <w:color w:val="231F20"/>
          <w:szCs w:val="24"/>
        </w:rPr>
        <w:t>Akademie</w:t>
      </w:r>
      <w:proofErr w:type="spellEnd"/>
      <w:r>
        <w:rPr>
          <w:rFonts w:cs="Times New Roman"/>
          <w:color w:val="231F20"/>
          <w:szCs w:val="24"/>
        </w:rPr>
        <w:t xml:space="preserve"> </w:t>
      </w:r>
      <w:proofErr w:type="spellStart"/>
      <w:r>
        <w:rPr>
          <w:rFonts w:cs="Times New Roman"/>
          <w:color w:val="231F20"/>
          <w:szCs w:val="24"/>
        </w:rPr>
        <w:t>Verlag</w:t>
      </w:r>
      <w:proofErr w:type="spellEnd"/>
      <w:r>
        <w:rPr>
          <w:rFonts w:cs="Times New Roman"/>
          <w:color w:val="231F20"/>
          <w:szCs w:val="24"/>
        </w:rPr>
        <w:t>, 2010)</w:t>
      </w:r>
      <w:r>
        <w:t>, 444.</w:t>
      </w:r>
    </w:p>
  </w:footnote>
  <w:footnote w:id="10">
    <w:p w:rsidR="0063740B" w:rsidRPr="008176B9" w:rsidRDefault="0063740B" w:rsidP="0063740B">
      <w:pPr>
        <w:pStyle w:val="FootnoteText"/>
      </w:pPr>
      <w:r>
        <w:rPr>
          <w:rStyle w:val="FootnoteReference"/>
        </w:rPr>
        <w:footnoteRef/>
      </w:r>
      <w:r>
        <w:t xml:space="preserve"> Namely, “The story of </w:t>
      </w:r>
      <w:proofErr w:type="spellStart"/>
      <w:r>
        <w:t>Bileam</w:t>
      </w:r>
      <w:proofErr w:type="spellEnd"/>
      <w:r>
        <w:t xml:space="preserve">”, written early September 1706. English translation in Gottfried Wilhelm Leibniz, </w:t>
      </w:r>
      <w:r>
        <w:rPr>
          <w:i/>
        </w:rPr>
        <w:t>Leibniz on God and Religion</w:t>
      </w:r>
      <w:r>
        <w:t>, ed. and trans. Lloyd Strickland (London: Bloomsbury, 2016), 187</w:t>
      </w:r>
      <w:r>
        <w:rPr>
          <w:rFonts w:cs="Times New Roman"/>
          <w:szCs w:val="24"/>
        </w:rPr>
        <w:t>–</w:t>
      </w:r>
      <w:r>
        <w:t>193.</w:t>
      </w:r>
    </w:p>
  </w:footnote>
  <w:footnote w:id="11">
    <w:p w:rsidR="0063740B" w:rsidRDefault="0063740B" w:rsidP="0063740B">
      <w:pPr>
        <w:pStyle w:val="FootnoteText"/>
      </w:pPr>
      <w:r>
        <w:rPr>
          <w:rStyle w:val="FootnoteReference"/>
        </w:rPr>
        <w:footnoteRef/>
      </w:r>
      <w:r>
        <w:t xml:space="preserve"> Hermann von </w:t>
      </w:r>
      <w:proofErr w:type="spellStart"/>
      <w:r>
        <w:t>der</w:t>
      </w:r>
      <w:proofErr w:type="spellEnd"/>
      <w:r>
        <w:t xml:space="preserve"> </w:t>
      </w:r>
      <w:proofErr w:type="spellStart"/>
      <w:r>
        <w:t>Hardt</w:t>
      </w:r>
      <w:proofErr w:type="spellEnd"/>
      <w:r>
        <w:t xml:space="preserve"> to Leibniz, 26 October 1706, </w:t>
      </w:r>
      <w:proofErr w:type="spellStart"/>
      <w:r>
        <w:t>LBr</w:t>
      </w:r>
      <w:proofErr w:type="spellEnd"/>
      <w:r>
        <w:t>. 366 Bl. 292v.</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footnotePr>
    <w:footnote w:id="-1"/>
    <w:footnote w:id="0"/>
  </w:footnotePr>
  <w:endnotePr>
    <w:endnote w:id="-1"/>
    <w:endnote w:id="0"/>
  </w:endnotePr>
  <w:compat/>
  <w:rsids>
    <w:rsidRoot w:val="00C055DE"/>
    <w:rsid w:val="00022914"/>
    <w:rsid w:val="00082B9A"/>
    <w:rsid w:val="001A7D81"/>
    <w:rsid w:val="001C27AE"/>
    <w:rsid w:val="00276134"/>
    <w:rsid w:val="00282575"/>
    <w:rsid w:val="00294630"/>
    <w:rsid w:val="002A10A5"/>
    <w:rsid w:val="002B50F4"/>
    <w:rsid w:val="00315A63"/>
    <w:rsid w:val="003566DC"/>
    <w:rsid w:val="00361E15"/>
    <w:rsid w:val="003D4245"/>
    <w:rsid w:val="003F7F68"/>
    <w:rsid w:val="00505506"/>
    <w:rsid w:val="005B0174"/>
    <w:rsid w:val="005C0083"/>
    <w:rsid w:val="00610923"/>
    <w:rsid w:val="0063740B"/>
    <w:rsid w:val="00683BE3"/>
    <w:rsid w:val="006C2034"/>
    <w:rsid w:val="00753BCA"/>
    <w:rsid w:val="007A1ACE"/>
    <w:rsid w:val="00801409"/>
    <w:rsid w:val="008643F7"/>
    <w:rsid w:val="008C030E"/>
    <w:rsid w:val="008C09E4"/>
    <w:rsid w:val="00936523"/>
    <w:rsid w:val="009437F1"/>
    <w:rsid w:val="009B2FEB"/>
    <w:rsid w:val="009B4A92"/>
    <w:rsid w:val="00B105CB"/>
    <w:rsid w:val="00BC3CB6"/>
    <w:rsid w:val="00BC4130"/>
    <w:rsid w:val="00C055DE"/>
    <w:rsid w:val="00DE3B1C"/>
    <w:rsid w:val="00DF21CC"/>
    <w:rsid w:val="00E42375"/>
    <w:rsid w:val="00EA5099"/>
    <w:rsid w:val="00F051FD"/>
    <w:rsid w:val="00F8617C"/>
    <w:rsid w:val="00FB04C2"/>
    <w:rsid w:val="00FB0F16"/>
    <w:rsid w:val="00FB32A4"/>
    <w:rsid w:val="00FC404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EB"/>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0F16"/>
    <w:rPr>
      <w:sz w:val="20"/>
      <w:szCs w:val="20"/>
    </w:rPr>
  </w:style>
  <w:style w:type="character" w:customStyle="1" w:styleId="FootnoteTextChar">
    <w:name w:val="Footnote Text Char"/>
    <w:basedOn w:val="DefaultParagraphFont"/>
    <w:link w:val="FootnoteText"/>
    <w:uiPriority w:val="99"/>
    <w:semiHidden/>
    <w:rsid w:val="00FB0F16"/>
    <w:rPr>
      <w:rFonts w:ascii="Times New Roman" w:hAnsi="Times New Roman"/>
      <w:sz w:val="20"/>
      <w:szCs w:val="20"/>
    </w:rPr>
  </w:style>
  <w:style w:type="character" w:styleId="FootnoteReference">
    <w:name w:val="footnote reference"/>
    <w:basedOn w:val="DefaultParagraphFont"/>
    <w:uiPriority w:val="99"/>
    <w:semiHidden/>
    <w:unhideWhenUsed/>
    <w:rsid w:val="00FB0F16"/>
    <w:rPr>
      <w:vertAlign w:val="superscript"/>
    </w:rPr>
  </w:style>
  <w:style w:type="character" w:customStyle="1" w:styleId="rynqvb">
    <w:name w:val="rynqvb"/>
    <w:basedOn w:val="DefaultParagraphFont"/>
    <w:rsid w:val="006109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27295-7253-464E-9FD2-32610FC8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dc:creator>
  <cp:keywords/>
  <dc:description/>
  <cp:lastModifiedBy>Lloyd</cp:lastModifiedBy>
  <cp:revision>2</cp:revision>
  <dcterms:created xsi:type="dcterms:W3CDTF">2022-12-12T14:53:00Z</dcterms:created>
  <dcterms:modified xsi:type="dcterms:W3CDTF">2022-12-12T14:53:00Z</dcterms:modified>
</cp:coreProperties>
</file>