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2D" w:rsidRPr="005F616C" w:rsidRDefault="005F616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Irena Backus, </w:t>
      </w:r>
      <w:r>
        <w:rPr>
          <w:rFonts w:cs="Times New Roman"/>
          <w:i/>
          <w:szCs w:val="24"/>
        </w:rPr>
        <w:t>Leibniz: Protestant Theologian</w:t>
      </w:r>
      <w:r>
        <w:rPr>
          <w:rFonts w:cs="Times New Roman"/>
          <w:szCs w:val="24"/>
        </w:rPr>
        <w:t xml:space="preserve"> (2016)</w:t>
      </w:r>
    </w:p>
    <w:p w:rsidR="00A03B16" w:rsidRDefault="00A03B16">
      <w:pPr>
        <w:rPr>
          <w:rFonts w:cs="Times New Roman"/>
          <w:szCs w:val="24"/>
        </w:rPr>
      </w:pPr>
    </w:p>
    <w:p w:rsidR="00571E43" w:rsidRDefault="00A03B16" w:rsidP="007B36D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The title of Irena Backus’ </w:t>
      </w:r>
      <w:r>
        <w:rPr>
          <w:rFonts w:cs="Times New Roman"/>
          <w:i/>
          <w:szCs w:val="24"/>
        </w:rPr>
        <w:t>Leibniz: Protestant Theologian</w:t>
      </w:r>
      <w:r>
        <w:rPr>
          <w:rFonts w:cs="Times New Roman"/>
          <w:szCs w:val="24"/>
        </w:rPr>
        <w:t xml:space="preserve"> is apt to strike readers as </w:t>
      </w:r>
      <w:r w:rsidR="008F7248">
        <w:rPr>
          <w:rFonts w:cs="Times New Roman"/>
          <w:szCs w:val="24"/>
        </w:rPr>
        <w:t>incongruous</w:t>
      </w:r>
      <w:r>
        <w:rPr>
          <w:rFonts w:cs="Times New Roman"/>
          <w:szCs w:val="24"/>
        </w:rPr>
        <w:t xml:space="preserve"> given that, by her own admission, “Leibniz never pretended to the status of a theologian” (63, see also 74).</w:t>
      </w:r>
      <w:r w:rsidR="005E7F6F">
        <w:rPr>
          <w:rFonts w:cs="Times New Roman"/>
          <w:szCs w:val="24"/>
        </w:rPr>
        <w:t xml:space="preserve"> </w:t>
      </w:r>
      <w:r w:rsidR="008F7248">
        <w:rPr>
          <w:rFonts w:cs="Times New Roman"/>
          <w:szCs w:val="24"/>
        </w:rPr>
        <w:t xml:space="preserve">Nevertheless, </w:t>
      </w:r>
      <w:r w:rsidR="007B36D6">
        <w:rPr>
          <w:rFonts w:cs="Times New Roman"/>
          <w:szCs w:val="24"/>
        </w:rPr>
        <w:t xml:space="preserve">he did write extensively on religious matters and developed a number of original religious views, some of which are the focus of this book, which </w:t>
      </w:r>
      <w:r w:rsidR="008F7248">
        <w:rPr>
          <w:rFonts w:cs="Times New Roman"/>
          <w:szCs w:val="24"/>
        </w:rPr>
        <w:t>seeks to throw light on</w:t>
      </w:r>
      <w:r w:rsidR="00FD1CFF">
        <w:rPr>
          <w:rFonts w:cs="Times New Roman"/>
          <w:szCs w:val="24"/>
        </w:rPr>
        <w:t xml:space="preserve"> Leibniz as a religious thinker</w:t>
      </w:r>
      <w:r w:rsidR="003F59AA">
        <w:rPr>
          <w:rFonts w:cs="Times New Roman"/>
          <w:szCs w:val="24"/>
        </w:rPr>
        <w:t>,</w:t>
      </w:r>
      <w:r w:rsidR="008F7248">
        <w:rPr>
          <w:rFonts w:cs="Times New Roman"/>
          <w:szCs w:val="24"/>
        </w:rPr>
        <w:t xml:space="preserve"> </w:t>
      </w:r>
      <w:r w:rsidR="007B36D6">
        <w:rPr>
          <w:rFonts w:cs="Times New Roman"/>
          <w:szCs w:val="24"/>
        </w:rPr>
        <w:t xml:space="preserve">especially as regards </w:t>
      </w:r>
      <w:r w:rsidR="006609CF">
        <w:rPr>
          <w:rFonts w:cs="Times New Roman"/>
          <w:szCs w:val="24"/>
        </w:rPr>
        <w:t>his</w:t>
      </w:r>
      <w:r w:rsidR="007B36D6">
        <w:rPr>
          <w:rFonts w:cs="Times New Roman"/>
          <w:szCs w:val="24"/>
        </w:rPr>
        <w:t xml:space="preserve"> doctrines of the Eucharist and predestination</w:t>
      </w:r>
      <w:r w:rsidR="00FD1CFF">
        <w:rPr>
          <w:rFonts w:cs="Times New Roman"/>
          <w:szCs w:val="24"/>
        </w:rPr>
        <w:t xml:space="preserve">. </w:t>
      </w:r>
      <w:r w:rsidR="008F7248">
        <w:rPr>
          <w:rFonts w:cs="Times New Roman"/>
          <w:szCs w:val="24"/>
        </w:rPr>
        <w:t xml:space="preserve">The book contains seven chapters split into three parts. Part 1, </w:t>
      </w:r>
      <w:r w:rsidR="00571E43">
        <w:rPr>
          <w:rFonts w:cs="Times New Roman"/>
          <w:szCs w:val="24"/>
        </w:rPr>
        <w:t xml:space="preserve">“Eucharist and Substance,” consists of two chapters that examine Leibniz’s understanding of the Eucharist and the doctrine of substance in key texts from 1668, 1686, 1697-8, and 1712, </w:t>
      </w:r>
      <w:r w:rsidR="006609CF">
        <w:rPr>
          <w:rFonts w:cs="Times New Roman"/>
          <w:szCs w:val="24"/>
        </w:rPr>
        <w:t xml:space="preserve">thus </w:t>
      </w:r>
      <w:r w:rsidR="00571E43">
        <w:rPr>
          <w:rFonts w:cs="Times New Roman"/>
          <w:szCs w:val="24"/>
        </w:rPr>
        <w:t xml:space="preserve">charting the development of his </w:t>
      </w:r>
      <w:r w:rsidR="00704DE4">
        <w:rPr>
          <w:rFonts w:cs="Times New Roman"/>
          <w:szCs w:val="24"/>
        </w:rPr>
        <w:t>thinking</w:t>
      </w:r>
      <w:r w:rsidR="00571E43">
        <w:rPr>
          <w:rFonts w:cs="Times New Roman"/>
          <w:szCs w:val="24"/>
        </w:rPr>
        <w:t xml:space="preserve"> of the metaphysics of transubstantiation. Part 2, “Predestination and </w:t>
      </w:r>
      <w:r w:rsidR="00E13261">
        <w:rPr>
          <w:rFonts w:cs="Times New Roman"/>
          <w:szCs w:val="24"/>
        </w:rPr>
        <w:t>N</w:t>
      </w:r>
      <w:r w:rsidR="00571E43">
        <w:rPr>
          <w:rFonts w:cs="Times New Roman"/>
          <w:szCs w:val="24"/>
        </w:rPr>
        <w:t xml:space="preserve">ecessity,” contains three chapters, one on Leibniz’s doctrine of </w:t>
      </w:r>
      <w:r w:rsidR="008F7248">
        <w:rPr>
          <w:rFonts w:cs="Times New Roman"/>
          <w:szCs w:val="24"/>
        </w:rPr>
        <w:t>p</w:t>
      </w:r>
      <w:r w:rsidR="00571E43">
        <w:rPr>
          <w:rFonts w:cs="Times New Roman"/>
          <w:szCs w:val="24"/>
        </w:rPr>
        <w:t>redestination, one o</w:t>
      </w:r>
      <w:r w:rsidR="00E13261">
        <w:rPr>
          <w:rFonts w:cs="Times New Roman"/>
          <w:szCs w:val="24"/>
        </w:rPr>
        <w:t>n</w:t>
      </w:r>
      <w:r w:rsidR="00571E43">
        <w:rPr>
          <w:rFonts w:cs="Times New Roman"/>
          <w:szCs w:val="24"/>
        </w:rPr>
        <w:t xml:space="preserve"> his doctrine of necessity, and one on his use of Augustine. Part 3, “Leibniz, the Historian of the Sacred,” contains two chapters</w:t>
      </w:r>
      <w:r w:rsidR="008F7248">
        <w:rPr>
          <w:rFonts w:cs="Times New Roman"/>
          <w:szCs w:val="24"/>
        </w:rPr>
        <w:t xml:space="preserve"> that examine Leibniz’s thinking on </w:t>
      </w:r>
      <w:r w:rsidR="006609CF">
        <w:rPr>
          <w:rFonts w:cs="Times New Roman"/>
          <w:szCs w:val="24"/>
        </w:rPr>
        <w:t xml:space="preserve">sacred </w:t>
      </w:r>
      <w:r w:rsidR="008F7248">
        <w:rPr>
          <w:rFonts w:cs="Times New Roman"/>
          <w:szCs w:val="24"/>
        </w:rPr>
        <w:t>history and prophecy respectively.</w:t>
      </w:r>
    </w:p>
    <w:p w:rsidR="00644D3E" w:rsidRDefault="003F59AA" w:rsidP="00901B2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8F7248">
        <w:rPr>
          <w:rFonts w:cs="Times New Roman"/>
          <w:szCs w:val="24"/>
        </w:rPr>
        <w:t xml:space="preserve">t the start of the </w:t>
      </w:r>
      <w:r>
        <w:rPr>
          <w:rFonts w:cs="Times New Roman"/>
          <w:szCs w:val="24"/>
        </w:rPr>
        <w:t>book</w:t>
      </w:r>
      <w:r w:rsidR="005E7F6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Backus states that </w:t>
      </w:r>
      <w:r w:rsidR="008F7248">
        <w:rPr>
          <w:rFonts w:cs="Times New Roman"/>
          <w:szCs w:val="24"/>
        </w:rPr>
        <w:t xml:space="preserve">she is a religious historian rather than </w:t>
      </w:r>
      <w:r w:rsidR="005E7F6F">
        <w:rPr>
          <w:rFonts w:cs="Times New Roman"/>
          <w:szCs w:val="24"/>
        </w:rPr>
        <w:t>a philosopher</w:t>
      </w:r>
      <w:r w:rsidR="008F7248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 xml:space="preserve">that </w:t>
      </w:r>
      <w:r w:rsidR="008F7248">
        <w:rPr>
          <w:rFonts w:cs="Times New Roman"/>
          <w:szCs w:val="24"/>
        </w:rPr>
        <w:t>her book is aimed at historians of ideas, theologians, and historians</w:t>
      </w:r>
      <w:r w:rsidR="005E7F6F">
        <w:rPr>
          <w:rFonts w:cs="Times New Roman"/>
          <w:szCs w:val="24"/>
        </w:rPr>
        <w:t xml:space="preserve"> </w:t>
      </w:r>
      <w:r w:rsidR="00901B29">
        <w:rPr>
          <w:rFonts w:cs="Times New Roman"/>
          <w:szCs w:val="24"/>
        </w:rPr>
        <w:t xml:space="preserve">of religion. Accordingly, her aim is to situate Leibniz’s religious thought in his intellectual context by detailing “the historical links between the questions he asks and those asked by his contemporaries” (2). </w:t>
      </w:r>
      <w:r>
        <w:rPr>
          <w:rFonts w:cs="Times New Roman"/>
          <w:szCs w:val="24"/>
        </w:rPr>
        <w:t xml:space="preserve">While </w:t>
      </w:r>
      <w:r w:rsidR="00E13261">
        <w:rPr>
          <w:rFonts w:cs="Times New Roman"/>
          <w:szCs w:val="24"/>
        </w:rPr>
        <w:t xml:space="preserve">it is clear that Backus does not see the book as a work of philosophy, </w:t>
      </w:r>
      <w:r w:rsidR="00901B29">
        <w:rPr>
          <w:rFonts w:cs="Times New Roman"/>
          <w:szCs w:val="24"/>
        </w:rPr>
        <w:t>her choice of</w:t>
      </w:r>
      <w:r w:rsidR="00A9500B">
        <w:rPr>
          <w:rFonts w:cs="Times New Roman"/>
          <w:szCs w:val="24"/>
        </w:rPr>
        <w:t xml:space="preserve"> </w:t>
      </w:r>
      <w:r w:rsidR="00644D3E">
        <w:rPr>
          <w:rFonts w:cs="Times New Roman"/>
          <w:szCs w:val="24"/>
        </w:rPr>
        <w:t>topics</w:t>
      </w:r>
      <w:r w:rsidR="00A9500B">
        <w:rPr>
          <w:rFonts w:cs="Times New Roman"/>
          <w:szCs w:val="24"/>
        </w:rPr>
        <w:t xml:space="preserve"> makes it difficult for Backus to </w:t>
      </w:r>
      <w:r w:rsidR="00644D3E">
        <w:rPr>
          <w:rFonts w:cs="Times New Roman"/>
          <w:szCs w:val="24"/>
        </w:rPr>
        <w:t xml:space="preserve">avoid </w:t>
      </w:r>
      <w:r w:rsidR="00BE7595">
        <w:rPr>
          <w:rFonts w:cs="Times New Roman"/>
          <w:szCs w:val="24"/>
        </w:rPr>
        <w:t>entering into</w:t>
      </w:r>
      <w:r w:rsidR="00644D3E">
        <w:rPr>
          <w:rFonts w:cs="Times New Roman"/>
          <w:szCs w:val="24"/>
        </w:rPr>
        <w:t xml:space="preserve"> Leibniz’s philosophical views, </w:t>
      </w:r>
      <w:r w:rsidR="00E13261">
        <w:rPr>
          <w:rFonts w:cs="Times New Roman"/>
          <w:szCs w:val="24"/>
        </w:rPr>
        <w:t>which in fact</w:t>
      </w:r>
      <w:r w:rsidR="00644D3E">
        <w:rPr>
          <w:rFonts w:cs="Times New Roman"/>
          <w:szCs w:val="24"/>
        </w:rPr>
        <w:t xml:space="preserve"> </w:t>
      </w:r>
      <w:r w:rsidR="00BE7595">
        <w:rPr>
          <w:rFonts w:cs="Times New Roman"/>
          <w:szCs w:val="24"/>
        </w:rPr>
        <w:t xml:space="preserve">are </w:t>
      </w:r>
      <w:r w:rsidR="00E13261">
        <w:rPr>
          <w:rFonts w:cs="Times New Roman"/>
          <w:szCs w:val="24"/>
        </w:rPr>
        <w:t>front and centre</w:t>
      </w:r>
      <w:r w:rsidR="00BE7595">
        <w:rPr>
          <w:rFonts w:cs="Times New Roman"/>
          <w:szCs w:val="24"/>
        </w:rPr>
        <w:t xml:space="preserve"> for</w:t>
      </w:r>
      <w:r w:rsidR="00644D3E">
        <w:rPr>
          <w:rFonts w:cs="Times New Roman"/>
          <w:szCs w:val="24"/>
        </w:rPr>
        <w:t xml:space="preserve"> a good part of the book. Unfortunately, in </w:t>
      </w:r>
      <w:r w:rsidR="00A9500B">
        <w:rPr>
          <w:rFonts w:cs="Times New Roman"/>
          <w:szCs w:val="24"/>
        </w:rPr>
        <w:t xml:space="preserve">her handling of Leibniz’s philosophy </w:t>
      </w:r>
      <w:r w:rsidR="00644D3E">
        <w:rPr>
          <w:rFonts w:cs="Times New Roman"/>
          <w:szCs w:val="24"/>
        </w:rPr>
        <w:t>there is much to</w:t>
      </w:r>
      <w:r w:rsidR="00A9500B">
        <w:rPr>
          <w:rFonts w:cs="Times New Roman"/>
          <w:szCs w:val="24"/>
        </w:rPr>
        <w:t xml:space="preserve"> make Leibniz scholars wince. </w:t>
      </w:r>
      <w:r w:rsidR="00644D3E">
        <w:rPr>
          <w:rFonts w:cs="Times New Roman"/>
          <w:szCs w:val="24"/>
        </w:rPr>
        <w:t xml:space="preserve">In chapter 3, for example, </w:t>
      </w:r>
      <w:r w:rsidR="00644D3E" w:rsidRPr="00EC264E">
        <w:rPr>
          <w:rFonts w:cs="Times New Roman"/>
          <w:szCs w:val="24"/>
        </w:rPr>
        <w:t xml:space="preserve">she glosses Leibniz’s notion of free will as involving “the will to will” (84), even though there are many texts in which Leibniz explicitly states that such a notion is incoherent </w:t>
      </w:r>
      <w:r w:rsidR="00644D3E">
        <w:rPr>
          <w:rFonts w:cs="Times New Roman"/>
          <w:szCs w:val="24"/>
        </w:rPr>
        <w:t xml:space="preserve">because it involves as infinite regress </w:t>
      </w:r>
      <w:r w:rsidR="00644D3E" w:rsidRPr="00EC264E">
        <w:rPr>
          <w:rFonts w:cs="Times New Roman"/>
          <w:szCs w:val="24"/>
        </w:rPr>
        <w:t xml:space="preserve">(e.g. “We will to act, strictly speaking, and we do not will to will; else we could still say that we will to have the will to will, and that would go on to infinity.” </w:t>
      </w:r>
      <w:r w:rsidR="00644D3E">
        <w:rPr>
          <w:rFonts w:cs="Times New Roman"/>
          <w:szCs w:val="24"/>
        </w:rPr>
        <w:t xml:space="preserve">Leibniz, </w:t>
      </w:r>
      <w:r w:rsidR="00644D3E" w:rsidRPr="00EC264E">
        <w:rPr>
          <w:rFonts w:cs="Times New Roman"/>
          <w:i/>
          <w:szCs w:val="24"/>
        </w:rPr>
        <w:t>Theodicy</w:t>
      </w:r>
      <w:r w:rsidR="00644D3E" w:rsidRPr="00EC264E">
        <w:rPr>
          <w:rFonts w:cs="Times New Roman"/>
          <w:szCs w:val="24"/>
        </w:rPr>
        <w:t xml:space="preserve"> </w:t>
      </w:r>
      <w:r w:rsidR="00644D3E">
        <w:rPr>
          <w:rFonts w:cs="Times New Roman"/>
          <w:szCs w:val="24"/>
        </w:rPr>
        <w:t xml:space="preserve">[1985], </w:t>
      </w:r>
      <w:r w:rsidR="00327390">
        <w:rPr>
          <w:rFonts w:cs="Times New Roman"/>
          <w:szCs w:val="24"/>
        </w:rPr>
        <w:t>1</w:t>
      </w:r>
      <w:r w:rsidR="00644D3E" w:rsidRPr="00EC264E">
        <w:rPr>
          <w:rFonts w:cs="Times New Roman"/>
          <w:szCs w:val="24"/>
        </w:rPr>
        <w:t>51).</w:t>
      </w:r>
      <w:r w:rsidR="00644D3E">
        <w:rPr>
          <w:rFonts w:cs="Times New Roman"/>
          <w:szCs w:val="24"/>
        </w:rPr>
        <w:t xml:space="preserve"> Later, Backus states that Leibniz appears to establish a clear distinction between necessity and certainty “very late in his career” (107), citing a text from 1711 as evidence of this. </w:t>
      </w:r>
      <w:r w:rsidR="00644D3E" w:rsidRPr="00EC264E">
        <w:rPr>
          <w:rFonts w:cs="Times New Roman"/>
          <w:szCs w:val="24"/>
        </w:rPr>
        <w:t xml:space="preserve">Yet there are much earlier texts in which </w:t>
      </w:r>
      <w:r w:rsidR="00BE7595">
        <w:rPr>
          <w:rFonts w:cs="Times New Roman"/>
          <w:szCs w:val="24"/>
        </w:rPr>
        <w:t>Leibniz makes a clear</w:t>
      </w:r>
      <w:r w:rsidR="00644D3E" w:rsidRPr="00EC264E">
        <w:rPr>
          <w:rFonts w:cs="Times New Roman"/>
          <w:szCs w:val="24"/>
        </w:rPr>
        <w:t xml:space="preserve"> distinction between necessity and certainty</w:t>
      </w:r>
      <w:r w:rsidR="00644D3E">
        <w:rPr>
          <w:rFonts w:cs="Times New Roman"/>
          <w:szCs w:val="24"/>
        </w:rPr>
        <w:t>, such as one from 1680-4</w:t>
      </w:r>
      <w:r w:rsidR="00644D3E" w:rsidRPr="00EC264E">
        <w:rPr>
          <w:rFonts w:cs="Times New Roman"/>
          <w:szCs w:val="24"/>
        </w:rPr>
        <w:t xml:space="preserve"> (</w:t>
      </w:r>
      <w:r w:rsidR="00644D3E">
        <w:rPr>
          <w:rFonts w:cs="Times New Roman"/>
          <w:szCs w:val="24"/>
        </w:rPr>
        <w:t>in</w:t>
      </w:r>
      <w:r w:rsidR="00644D3E" w:rsidRPr="00EC264E">
        <w:rPr>
          <w:rFonts w:cs="Times New Roman"/>
          <w:szCs w:val="24"/>
        </w:rPr>
        <w:t xml:space="preserve"> </w:t>
      </w:r>
      <w:r w:rsidR="00644D3E">
        <w:rPr>
          <w:rFonts w:cs="Times New Roman"/>
          <w:szCs w:val="24"/>
        </w:rPr>
        <w:t xml:space="preserve">Leibniz, </w:t>
      </w:r>
      <w:r w:rsidR="00644D3E" w:rsidRPr="00EC264E">
        <w:rPr>
          <w:rFonts w:cs="Times New Roman"/>
          <w:i/>
          <w:szCs w:val="24"/>
        </w:rPr>
        <w:t>Shorter Leibniz Texts</w:t>
      </w:r>
      <w:r w:rsidR="00644D3E">
        <w:rPr>
          <w:rFonts w:cs="Times New Roman"/>
          <w:szCs w:val="24"/>
        </w:rPr>
        <w:t xml:space="preserve"> [2006], 107</w:t>
      </w:r>
      <w:r w:rsidR="00644D3E" w:rsidRPr="00EC264E">
        <w:rPr>
          <w:rFonts w:cs="Times New Roman"/>
          <w:szCs w:val="24"/>
        </w:rPr>
        <w:t>)</w:t>
      </w:r>
      <w:r w:rsidR="00644D3E">
        <w:rPr>
          <w:rFonts w:cs="Times New Roman"/>
          <w:szCs w:val="24"/>
        </w:rPr>
        <w:t>.</w:t>
      </w:r>
    </w:p>
    <w:p w:rsidR="00894465" w:rsidRDefault="00894465" w:rsidP="00901B2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Overshadowing</w:t>
      </w:r>
      <w:r w:rsidR="00BE7595">
        <w:rPr>
          <w:rFonts w:cs="Times New Roman"/>
          <w:szCs w:val="24"/>
        </w:rPr>
        <w:t xml:space="preserve"> </w:t>
      </w:r>
      <w:r w:rsidR="00644D3E">
        <w:rPr>
          <w:rFonts w:cs="Times New Roman"/>
          <w:szCs w:val="24"/>
        </w:rPr>
        <w:t xml:space="preserve">Backus’ </w:t>
      </w:r>
      <w:r w:rsidR="001C0068">
        <w:rPr>
          <w:rFonts w:cs="Times New Roman"/>
          <w:szCs w:val="24"/>
        </w:rPr>
        <w:t xml:space="preserve">apparent </w:t>
      </w:r>
      <w:r>
        <w:rPr>
          <w:rFonts w:cs="Times New Roman"/>
          <w:szCs w:val="24"/>
        </w:rPr>
        <w:t>unawareness</w:t>
      </w:r>
      <w:r w:rsidR="00644D3E">
        <w:rPr>
          <w:rFonts w:cs="Times New Roman"/>
          <w:szCs w:val="24"/>
        </w:rPr>
        <w:t xml:space="preserve"> of </w:t>
      </w:r>
      <w:r>
        <w:rPr>
          <w:rFonts w:cs="Times New Roman"/>
          <w:szCs w:val="24"/>
        </w:rPr>
        <w:t xml:space="preserve">relevant </w:t>
      </w:r>
      <w:r w:rsidR="00644D3E">
        <w:rPr>
          <w:rFonts w:cs="Times New Roman"/>
          <w:szCs w:val="24"/>
        </w:rPr>
        <w:t>primary sources</w:t>
      </w:r>
      <w:r>
        <w:rPr>
          <w:rFonts w:cs="Times New Roman"/>
          <w:szCs w:val="24"/>
        </w:rPr>
        <w:t xml:space="preserve"> is her neglect of relevant secondary sources. </w:t>
      </w:r>
      <w:r w:rsidR="00A9500B">
        <w:rPr>
          <w:rFonts w:cs="Times New Roman"/>
          <w:szCs w:val="24"/>
        </w:rPr>
        <w:t>For example,</w:t>
      </w:r>
      <w:r>
        <w:rPr>
          <w:rFonts w:cs="Times New Roman"/>
          <w:szCs w:val="24"/>
        </w:rPr>
        <w:t xml:space="preserve"> when outlining Leibniz’s doctrine of substance early on (14), Backus places texts from 1668 and 1714 side by side and takes them to be expressing the same view </w:t>
      </w:r>
      <w:r w:rsidR="00E13261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the soul </w:t>
      </w:r>
      <w:r w:rsidR="00E1326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s the form of the body, thereby disregarding decades of Leibniz scholarship which has carefully </w:t>
      </w:r>
      <w:r w:rsidR="00001C92">
        <w:rPr>
          <w:rFonts w:cs="Times New Roman"/>
          <w:szCs w:val="24"/>
        </w:rPr>
        <w:t xml:space="preserve">sought to show </w:t>
      </w:r>
      <w:r w:rsidR="00C66895">
        <w:rPr>
          <w:rFonts w:cs="Times New Roman"/>
          <w:szCs w:val="24"/>
        </w:rPr>
        <w:t>an</w:t>
      </w:r>
      <w:r w:rsidR="00001C92">
        <w:rPr>
          <w:rFonts w:cs="Times New Roman"/>
          <w:szCs w:val="24"/>
        </w:rPr>
        <w:t xml:space="preserve"> evolution </w:t>
      </w:r>
      <w:r w:rsidR="00C66895">
        <w:rPr>
          <w:rFonts w:cs="Times New Roman"/>
          <w:szCs w:val="24"/>
        </w:rPr>
        <w:t>in</w:t>
      </w:r>
      <w:r w:rsidR="00001C92">
        <w:rPr>
          <w:rFonts w:cs="Times New Roman"/>
          <w:szCs w:val="24"/>
        </w:rPr>
        <w:t xml:space="preserve"> Leibniz’s thinking about substance.</w:t>
      </w:r>
      <w:r>
        <w:rPr>
          <w:rFonts w:cs="Times New Roman"/>
          <w:szCs w:val="24"/>
        </w:rPr>
        <w:t xml:space="preserve"> </w:t>
      </w:r>
      <w:r w:rsidR="00001C92">
        <w:rPr>
          <w:rFonts w:cs="Times New Roman"/>
          <w:szCs w:val="24"/>
        </w:rPr>
        <w:t xml:space="preserve">To compound matters, </w:t>
      </w:r>
      <w:r w:rsidR="00001C92" w:rsidRPr="00EC264E">
        <w:rPr>
          <w:rFonts w:cs="Times New Roman"/>
          <w:szCs w:val="24"/>
        </w:rPr>
        <w:t>Backus engages with only a selection of the relevant secondary literature</w:t>
      </w:r>
      <w:r w:rsidR="00001C92">
        <w:rPr>
          <w:rFonts w:cs="Times New Roman"/>
          <w:szCs w:val="24"/>
        </w:rPr>
        <w:t xml:space="preserve"> on the topics covered by her book</w:t>
      </w:r>
      <w:r w:rsidR="00001C92" w:rsidRPr="00EC264E">
        <w:rPr>
          <w:rFonts w:cs="Times New Roman"/>
          <w:szCs w:val="24"/>
        </w:rPr>
        <w:t>,</w:t>
      </w:r>
      <w:r w:rsidR="00001C92">
        <w:rPr>
          <w:rFonts w:cs="Times New Roman"/>
          <w:szCs w:val="24"/>
        </w:rPr>
        <w:t xml:space="preserve"> with virtually no engagement with </w:t>
      </w:r>
      <w:r w:rsidR="00262BDC">
        <w:rPr>
          <w:rFonts w:cs="Times New Roman"/>
          <w:szCs w:val="24"/>
        </w:rPr>
        <w:t>leading</w:t>
      </w:r>
      <w:r w:rsidR="00001C92">
        <w:rPr>
          <w:rFonts w:cs="Times New Roman"/>
          <w:szCs w:val="24"/>
        </w:rPr>
        <w:t xml:space="preserve"> </w:t>
      </w:r>
      <w:r w:rsidR="00E13261">
        <w:rPr>
          <w:rFonts w:cs="Times New Roman"/>
          <w:szCs w:val="24"/>
        </w:rPr>
        <w:t>scholar</w:t>
      </w:r>
      <w:r w:rsidR="00001C92">
        <w:rPr>
          <w:rFonts w:cs="Times New Roman"/>
          <w:szCs w:val="24"/>
        </w:rPr>
        <w:t xml:space="preserve">s such as Maria Rosa </w:t>
      </w:r>
      <w:proofErr w:type="spellStart"/>
      <w:r w:rsidR="00001C92">
        <w:rPr>
          <w:rFonts w:cs="Times New Roman"/>
          <w:szCs w:val="24"/>
        </w:rPr>
        <w:t>Antognazza</w:t>
      </w:r>
      <w:proofErr w:type="spellEnd"/>
      <w:r w:rsidR="00001C92">
        <w:rPr>
          <w:rFonts w:cs="Times New Roman"/>
          <w:szCs w:val="24"/>
        </w:rPr>
        <w:t xml:space="preserve">, Daniel J. Cook, and Michael Murray. This </w:t>
      </w:r>
      <w:r w:rsidR="00C66895">
        <w:rPr>
          <w:rFonts w:cs="Times New Roman"/>
          <w:szCs w:val="24"/>
        </w:rPr>
        <w:t>leaves the reader</w:t>
      </w:r>
      <w:r w:rsidR="00001C92">
        <w:rPr>
          <w:rFonts w:cs="Times New Roman"/>
          <w:szCs w:val="24"/>
        </w:rPr>
        <w:t xml:space="preserve"> unclear </w:t>
      </w:r>
      <w:r w:rsidR="00C66895">
        <w:rPr>
          <w:rFonts w:cs="Times New Roman"/>
          <w:szCs w:val="24"/>
        </w:rPr>
        <w:t>if or when</w:t>
      </w:r>
      <w:r w:rsidR="00001C92">
        <w:rPr>
          <w:rFonts w:cs="Times New Roman"/>
          <w:szCs w:val="24"/>
        </w:rPr>
        <w:t xml:space="preserve"> Backus is (or takes herself to be) offering new lines of interpretation </w:t>
      </w:r>
      <w:r w:rsidR="00C66895">
        <w:rPr>
          <w:rFonts w:cs="Times New Roman"/>
          <w:szCs w:val="24"/>
        </w:rPr>
        <w:t>of Leibniz’s thinking</w:t>
      </w:r>
      <w:r w:rsidR="00001C92">
        <w:rPr>
          <w:rFonts w:cs="Times New Roman"/>
          <w:szCs w:val="24"/>
        </w:rPr>
        <w:t>.</w:t>
      </w:r>
    </w:p>
    <w:p w:rsidR="00735C02" w:rsidRDefault="00A9500B" w:rsidP="0082412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35C02" w:rsidRPr="00EC264E">
        <w:rPr>
          <w:rFonts w:cs="Times New Roman"/>
          <w:szCs w:val="24"/>
        </w:rPr>
        <w:t xml:space="preserve">Not surprisingly, given that Backus is a religious historian, she is on much firmer </w:t>
      </w:r>
      <w:r w:rsidR="00262BDC">
        <w:rPr>
          <w:rFonts w:cs="Times New Roman"/>
          <w:szCs w:val="24"/>
        </w:rPr>
        <w:t>ground</w:t>
      </w:r>
      <w:r w:rsidR="00735C02" w:rsidRPr="00EC264E">
        <w:rPr>
          <w:rFonts w:cs="Times New Roman"/>
          <w:szCs w:val="24"/>
        </w:rPr>
        <w:t xml:space="preserve"> when handling theological matters and in particular </w:t>
      </w:r>
      <w:r>
        <w:rPr>
          <w:rFonts w:cs="Times New Roman"/>
          <w:szCs w:val="24"/>
        </w:rPr>
        <w:t xml:space="preserve">when </w:t>
      </w:r>
      <w:r w:rsidR="00735C02" w:rsidRPr="00EC264E">
        <w:rPr>
          <w:rFonts w:cs="Times New Roman"/>
          <w:szCs w:val="24"/>
        </w:rPr>
        <w:t>detailing the interplay of ideas of various key religious figures</w:t>
      </w:r>
      <w:r w:rsidR="00EC264E" w:rsidRPr="00EC264E">
        <w:rPr>
          <w:rFonts w:cs="Times New Roman"/>
          <w:szCs w:val="24"/>
        </w:rPr>
        <w:t xml:space="preserve">, especially </w:t>
      </w:r>
      <w:r>
        <w:rPr>
          <w:rFonts w:cs="Times New Roman"/>
          <w:szCs w:val="24"/>
        </w:rPr>
        <w:t xml:space="preserve">those </w:t>
      </w:r>
      <w:r w:rsidR="00EC264E" w:rsidRPr="00EC264E">
        <w:rPr>
          <w:rFonts w:cs="Times New Roman"/>
          <w:szCs w:val="24"/>
        </w:rPr>
        <w:t>of the Reformed</w:t>
      </w:r>
      <w:r w:rsidR="00735C02" w:rsidRPr="00EC264E">
        <w:rPr>
          <w:rFonts w:cs="Times New Roman"/>
          <w:szCs w:val="24"/>
        </w:rPr>
        <w:t xml:space="preserve">. And indeed, where </w:t>
      </w:r>
      <w:r w:rsidR="00EC264E" w:rsidRPr="00EC264E">
        <w:rPr>
          <w:rFonts w:cs="Times New Roman"/>
          <w:szCs w:val="24"/>
        </w:rPr>
        <w:t>Backus</w:t>
      </w:r>
      <w:r w:rsidR="00735C02" w:rsidRPr="00EC264E">
        <w:rPr>
          <w:rFonts w:cs="Times New Roman"/>
          <w:szCs w:val="24"/>
        </w:rPr>
        <w:t xml:space="preserve"> excels is in </w:t>
      </w:r>
      <w:r>
        <w:rPr>
          <w:rFonts w:cs="Times New Roman"/>
          <w:szCs w:val="24"/>
        </w:rPr>
        <w:t>lay</w:t>
      </w:r>
      <w:r w:rsidR="00735C02" w:rsidRPr="00EC264E">
        <w:rPr>
          <w:rFonts w:cs="Times New Roman"/>
          <w:szCs w:val="24"/>
        </w:rPr>
        <w:t xml:space="preserve">ing </w:t>
      </w:r>
      <w:r>
        <w:rPr>
          <w:rFonts w:cs="Times New Roman"/>
          <w:szCs w:val="24"/>
        </w:rPr>
        <w:t xml:space="preserve">out </w:t>
      </w:r>
      <w:r w:rsidR="00735C02" w:rsidRPr="00EC264E">
        <w:rPr>
          <w:rFonts w:cs="Times New Roman"/>
          <w:szCs w:val="24"/>
        </w:rPr>
        <w:t xml:space="preserve">the theological context for </w:t>
      </w:r>
      <w:r>
        <w:rPr>
          <w:rFonts w:cs="Times New Roman"/>
          <w:szCs w:val="24"/>
        </w:rPr>
        <w:t xml:space="preserve">some of </w:t>
      </w:r>
      <w:r w:rsidR="00735C02" w:rsidRPr="00EC264E">
        <w:rPr>
          <w:rFonts w:cs="Times New Roman"/>
          <w:szCs w:val="24"/>
        </w:rPr>
        <w:t>Leibniz’s forays into theology, showing the depth, subtlety and nuances of the various positions that had been developed in the 16</w:t>
      </w:r>
      <w:r w:rsidR="00735C02" w:rsidRPr="00EC264E">
        <w:rPr>
          <w:rFonts w:cs="Times New Roman"/>
          <w:szCs w:val="24"/>
          <w:vertAlign w:val="superscript"/>
        </w:rPr>
        <w:t>th</w:t>
      </w:r>
      <w:r w:rsidR="00735C02" w:rsidRPr="00EC264E">
        <w:rPr>
          <w:rFonts w:cs="Times New Roman"/>
          <w:szCs w:val="24"/>
        </w:rPr>
        <w:t xml:space="preserve"> and 17</w:t>
      </w:r>
      <w:r w:rsidR="00735C02" w:rsidRPr="00EC264E">
        <w:rPr>
          <w:rFonts w:cs="Times New Roman"/>
          <w:szCs w:val="24"/>
          <w:vertAlign w:val="superscript"/>
        </w:rPr>
        <w:t>th</w:t>
      </w:r>
      <w:r w:rsidR="00735C02" w:rsidRPr="00EC264E">
        <w:rPr>
          <w:rFonts w:cs="Times New Roman"/>
          <w:szCs w:val="24"/>
        </w:rPr>
        <w:t xml:space="preserve"> centuries, as well as Leibniz’s knowledge thereof.</w:t>
      </w:r>
      <w:r w:rsidR="001C0068">
        <w:rPr>
          <w:rFonts w:cs="Times New Roman"/>
          <w:szCs w:val="24"/>
        </w:rPr>
        <w:t xml:space="preserve"> T</w:t>
      </w:r>
      <w:r w:rsidR="00735C02" w:rsidRPr="00EC264E">
        <w:rPr>
          <w:rFonts w:cs="Times New Roman"/>
          <w:szCs w:val="24"/>
        </w:rPr>
        <w:t xml:space="preserve">he </w:t>
      </w:r>
      <w:r w:rsidR="00262BDC">
        <w:rPr>
          <w:rFonts w:cs="Times New Roman"/>
          <w:szCs w:val="24"/>
        </w:rPr>
        <w:t>chief</w:t>
      </w:r>
      <w:r w:rsidR="00735C02" w:rsidRPr="00EC264E">
        <w:rPr>
          <w:rFonts w:cs="Times New Roman"/>
          <w:szCs w:val="24"/>
        </w:rPr>
        <w:t xml:space="preserve"> value of this work </w:t>
      </w:r>
      <w:r w:rsidR="001C0068">
        <w:rPr>
          <w:rFonts w:cs="Times New Roman"/>
          <w:szCs w:val="24"/>
        </w:rPr>
        <w:t xml:space="preserve">thus </w:t>
      </w:r>
      <w:r w:rsidR="00735C02" w:rsidRPr="00EC264E">
        <w:rPr>
          <w:rFonts w:cs="Times New Roman"/>
          <w:szCs w:val="24"/>
        </w:rPr>
        <w:t xml:space="preserve">consists </w:t>
      </w:r>
      <w:r w:rsidR="001C0068">
        <w:rPr>
          <w:rFonts w:cs="Times New Roman"/>
          <w:szCs w:val="24"/>
        </w:rPr>
        <w:t xml:space="preserve">in </w:t>
      </w:r>
      <w:r w:rsidR="00E13261">
        <w:rPr>
          <w:rFonts w:cs="Times New Roman"/>
          <w:szCs w:val="24"/>
        </w:rPr>
        <w:t>the way it successful</w:t>
      </w:r>
      <w:r w:rsidR="00E45C50">
        <w:rPr>
          <w:rFonts w:cs="Times New Roman"/>
          <w:szCs w:val="24"/>
        </w:rPr>
        <w:t>ly</w:t>
      </w:r>
      <w:r w:rsidR="00E13261">
        <w:rPr>
          <w:rFonts w:cs="Times New Roman"/>
          <w:szCs w:val="24"/>
        </w:rPr>
        <w:t xml:space="preserve"> situates some of Leibniz’s religious views in their appropriate historical and theological</w:t>
      </w:r>
      <w:r w:rsidR="001C0068">
        <w:rPr>
          <w:rFonts w:cs="Times New Roman"/>
          <w:szCs w:val="24"/>
        </w:rPr>
        <w:t xml:space="preserve"> context.</w:t>
      </w:r>
    </w:p>
    <w:p w:rsidR="0075035C" w:rsidRDefault="0075035C" w:rsidP="0082412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5035C" w:rsidRPr="0075035C" w:rsidRDefault="0075035C" w:rsidP="0082412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Lloyd Strickland, </w:t>
      </w:r>
      <w:r>
        <w:rPr>
          <w:rFonts w:cs="Times New Roman"/>
          <w:i/>
          <w:szCs w:val="24"/>
        </w:rPr>
        <w:t>Manchester Metropolitan University</w:t>
      </w:r>
      <w:r>
        <w:rPr>
          <w:rFonts w:cs="Times New Roman"/>
          <w:szCs w:val="24"/>
        </w:rPr>
        <w:t>.</w:t>
      </w:r>
    </w:p>
    <w:sectPr w:rsidR="0075035C" w:rsidRPr="0075035C" w:rsidSect="00BC4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24125"/>
    <w:rsid w:val="00001C92"/>
    <w:rsid w:val="00082B9A"/>
    <w:rsid w:val="001C0068"/>
    <w:rsid w:val="001D66BC"/>
    <w:rsid w:val="00262BDC"/>
    <w:rsid w:val="002B0771"/>
    <w:rsid w:val="00327390"/>
    <w:rsid w:val="003F59AA"/>
    <w:rsid w:val="004122C7"/>
    <w:rsid w:val="004B0ADD"/>
    <w:rsid w:val="004B5200"/>
    <w:rsid w:val="00571E43"/>
    <w:rsid w:val="005E7F6F"/>
    <w:rsid w:val="005F616C"/>
    <w:rsid w:val="00644D3E"/>
    <w:rsid w:val="006609CF"/>
    <w:rsid w:val="00704DE4"/>
    <w:rsid w:val="00735C02"/>
    <w:rsid w:val="0075035C"/>
    <w:rsid w:val="007B36D6"/>
    <w:rsid w:val="00824125"/>
    <w:rsid w:val="008643F7"/>
    <w:rsid w:val="00894465"/>
    <w:rsid w:val="008F7248"/>
    <w:rsid w:val="00901B29"/>
    <w:rsid w:val="00936523"/>
    <w:rsid w:val="00961206"/>
    <w:rsid w:val="009B2FEB"/>
    <w:rsid w:val="00A03B16"/>
    <w:rsid w:val="00A9500B"/>
    <w:rsid w:val="00B87B64"/>
    <w:rsid w:val="00BC4130"/>
    <w:rsid w:val="00BE7595"/>
    <w:rsid w:val="00C34CC8"/>
    <w:rsid w:val="00C66895"/>
    <w:rsid w:val="00E13261"/>
    <w:rsid w:val="00E13E54"/>
    <w:rsid w:val="00E45C50"/>
    <w:rsid w:val="00EC264E"/>
    <w:rsid w:val="00FB04C2"/>
    <w:rsid w:val="00FB396B"/>
    <w:rsid w:val="00FD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E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dc:description/>
  <cp:lastModifiedBy>Lloyd</cp:lastModifiedBy>
  <cp:revision>26</cp:revision>
  <dcterms:created xsi:type="dcterms:W3CDTF">2018-01-20T17:14:00Z</dcterms:created>
  <dcterms:modified xsi:type="dcterms:W3CDTF">2018-01-22T18:42:00Z</dcterms:modified>
</cp:coreProperties>
</file>