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846" w:rsidRPr="005D40F0" w:rsidRDefault="00BA2846" w:rsidP="00594E81">
      <w:pPr>
        <w:spacing w:line="480" w:lineRule="auto"/>
        <w:jc w:val="center"/>
        <w:rPr>
          <w:b/>
          <w:sz w:val="28"/>
          <w:szCs w:val="28"/>
        </w:rPr>
      </w:pPr>
      <w:r w:rsidRPr="005D40F0">
        <w:rPr>
          <w:b/>
          <w:sz w:val="28"/>
          <w:szCs w:val="28"/>
        </w:rPr>
        <w:t xml:space="preserve">The Reception of the </w:t>
      </w:r>
      <w:r w:rsidRPr="005D40F0">
        <w:rPr>
          <w:b/>
          <w:i/>
          <w:sz w:val="28"/>
          <w:szCs w:val="28"/>
        </w:rPr>
        <w:t>Theodicy</w:t>
      </w:r>
      <w:r w:rsidRPr="005D40F0">
        <w:rPr>
          <w:b/>
          <w:sz w:val="28"/>
          <w:szCs w:val="28"/>
        </w:rPr>
        <w:t xml:space="preserve"> in England</w:t>
      </w:r>
      <w:r w:rsidR="005D40F0" w:rsidRPr="005D40F0">
        <w:rPr>
          <w:b/>
          <w:sz w:val="28"/>
          <w:szCs w:val="28"/>
          <w:vertAlign w:val="superscript"/>
        </w:rPr>
        <w:t>*</w:t>
      </w:r>
    </w:p>
    <w:p w:rsidR="00BA2846" w:rsidRDefault="00BA2846" w:rsidP="00594E81">
      <w:pPr>
        <w:spacing w:line="480" w:lineRule="auto"/>
        <w:jc w:val="center"/>
      </w:pPr>
    </w:p>
    <w:p w:rsidR="005D40F0" w:rsidRDefault="005D40F0" w:rsidP="00594E81">
      <w:pPr>
        <w:spacing w:line="480" w:lineRule="auto"/>
        <w:jc w:val="center"/>
      </w:pPr>
      <w:r>
        <w:t>By</w:t>
      </w:r>
    </w:p>
    <w:p w:rsidR="005D40F0" w:rsidRDefault="005D40F0" w:rsidP="00594E81">
      <w:pPr>
        <w:spacing w:line="480" w:lineRule="auto"/>
        <w:jc w:val="center"/>
      </w:pPr>
    </w:p>
    <w:p w:rsidR="005D40F0" w:rsidRDefault="005D40F0" w:rsidP="00594E81">
      <w:pPr>
        <w:spacing w:line="480" w:lineRule="auto"/>
        <w:jc w:val="center"/>
      </w:pPr>
      <w:r>
        <w:t>LLOYD STRICKLAND (MANCHESTER)</w:t>
      </w:r>
    </w:p>
    <w:p w:rsidR="005D40F0" w:rsidRDefault="005D40F0" w:rsidP="00594E81">
      <w:pPr>
        <w:spacing w:line="480" w:lineRule="auto"/>
      </w:pPr>
    </w:p>
    <w:p w:rsidR="005D40F0" w:rsidRDefault="005D40F0" w:rsidP="00594E81">
      <w:pPr>
        <w:spacing w:line="480" w:lineRule="auto"/>
      </w:pPr>
    </w:p>
    <w:p w:rsidR="001877E9" w:rsidRPr="005D40F0" w:rsidRDefault="001877E9" w:rsidP="00594E81">
      <w:pPr>
        <w:spacing w:line="480" w:lineRule="auto"/>
        <w:jc w:val="center"/>
      </w:pPr>
      <w:r w:rsidRPr="005D40F0">
        <w:t>Introduction</w:t>
      </w:r>
    </w:p>
    <w:p w:rsidR="005D40F0" w:rsidRDefault="005D40F0" w:rsidP="00594E81">
      <w:pPr>
        <w:spacing w:line="480" w:lineRule="auto"/>
      </w:pPr>
    </w:p>
    <w:p w:rsidR="00D52485" w:rsidRDefault="000D78D4" w:rsidP="00594E81">
      <w:pPr>
        <w:spacing w:line="480" w:lineRule="auto"/>
        <w:ind w:firstLine="720"/>
        <w:rPr>
          <w:rFonts w:cs="Times New Roman"/>
        </w:rPr>
      </w:pPr>
      <w:r>
        <w:t>I</w:t>
      </w:r>
      <w:r w:rsidR="006501F5">
        <w:t>n Leibniz’s lifetime</w:t>
      </w:r>
      <w:r w:rsidR="00E41514">
        <w:t>,</w:t>
      </w:r>
      <w:r w:rsidR="006501F5">
        <w:t xml:space="preserve"> the reception </w:t>
      </w:r>
      <w:r w:rsidR="00E41514">
        <w:t>of</w:t>
      </w:r>
      <w:r w:rsidR="006501F5">
        <w:t xml:space="preserve"> his</w:t>
      </w:r>
      <w:r w:rsidR="004F0017">
        <w:t xml:space="preserve"> </w:t>
      </w:r>
      <w:r w:rsidR="004F0017">
        <w:rPr>
          <w:i/>
        </w:rPr>
        <w:t>Theodicy</w:t>
      </w:r>
      <w:r w:rsidR="004F0017">
        <w:t xml:space="preserve"> </w:t>
      </w:r>
      <w:r w:rsidR="00D64539">
        <w:t xml:space="preserve">(1710) </w:t>
      </w:r>
      <w:r w:rsidR="004F0017">
        <w:t xml:space="preserve">in </w:t>
      </w:r>
      <w:r w:rsidR="006501F5">
        <w:t>France</w:t>
      </w:r>
      <w:r w:rsidR="000D652E">
        <w:t>,</w:t>
      </w:r>
      <w:r w:rsidR="006501F5">
        <w:t xml:space="preserve"> Germany </w:t>
      </w:r>
      <w:r w:rsidR="000D652E">
        <w:t xml:space="preserve">and the Netherlands </w:t>
      </w:r>
      <w:r w:rsidR="006501F5">
        <w:t>was</w:t>
      </w:r>
      <w:r>
        <w:t xml:space="preserve"> generally speaking</w:t>
      </w:r>
      <w:r w:rsidR="006501F5">
        <w:t xml:space="preserve"> a warm one</w:t>
      </w:r>
      <w:r w:rsidR="004F0017">
        <w:t xml:space="preserve">. </w:t>
      </w:r>
      <w:r w:rsidR="00EC125D">
        <w:t>For example, t</w:t>
      </w:r>
      <w:r w:rsidR="006501F5">
        <w:t xml:space="preserve">he book was reviewed </w:t>
      </w:r>
      <w:r w:rsidR="00D52485">
        <w:t xml:space="preserve">quite </w:t>
      </w:r>
      <w:r w:rsidR="006501F5">
        <w:t>sympathetically in key journals</w:t>
      </w:r>
      <w:r w:rsidR="00EC125D">
        <w:t xml:space="preserve"> such as</w:t>
      </w:r>
      <w:r w:rsidR="006501F5">
        <w:t xml:space="preserve"> </w:t>
      </w:r>
      <w:proofErr w:type="spellStart"/>
      <w:r w:rsidR="006501F5" w:rsidRPr="00363F12">
        <w:rPr>
          <w:rFonts w:cs="Times New Roman"/>
          <w:i/>
        </w:rPr>
        <w:t>Nouvelles</w:t>
      </w:r>
      <w:proofErr w:type="spellEnd"/>
      <w:r w:rsidR="006501F5" w:rsidRPr="00363F12">
        <w:rPr>
          <w:rFonts w:cs="Times New Roman"/>
          <w:i/>
        </w:rPr>
        <w:t xml:space="preserve"> de la </w:t>
      </w:r>
      <w:proofErr w:type="spellStart"/>
      <w:r w:rsidR="006501F5" w:rsidRPr="00363F12">
        <w:rPr>
          <w:rFonts w:cs="Times New Roman"/>
          <w:i/>
        </w:rPr>
        <w:t>Republique</w:t>
      </w:r>
      <w:proofErr w:type="spellEnd"/>
      <w:r w:rsidR="006501F5" w:rsidRPr="00363F12">
        <w:rPr>
          <w:rFonts w:cs="Times New Roman"/>
          <w:i/>
        </w:rPr>
        <w:t xml:space="preserve"> des </w:t>
      </w:r>
      <w:proofErr w:type="spellStart"/>
      <w:r w:rsidR="006501F5" w:rsidRPr="00363F12">
        <w:rPr>
          <w:rFonts w:cs="Times New Roman"/>
          <w:i/>
        </w:rPr>
        <w:t>lettres</w:t>
      </w:r>
      <w:proofErr w:type="spellEnd"/>
      <w:r w:rsidR="006501F5">
        <w:rPr>
          <w:rStyle w:val="FootnoteReference"/>
        </w:rPr>
        <w:footnoteReference w:id="1"/>
      </w:r>
      <w:proofErr w:type="gramStart"/>
      <w:r w:rsidR="00060211">
        <w:rPr>
          <w:rFonts w:cs="Times New Roman"/>
        </w:rPr>
        <w:t>,</w:t>
      </w:r>
      <w:proofErr w:type="gramEnd"/>
      <w:r w:rsidR="006501F5">
        <w:t xml:space="preserve"> </w:t>
      </w:r>
      <w:proofErr w:type="spellStart"/>
      <w:r w:rsidR="00CB2442">
        <w:rPr>
          <w:i/>
        </w:rPr>
        <w:t>Mémoires</w:t>
      </w:r>
      <w:proofErr w:type="spellEnd"/>
      <w:r w:rsidR="00CB2442">
        <w:rPr>
          <w:i/>
        </w:rPr>
        <w:t xml:space="preserve"> pour </w:t>
      </w:r>
      <w:proofErr w:type="spellStart"/>
      <w:r w:rsidR="00CB2442">
        <w:rPr>
          <w:i/>
        </w:rPr>
        <w:t>l’</w:t>
      </w:r>
      <w:r w:rsidR="00EC125D" w:rsidRPr="00EC125D">
        <w:rPr>
          <w:i/>
        </w:rPr>
        <w:t>histoire</w:t>
      </w:r>
      <w:proofErr w:type="spellEnd"/>
      <w:r w:rsidR="00EC125D" w:rsidRPr="00EC125D">
        <w:rPr>
          <w:i/>
        </w:rPr>
        <w:t xml:space="preserve"> des sciences &amp; des beaux-arts</w:t>
      </w:r>
      <w:r w:rsidR="00EC125D">
        <w:rPr>
          <w:rStyle w:val="FootnoteReference"/>
        </w:rPr>
        <w:t xml:space="preserve"> </w:t>
      </w:r>
      <w:r w:rsidR="00EC125D">
        <w:rPr>
          <w:rStyle w:val="FootnoteReference"/>
        </w:rPr>
        <w:footnoteReference w:id="2"/>
      </w:r>
      <w:r w:rsidR="00060211">
        <w:rPr>
          <w:rStyle w:val="FootnoteReference"/>
        </w:rPr>
        <w:t>,</w:t>
      </w:r>
      <w:r w:rsidR="00EC125D">
        <w:t xml:space="preserve"> </w:t>
      </w:r>
      <w:r w:rsidR="00D40489">
        <w:t>and</w:t>
      </w:r>
      <w:r w:rsidR="00EC125D">
        <w:t xml:space="preserve"> </w:t>
      </w:r>
      <w:proofErr w:type="spellStart"/>
      <w:r w:rsidR="006501F5" w:rsidRPr="006501F5">
        <w:rPr>
          <w:i/>
        </w:rPr>
        <w:t>Acta</w:t>
      </w:r>
      <w:proofErr w:type="spellEnd"/>
      <w:r w:rsidR="006501F5" w:rsidRPr="006501F5">
        <w:rPr>
          <w:i/>
        </w:rPr>
        <w:t xml:space="preserve"> </w:t>
      </w:r>
      <w:proofErr w:type="spellStart"/>
      <w:r w:rsidR="006501F5" w:rsidRPr="006501F5">
        <w:rPr>
          <w:i/>
        </w:rPr>
        <w:t>Eruditorum</w:t>
      </w:r>
      <w:proofErr w:type="spellEnd"/>
      <w:r w:rsidR="00950565">
        <w:rPr>
          <w:rStyle w:val="FootnoteReference"/>
        </w:rPr>
        <w:footnoteReference w:id="3"/>
      </w:r>
      <w:r w:rsidR="00060211">
        <w:rPr>
          <w:i/>
        </w:rPr>
        <w:t>.</w:t>
      </w:r>
      <w:r w:rsidR="006501F5">
        <w:t xml:space="preserve"> Moreover, </w:t>
      </w:r>
      <w:r w:rsidR="000A75C4">
        <w:t xml:space="preserve">the </w:t>
      </w:r>
      <w:r w:rsidR="000A75C4">
        <w:rPr>
          <w:i/>
        </w:rPr>
        <w:t>Theodicy</w:t>
      </w:r>
      <w:r w:rsidR="006501F5">
        <w:t xml:space="preserve"> </w:t>
      </w:r>
      <w:r w:rsidR="008016BE">
        <w:t>garnered</w:t>
      </w:r>
      <w:r w:rsidR="006501F5">
        <w:t xml:space="preserve"> </w:t>
      </w:r>
      <w:r w:rsidR="008016BE">
        <w:t>considerable</w:t>
      </w:r>
      <w:r w:rsidR="006501F5">
        <w:t xml:space="preserve"> praise from </w:t>
      </w:r>
      <w:r w:rsidR="00CF22A5">
        <w:t xml:space="preserve">a number of learned </w:t>
      </w:r>
      <w:r w:rsidR="00D52485">
        <w:t xml:space="preserve">figures </w:t>
      </w:r>
      <w:r w:rsidR="008016BE">
        <w:t>across the continent</w:t>
      </w:r>
      <w:r w:rsidR="000A75C4">
        <w:t>, including</w:t>
      </w:r>
      <w:r w:rsidR="006501F5">
        <w:t xml:space="preserve"> Louis </w:t>
      </w:r>
      <w:proofErr w:type="spellStart"/>
      <w:r w:rsidR="006501F5">
        <w:t>Bourguet</w:t>
      </w:r>
      <w:proofErr w:type="spellEnd"/>
      <w:r w:rsidR="000A75C4">
        <w:rPr>
          <w:rStyle w:val="FootnoteReference"/>
        </w:rPr>
        <w:footnoteReference w:id="4"/>
      </w:r>
      <w:r w:rsidR="00060211">
        <w:t>,</w:t>
      </w:r>
      <w:r w:rsidR="006501F5">
        <w:t xml:space="preserve"> Nicolas Malebranche</w:t>
      </w:r>
      <w:r w:rsidR="000A75C4">
        <w:rPr>
          <w:rStyle w:val="FootnoteReference"/>
        </w:rPr>
        <w:footnoteReference w:id="5"/>
      </w:r>
      <w:r w:rsidR="00060211">
        <w:t>,</w:t>
      </w:r>
      <w:r w:rsidR="006501F5">
        <w:t xml:space="preserve"> and </w:t>
      </w:r>
      <w:r w:rsidR="003518A0">
        <w:t>Bartholomew des Bosses</w:t>
      </w:r>
      <w:r w:rsidR="000A75C4">
        <w:rPr>
          <w:rStyle w:val="FootnoteReference"/>
        </w:rPr>
        <w:footnoteReference w:id="6"/>
      </w:r>
      <w:r w:rsidR="00060211">
        <w:t>,</w:t>
      </w:r>
      <w:r w:rsidR="006501F5">
        <w:t xml:space="preserve"> </w:t>
      </w:r>
      <w:r w:rsidR="00547C36">
        <w:lastRenderedPageBreak/>
        <w:t xml:space="preserve">with the latter even preparing a Latin translation </w:t>
      </w:r>
      <w:r w:rsidR="00B31B71">
        <w:t xml:space="preserve">from the original French </w:t>
      </w:r>
      <w:r w:rsidR="00547C36">
        <w:t xml:space="preserve">to ensure the book enjoyed an even wider reach. </w:t>
      </w:r>
      <w:r w:rsidR="007E0899">
        <w:t>Meanwhile, t</w:t>
      </w:r>
      <w:r w:rsidR="006501F5">
        <w:t xml:space="preserve">he </w:t>
      </w:r>
      <w:r w:rsidR="00DF74B2">
        <w:t>broadly</w:t>
      </w:r>
      <w:r w:rsidR="006501F5">
        <w:t xml:space="preserve"> positive response from </w:t>
      </w:r>
      <w:r w:rsidR="00D52485">
        <w:t>members of</w:t>
      </w:r>
      <w:r w:rsidR="00DF74B2">
        <w:t xml:space="preserve"> the </w:t>
      </w:r>
      <w:r w:rsidR="007E0899">
        <w:t xml:space="preserve">main religions of continental Europe, namely the </w:t>
      </w:r>
      <w:r w:rsidR="006501F5" w:rsidRPr="00363F12">
        <w:rPr>
          <w:rFonts w:cs="Times New Roman"/>
        </w:rPr>
        <w:t>Lutheran, Calvinist and Catholic</w:t>
      </w:r>
      <w:r w:rsidR="006501F5">
        <w:rPr>
          <w:rFonts w:cs="Times New Roman"/>
        </w:rPr>
        <w:t xml:space="preserve">, led Leibniz to exclaim in 1712 that the </w:t>
      </w:r>
      <w:r w:rsidR="006501F5">
        <w:rPr>
          <w:rFonts w:cs="Times New Roman"/>
          <w:i/>
        </w:rPr>
        <w:t>Theodicy</w:t>
      </w:r>
      <w:r w:rsidR="006501F5">
        <w:rPr>
          <w:rFonts w:cs="Times New Roman"/>
        </w:rPr>
        <w:t xml:space="preserve"> </w:t>
      </w:r>
      <w:r w:rsidR="006501F5" w:rsidRPr="00363F12">
        <w:rPr>
          <w:rFonts w:cs="Times New Roman"/>
        </w:rPr>
        <w:t xml:space="preserve">“is accepted by theologians of the three religions of the empire, with greater </w:t>
      </w:r>
      <w:r w:rsidR="006501F5">
        <w:rPr>
          <w:rFonts w:cs="Times New Roman"/>
        </w:rPr>
        <w:t>applause than I was expecting”</w:t>
      </w:r>
      <w:r w:rsidR="006501F5">
        <w:rPr>
          <w:rStyle w:val="FootnoteReference"/>
          <w:rFonts w:cs="Times New Roman"/>
        </w:rPr>
        <w:footnoteReference w:id="7"/>
      </w:r>
      <w:r w:rsidR="00060211">
        <w:rPr>
          <w:rFonts w:cs="Times New Roman"/>
        </w:rPr>
        <w:t>.</w:t>
      </w:r>
    </w:p>
    <w:p w:rsidR="009F5659" w:rsidRDefault="00EC125D" w:rsidP="00594E81">
      <w:pPr>
        <w:spacing w:line="480" w:lineRule="auto"/>
        <w:ind w:firstLine="720"/>
        <w:rPr>
          <w:bCs/>
          <w:szCs w:val="24"/>
        </w:rPr>
      </w:pPr>
      <w:r>
        <w:rPr>
          <w:rFonts w:cs="Times New Roman"/>
        </w:rPr>
        <w:t xml:space="preserve">What, though, of its </w:t>
      </w:r>
      <w:r w:rsidR="007619EB">
        <w:rPr>
          <w:rFonts w:cs="Times New Roman"/>
        </w:rPr>
        <w:t>reception</w:t>
      </w:r>
      <w:r>
        <w:rPr>
          <w:rFonts w:cs="Times New Roman"/>
        </w:rPr>
        <w:t xml:space="preserve"> in England</w:t>
      </w:r>
      <w:r w:rsidR="00E41514">
        <w:rPr>
          <w:rFonts w:cs="Times New Roman"/>
        </w:rPr>
        <w:t xml:space="preserve"> during Leibniz’s lifetime</w:t>
      </w:r>
      <w:r w:rsidR="000363F4">
        <w:rPr>
          <w:rFonts w:cs="Times New Roman"/>
        </w:rPr>
        <w:t>?</w:t>
      </w:r>
      <w:r w:rsidR="00D52485">
        <w:rPr>
          <w:rFonts w:cs="Times New Roman"/>
        </w:rPr>
        <w:t xml:space="preserve"> </w:t>
      </w:r>
      <w:r w:rsidR="003C7757">
        <w:rPr>
          <w:rFonts w:cs="Times New Roman"/>
        </w:rPr>
        <w:t xml:space="preserve">This is the question with which we shall be concerned in this paper. </w:t>
      </w:r>
      <w:r w:rsidR="009F5659">
        <w:rPr>
          <w:rFonts w:cs="Times New Roman"/>
        </w:rPr>
        <w:t xml:space="preserve">As we shall see, </w:t>
      </w:r>
      <w:r w:rsidR="003C7757">
        <w:rPr>
          <w:bCs/>
          <w:sz w:val="23"/>
          <w:szCs w:val="23"/>
        </w:rPr>
        <w:t>the response in England</w:t>
      </w:r>
      <w:r w:rsidR="009F5659">
        <w:t xml:space="preserve"> was mixed, for while </w:t>
      </w:r>
      <w:r w:rsidR="009B12ED">
        <w:t xml:space="preserve">the </w:t>
      </w:r>
      <w:r w:rsidR="009B12ED">
        <w:rPr>
          <w:i/>
        </w:rPr>
        <w:t>Theodicy</w:t>
      </w:r>
      <w:r w:rsidR="009F5659">
        <w:t xml:space="preserve"> received positive reports in the journals, the reaction from key individuals was </w:t>
      </w:r>
      <w:r w:rsidR="00D64539">
        <w:t>more</w:t>
      </w:r>
      <w:r w:rsidR="009F5659">
        <w:t xml:space="preserve"> lukewarm. </w:t>
      </w:r>
      <w:r w:rsidR="00356CD5">
        <w:rPr>
          <w:rFonts w:cs="Times New Roman"/>
        </w:rPr>
        <w:t xml:space="preserve">When </w:t>
      </w:r>
      <w:r w:rsidR="00D64539">
        <w:rPr>
          <w:rFonts w:cs="Times New Roman"/>
        </w:rPr>
        <w:t>assess</w:t>
      </w:r>
      <w:r w:rsidR="00FB6E6F">
        <w:rPr>
          <w:rFonts w:cs="Times New Roman"/>
        </w:rPr>
        <w:t>ing</w:t>
      </w:r>
      <w:r w:rsidR="00356CD5">
        <w:rPr>
          <w:rFonts w:cs="Times New Roman"/>
        </w:rPr>
        <w:t xml:space="preserve"> the reception of the </w:t>
      </w:r>
      <w:r w:rsidR="00356CD5">
        <w:rPr>
          <w:rFonts w:cs="Times New Roman"/>
          <w:i/>
        </w:rPr>
        <w:t>Theodicy</w:t>
      </w:r>
      <w:r w:rsidR="00356CD5">
        <w:rPr>
          <w:rFonts w:cs="Times New Roman"/>
        </w:rPr>
        <w:t xml:space="preserve"> in England it is worth bearing in mind that</w:t>
      </w:r>
      <w:r w:rsidR="003C6168">
        <w:rPr>
          <w:rFonts w:cs="Times New Roman"/>
        </w:rPr>
        <w:t xml:space="preserve"> </w:t>
      </w:r>
      <w:r w:rsidR="00356CD5">
        <w:rPr>
          <w:rFonts w:cs="Times New Roman"/>
        </w:rPr>
        <w:t>there were</w:t>
      </w:r>
      <w:r w:rsidR="003C6168">
        <w:rPr>
          <w:rFonts w:cs="Times New Roman"/>
        </w:rPr>
        <w:t xml:space="preserve"> factors present </w:t>
      </w:r>
      <w:r w:rsidR="00356CD5">
        <w:rPr>
          <w:rFonts w:cs="Times New Roman"/>
        </w:rPr>
        <w:t xml:space="preserve">in England that were absent </w:t>
      </w:r>
      <w:r w:rsidR="003C6168">
        <w:rPr>
          <w:rFonts w:cs="Times New Roman"/>
        </w:rPr>
        <w:t xml:space="preserve">elsewhere in Europe. For example, the </w:t>
      </w:r>
      <w:r w:rsidR="003C6168">
        <w:rPr>
          <w:rFonts w:cs="Times New Roman"/>
          <w:i/>
        </w:rPr>
        <w:t>Theodicy</w:t>
      </w:r>
      <w:r w:rsidR="003C6168">
        <w:rPr>
          <w:rFonts w:cs="Times New Roman"/>
        </w:rPr>
        <w:t xml:space="preserve"> contained a lengthy appendix (“</w:t>
      </w:r>
      <w:proofErr w:type="spellStart"/>
      <w:r w:rsidR="003C6168" w:rsidRPr="003A65CA">
        <w:rPr>
          <w:rFonts w:cs="Times New Roman"/>
        </w:rPr>
        <w:t>Remarques</w:t>
      </w:r>
      <w:proofErr w:type="spellEnd"/>
      <w:r w:rsidR="003C6168" w:rsidRPr="003A65CA">
        <w:rPr>
          <w:rFonts w:cs="Times New Roman"/>
        </w:rPr>
        <w:t xml:space="preserve"> </w:t>
      </w:r>
      <w:proofErr w:type="spellStart"/>
      <w:r w:rsidR="003C6168" w:rsidRPr="003A65CA">
        <w:rPr>
          <w:rFonts w:cs="Times New Roman"/>
        </w:rPr>
        <w:t>sur</w:t>
      </w:r>
      <w:proofErr w:type="spellEnd"/>
      <w:r w:rsidR="003C6168" w:rsidRPr="003A65CA">
        <w:rPr>
          <w:rFonts w:cs="Times New Roman"/>
        </w:rPr>
        <w:t xml:space="preserve"> le </w:t>
      </w:r>
      <w:proofErr w:type="spellStart"/>
      <w:r w:rsidR="003C6168" w:rsidRPr="003A65CA">
        <w:rPr>
          <w:rFonts w:cs="Times New Roman"/>
        </w:rPr>
        <w:t>livre</w:t>
      </w:r>
      <w:proofErr w:type="spellEnd"/>
      <w:r w:rsidR="003C6168" w:rsidRPr="003A65CA">
        <w:rPr>
          <w:rFonts w:cs="Times New Roman"/>
        </w:rPr>
        <w:t xml:space="preserve"> de </w:t>
      </w:r>
      <w:proofErr w:type="spellStart"/>
      <w:r w:rsidR="003C6168" w:rsidRPr="003A65CA">
        <w:rPr>
          <w:rFonts w:cs="Times New Roman"/>
        </w:rPr>
        <w:t>l</w:t>
      </w:r>
      <w:r w:rsidR="003C6168">
        <w:rPr>
          <w:rFonts w:cs="Times New Roman"/>
        </w:rPr>
        <w:t>’</w:t>
      </w:r>
      <w:r w:rsidR="003C6168" w:rsidRPr="003A65CA">
        <w:rPr>
          <w:rFonts w:cs="Times New Roman"/>
        </w:rPr>
        <w:t>Origine</w:t>
      </w:r>
      <w:proofErr w:type="spellEnd"/>
      <w:r w:rsidR="003C6168" w:rsidRPr="003A65CA">
        <w:rPr>
          <w:rFonts w:cs="Times New Roman"/>
        </w:rPr>
        <w:t xml:space="preserve"> du mal, </w:t>
      </w:r>
      <w:proofErr w:type="spellStart"/>
      <w:r w:rsidR="003C6168" w:rsidRPr="003A65CA">
        <w:rPr>
          <w:rFonts w:cs="Times New Roman"/>
        </w:rPr>
        <w:t>publi</w:t>
      </w:r>
      <w:r w:rsidR="003C6168">
        <w:rPr>
          <w:rFonts w:cs="Times New Roman"/>
        </w:rPr>
        <w:t>é</w:t>
      </w:r>
      <w:proofErr w:type="spellEnd"/>
      <w:r w:rsidR="003C6168" w:rsidRPr="003A65CA">
        <w:rPr>
          <w:rFonts w:cs="Times New Roman"/>
        </w:rPr>
        <w:t xml:space="preserve"> </w:t>
      </w:r>
      <w:proofErr w:type="spellStart"/>
      <w:r w:rsidR="003C6168" w:rsidRPr="003A65CA">
        <w:rPr>
          <w:rFonts w:cs="Times New Roman"/>
        </w:rPr>
        <w:t>depuis</w:t>
      </w:r>
      <w:proofErr w:type="spellEnd"/>
      <w:r w:rsidR="003C6168" w:rsidRPr="003A65CA">
        <w:rPr>
          <w:rFonts w:cs="Times New Roman"/>
        </w:rPr>
        <w:t xml:space="preserve"> </w:t>
      </w:r>
      <w:proofErr w:type="spellStart"/>
      <w:r w:rsidR="003C6168" w:rsidRPr="003A65CA">
        <w:rPr>
          <w:rFonts w:cs="Times New Roman"/>
        </w:rPr>
        <w:t>peu</w:t>
      </w:r>
      <w:proofErr w:type="spellEnd"/>
      <w:r w:rsidR="003C6168" w:rsidRPr="003A65CA">
        <w:rPr>
          <w:rFonts w:cs="Times New Roman"/>
        </w:rPr>
        <w:t xml:space="preserve"> en </w:t>
      </w:r>
      <w:proofErr w:type="spellStart"/>
      <w:r w:rsidR="003C6168" w:rsidRPr="003A65CA">
        <w:rPr>
          <w:rFonts w:cs="Times New Roman"/>
        </w:rPr>
        <w:t>Angleterre</w:t>
      </w:r>
      <w:proofErr w:type="spellEnd"/>
      <w:r w:rsidR="003C6168">
        <w:rPr>
          <w:rFonts w:cs="Times New Roman"/>
        </w:rPr>
        <w:t xml:space="preserve">”) devoted to a critical examination of </w:t>
      </w:r>
      <w:r w:rsidR="003C6168">
        <w:rPr>
          <w:rFonts w:cs="Times New Roman"/>
          <w:i/>
        </w:rPr>
        <w:t xml:space="preserve">De </w:t>
      </w:r>
      <w:proofErr w:type="spellStart"/>
      <w:r w:rsidR="003C6168">
        <w:rPr>
          <w:rFonts w:cs="Times New Roman"/>
          <w:i/>
        </w:rPr>
        <w:t>origine</w:t>
      </w:r>
      <w:proofErr w:type="spellEnd"/>
      <w:r w:rsidR="003C6168">
        <w:rPr>
          <w:rFonts w:cs="Times New Roman"/>
          <w:i/>
        </w:rPr>
        <w:t xml:space="preserve"> </w:t>
      </w:r>
      <w:proofErr w:type="spellStart"/>
      <w:proofErr w:type="gramStart"/>
      <w:r w:rsidR="003C6168">
        <w:rPr>
          <w:rFonts w:cs="Times New Roman"/>
          <w:i/>
        </w:rPr>
        <w:t>mali</w:t>
      </w:r>
      <w:proofErr w:type="spellEnd"/>
      <w:proofErr w:type="gramEnd"/>
      <w:r w:rsidR="003C6168">
        <w:rPr>
          <w:rFonts w:cs="Times New Roman"/>
        </w:rPr>
        <w:t xml:space="preserve"> (1702) by William King, the Archbishop of Dublin</w:t>
      </w:r>
      <w:r w:rsidR="003C6168">
        <w:rPr>
          <w:rStyle w:val="FootnoteReference"/>
          <w:rFonts w:cs="Times New Roman"/>
        </w:rPr>
        <w:footnoteReference w:id="8"/>
      </w:r>
      <w:r w:rsidR="00060211">
        <w:rPr>
          <w:rFonts w:cs="Times New Roman"/>
        </w:rPr>
        <w:t>.</w:t>
      </w:r>
      <w:r w:rsidR="003C6168">
        <w:rPr>
          <w:rFonts w:cs="Times New Roman"/>
        </w:rPr>
        <w:t xml:space="preserve"> Leibniz was </w:t>
      </w:r>
      <w:r w:rsidR="00CE7AA8">
        <w:rPr>
          <w:rFonts w:cs="Times New Roman"/>
        </w:rPr>
        <w:t xml:space="preserve">himself </w:t>
      </w:r>
      <w:r w:rsidR="003C6168">
        <w:t xml:space="preserve">concerned that his </w:t>
      </w:r>
      <w:r w:rsidR="00CE7AA8">
        <w:t>criticisms of</w:t>
      </w:r>
      <w:r w:rsidR="003C6168">
        <w:t xml:space="preserve"> the work of a senior </w:t>
      </w:r>
      <w:r w:rsidR="003C6168">
        <w:lastRenderedPageBreak/>
        <w:t xml:space="preserve">Anglican figure </w:t>
      </w:r>
      <w:r w:rsidR="000D78D4">
        <w:t>had the potential to</w:t>
      </w:r>
      <w:r w:rsidR="003C6168">
        <w:t xml:space="preserve"> </w:t>
      </w:r>
      <w:r w:rsidR="009B12ED">
        <w:t>harm</w:t>
      </w:r>
      <w:r w:rsidR="003C6168">
        <w:t xml:space="preserve"> the</w:t>
      </w:r>
      <w:r w:rsidR="009B12ED">
        <w:t xml:space="preserve"> reception of the</w:t>
      </w:r>
      <w:r w:rsidR="003C6168">
        <w:t xml:space="preserve"> </w:t>
      </w:r>
      <w:r w:rsidR="003C6168">
        <w:rPr>
          <w:i/>
        </w:rPr>
        <w:t>Theodicy</w:t>
      </w:r>
      <w:r w:rsidR="003C6168">
        <w:t xml:space="preserve"> in England</w:t>
      </w:r>
      <w:r w:rsidR="003C6168">
        <w:rPr>
          <w:rStyle w:val="FootnoteReference"/>
        </w:rPr>
        <w:footnoteReference w:id="9"/>
      </w:r>
      <w:r w:rsidR="00060211">
        <w:t>.</w:t>
      </w:r>
      <w:r w:rsidR="003C6168">
        <w:rPr>
          <w:rFonts w:cs="Times New Roman"/>
        </w:rPr>
        <w:t xml:space="preserve"> Moreover, in the final years of his life, Leibniz’s reputation in England was severely damaged by</w:t>
      </w:r>
      <w:r w:rsidR="003C6168">
        <w:rPr>
          <w:bCs/>
          <w:szCs w:val="24"/>
        </w:rPr>
        <w:t xml:space="preserve"> the priority dispute with Sir Isaac Newton </w:t>
      </w:r>
      <w:r w:rsidR="003C6168">
        <w:rPr>
          <w:rFonts w:cs="Times New Roman"/>
        </w:rPr>
        <w:t>over the invention of the calculus</w:t>
      </w:r>
      <w:r w:rsidR="003C6168">
        <w:rPr>
          <w:bCs/>
          <w:szCs w:val="24"/>
        </w:rPr>
        <w:t>. This led in 1712 to Leibniz’s condemnation as a plagiarist at the hands of Newton and the Royal Society (of which Newton was President), and thereafter to a bitter exchange of letters and pamphlets, the content and tone of which did little to help Leibniz’s cause</w:t>
      </w:r>
      <w:r w:rsidR="00B31B71">
        <w:rPr>
          <w:bCs/>
          <w:szCs w:val="24"/>
        </w:rPr>
        <w:t xml:space="preserve"> in England</w:t>
      </w:r>
      <w:r w:rsidR="003C6168">
        <w:rPr>
          <w:bCs/>
          <w:szCs w:val="24"/>
        </w:rPr>
        <w:t>.</w:t>
      </w:r>
      <w:r w:rsidR="00D520BB">
        <w:rPr>
          <w:bCs/>
          <w:szCs w:val="24"/>
        </w:rPr>
        <w:t xml:space="preserve"> </w:t>
      </w:r>
      <w:r w:rsidR="003A604E">
        <w:rPr>
          <w:bCs/>
          <w:szCs w:val="24"/>
        </w:rPr>
        <w:t xml:space="preserve">Nor, arguably, did </w:t>
      </w:r>
      <w:r w:rsidR="00B31B71">
        <w:rPr>
          <w:bCs/>
          <w:szCs w:val="24"/>
        </w:rPr>
        <w:t>Leibniz’s</w:t>
      </w:r>
      <w:r w:rsidR="003A604E">
        <w:rPr>
          <w:bCs/>
          <w:szCs w:val="24"/>
        </w:rPr>
        <w:t xml:space="preserve"> fractious </w:t>
      </w:r>
      <w:r w:rsidR="00D520BB">
        <w:rPr>
          <w:rFonts w:cs="Times New Roman"/>
          <w:szCs w:val="24"/>
        </w:rPr>
        <w:t xml:space="preserve">exchanges with </w:t>
      </w:r>
      <w:r w:rsidR="003A604E">
        <w:rPr>
          <w:rFonts w:cs="Times New Roman"/>
          <w:szCs w:val="24"/>
        </w:rPr>
        <w:t xml:space="preserve">Newton’s friend and associate, </w:t>
      </w:r>
      <w:r w:rsidR="00D520BB">
        <w:rPr>
          <w:rFonts w:cs="Times New Roman"/>
          <w:szCs w:val="24"/>
        </w:rPr>
        <w:t xml:space="preserve">Samuel </w:t>
      </w:r>
      <w:r w:rsidR="00D520BB">
        <w:t>Clarke</w:t>
      </w:r>
      <w:r w:rsidR="003A604E">
        <w:t>, in 1715 and 1716</w:t>
      </w:r>
      <w:r w:rsidR="00D520BB">
        <w:t xml:space="preserve">. </w:t>
      </w:r>
      <w:r w:rsidR="003A604E">
        <w:t>(I note in passing that t</w:t>
      </w:r>
      <w:r w:rsidR="00D520BB">
        <w:t xml:space="preserve">he </w:t>
      </w:r>
      <w:r w:rsidR="00D520BB">
        <w:rPr>
          <w:i/>
        </w:rPr>
        <w:t>Theodicy</w:t>
      </w:r>
      <w:r w:rsidR="00D520BB">
        <w:t xml:space="preserve"> looms large over the Leibniz-Clarke correspondence</w:t>
      </w:r>
      <w:r w:rsidR="003A604E">
        <w:rPr>
          <w:rStyle w:val="FootnoteReference"/>
        </w:rPr>
        <w:footnoteReference w:id="10"/>
      </w:r>
      <w:r w:rsidR="00060211">
        <w:t>,</w:t>
      </w:r>
      <w:r w:rsidR="00D520BB">
        <w:t xml:space="preserve"> </w:t>
      </w:r>
      <w:r w:rsidR="003A604E">
        <w:t>for i</w:t>
      </w:r>
      <w:r w:rsidR="00D520BB">
        <w:t xml:space="preserve">n the ten letters, five on each side, the </w:t>
      </w:r>
      <w:r w:rsidR="00D520BB">
        <w:rPr>
          <w:i/>
        </w:rPr>
        <w:t>Theodicy</w:t>
      </w:r>
      <w:r w:rsidR="00D520BB">
        <w:t xml:space="preserve"> is explicitly mentioned </w:t>
      </w:r>
      <w:r w:rsidR="00D520BB" w:rsidRPr="000F4056">
        <w:t>nine</w:t>
      </w:r>
      <w:r w:rsidR="003A604E">
        <w:t xml:space="preserve"> times. On each occasion</w:t>
      </w:r>
      <w:r w:rsidR="00D520BB">
        <w:t xml:space="preserve"> it is Leibniz who mentions it</w:t>
      </w:r>
      <w:r w:rsidR="00D520BB">
        <w:rPr>
          <w:rStyle w:val="FootnoteReference"/>
        </w:rPr>
        <w:footnoteReference w:id="11"/>
      </w:r>
      <w:r w:rsidR="00060211">
        <w:t>;</w:t>
      </w:r>
      <w:r w:rsidR="00D520BB">
        <w:t xml:space="preserve"> Clarke does not </w:t>
      </w:r>
      <w:r w:rsidR="00D520BB">
        <w:lastRenderedPageBreak/>
        <w:t>mention the</w:t>
      </w:r>
      <w:r w:rsidR="003A604E">
        <w:t xml:space="preserve"> book</w:t>
      </w:r>
      <w:r w:rsidR="00D520BB">
        <w:t xml:space="preserve"> at all</w:t>
      </w:r>
      <w:r w:rsidR="00D520BB">
        <w:rPr>
          <w:rStyle w:val="FootnoteReference"/>
        </w:rPr>
        <w:footnoteReference w:id="12"/>
      </w:r>
      <w:r w:rsidR="00060211">
        <w:t>,</w:t>
      </w:r>
      <w:r w:rsidR="00D520BB">
        <w:t xml:space="preserve"> though some of the references he makes in his letters reveal an acquaintance with it</w:t>
      </w:r>
      <w:r w:rsidR="00D520BB">
        <w:rPr>
          <w:rStyle w:val="FootnoteReference"/>
        </w:rPr>
        <w:footnoteReference w:id="13"/>
      </w:r>
      <w:r w:rsidR="003A604E">
        <w:t>)</w:t>
      </w:r>
      <w:r w:rsidR="00060211">
        <w:t>.</w:t>
      </w:r>
    </w:p>
    <w:p w:rsidR="00BA2846" w:rsidRDefault="008A7929" w:rsidP="00594E81">
      <w:pPr>
        <w:spacing w:line="480" w:lineRule="auto"/>
        <w:ind w:firstLine="720"/>
      </w:pPr>
      <w:r>
        <w:t>But perhaps</w:t>
      </w:r>
      <w:r w:rsidR="001B238E">
        <w:t xml:space="preserve"> an</w:t>
      </w:r>
      <w:r>
        <w:t xml:space="preserve"> even more </w:t>
      </w:r>
      <w:r w:rsidR="001B238E">
        <w:t xml:space="preserve">important factor in the </w:t>
      </w:r>
      <w:r w:rsidR="000D78D4">
        <w:t xml:space="preserve">English </w:t>
      </w:r>
      <w:r w:rsidR="001B238E">
        <w:t xml:space="preserve">reception of the </w:t>
      </w:r>
      <w:r w:rsidR="001B238E">
        <w:rPr>
          <w:i/>
        </w:rPr>
        <w:t>Theodicy</w:t>
      </w:r>
      <w:r w:rsidR="001B238E">
        <w:t xml:space="preserve"> was that, while</w:t>
      </w:r>
      <w:r>
        <w:t xml:space="preserve"> </w:t>
      </w:r>
      <w:r w:rsidR="001B238E">
        <w:t xml:space="preserve">Leibniz could count on a number of </w:t>
      </w:r>
      <w:r>
        <w:t xml:space="preserve">influential supporters </w:t>
      </w:r>
      <w:r w:rsidR="001B238E">
        <w:t>in</w:t>
      </w:r>
      <w:r>
        <w:t xml:space="preserve"> France, Germany, and the Netherlands</w:t>
      </w:r>
      <w:r w:rsidR="001B238E">
        <w:t xml:space="preserve">, </w:t>
      </w:r>
      <w:r w:rsidR="00FB6E6F">
        <w:t>the same was not true</w:t>
      </w:r>
      <w:r w:rsidR="001B238E">
        <w:t xml:space="preserve"> in </w:t>
      </w:r>
      <w:r w:rsidR="00902262">
        <w:t xml:space="preserve">England. This </w:t>
      </w:r>
      <w:r w:rsidR="000D78D4">
        <w:t>is clear</w:t>
      </w:r>
      <w:r w:rsidR="00902262">
        <w:t xml:space="preserve"> from how and to whom the book </w:t>
      </w:r>
      <w:r w:rsidR="00E162A6">
        <w:t>was</w:t>
      </w:r>
      <w:r w:rsidR="00902262">
        <w:t xml:space="preserve"> distributed</w:t>
      </w:r>
      <w:r w:rsidR="009B12ED">
        <w:t xml:space="preserve"> there</w:t>
      </w:r>
      <w:r w:rsidR="00902262">
        <w:t xml:space="preserve">. </w:t>
      </w:r>
      <w:r w:rsidR="00E162A6">
        <w:t>Shortly before</w:t>
      </w:r>
      <w:r w:rsidR="00902262">
        <w:t xml:space="preserve"> the publication of</w:t>
      </w:r>
      <w:r w:rsidR="000363F4">
        <w:rPr>
          <w:rFonts w:cs="Times New Roman"/>
        </w:rPr>
        <w:t xml:space="preserve"> </w:t>
      </w:r>
      <w:r w:rsidR="00BA2846">
        <w:t xml:space="preserve">the </w:t>
      </w:r>
      <w:r w:rsidR="00BA2846">
        <w:rPr>
          <w:i/>
        </w:rPr>
        <w:t>Theodicy</w:t>
      </w:r>
      <w:r w:rsidR="009618CB">
        <w:t xml:space="preserve"> </w:t>
      </w:r>
      <w:r w:rsidR="00902262">
        <w:t>Leibniz</w:t>
      </w:r>
      <w:r w:rsidR="00BA2846">
        <w:t xml:space="preserve"> </w:t>
      </w:r>
      <w:r w:rsidR="00BB1278">
        <w:t>took steps</w:t>
      </w:r>
      <w:r w:rsidR="00BA2846">
        <w:t xml:space="preserve"> to </w:t>
      </w:r>
      <w:r w:rsidR="009618CB">
        <w:t xml:space="preserve">ensure it would </w:t>
      </w:r>
      <w:r w:rsidR="00BA2846">
        <w:t>get into the hands of some of England’s intelligentsia</w:t>
      </w:r>
      <w:r w:rsidR="00BB1278">
        <w:t xml:space="preserve">, by instructing </w:t>
      </w:r>
      <w:r w:rsidR="00A36F66">
        <w:t xml:space="preserve">the </w:t>
      </w:r>
      <w:r w:rsidR="00D520BB">
        <w:t xml:space="preserve">book’s </w:t>
      </w:r>
      <w:r w:rsidR="00A36F66">
        <w:t xml:space="preserve">printer, </w:t>
      </w:r>
      <w:proofErr w:type="spellStart"/>
      <w:r w:rsidR="00A36F66">
        <w:t>Issac</w:t>
      </w:r>
      <w:proofErr w:type="spellEnd"/>
      <w:r w:rsidR="00A36F66">
        <w:t xml:space="preserve"> </w:t>
      </w:r>
      <w:proofErr w:type="spellStart"/>
      <w:r w:rsidR="00A36F66">
        <w:t>Troyel</w:t>
      </w:r>
      <w:proofErr w:type="spellEnd"/>
      <w:r w:rsidR="00A36F66">
        <w:t xml:space="preserve">, to send copies to </w:t>
      </w:r>
      <w:r w:rsidR="00902262">
        <w:t xml:space="preserve">Thomas Burnett, John </w:t>
      </w:r>
      <w:proofErr w:type="spellStart"/>
      <w:r w:rsidR="00902262">
        <w:t>Toland</w:t>
      </w:r>
      <w:proofErr w:type="spellEnd"/>
      <w:r w:rsidR="00902262">
        <w:t xml:space="preserve">, and </w:t>
      </w:r>
      <w:r w:rsidR="00A36F66">
        <w:t>Gilbert Burnet</w:t>
      </w:r>
      <w:r w:rsidR="00902262">
        <w:t>, the Bishop of Salisbury</w:t>
      </w:r>
      <w:r w:rsidR="00A36F66">
        <w:rPr>
          <w:rStyle w:val="FootnoteReference"/>
        </w:rPr>
        <w:footnoteReference w:id="14"/>
      </w:r>
      <w:r w:rsidR="00060211">
        <w:t>.</w:t>
      </w:r>
      <w:r w:rsidR="00A36F66">
        <w:t xml:space="preserve"> </w:t>
      </w:r>
      <w:r w:rsidR="00902262">
        <w:t xml:space="preserve">All were long-time acquaintances and correspondents of Leibniz’s; however, neither Burnett nor </w:t>
      </w:r>
      <w:proofErr w:type="spellStart"/>
      <w:r w:rsidR="00902262">
        <w:t>Toland</w:t>
      </w:r>
      <w:proofErr w:type="spellEnd"/>
      <w:r w:rsidR="00902262">
        <w:t xml:space="preserve"> could be considered </w:t>
      </w:r>
      <w:r w:rsidR="00730586">
        <w:t xml:space="preserve">especially </w:t>
      </w:r>
      <w:r w:rsidR="00902262">
        <w:t xml:space="preserve">influential (indeed, </w:t>
      </w:r>
      <w:proofErr w:type="spellStart"/>
      <w:r w:rsidR="00902262">
        <w:t>Toland</w:t>
      </w:r>
      <w:proofErr w:type="spellEnd"/>
      <w:r w:rsidR="00902262">
        <w:t xml:space="preserve"> was largely marginalised in England for his perceived atheist views), and </w:t>
      </w:r>
      <w:r w:rsidR="00461350">
        <w:t>while Burnet surely was influential, his</w:t>
      </w:r>
      <w:r w:rsidR="00902262">
        <w:t xml:space="preserve"> correspondence with </w:t>
      </w:r>
      <w:r w:rsidR="00461350">
        <w:t>Leibniz</w:t>
      </w:r>
      <w:r w:rsidR="00902262">
        <w:t xml:space="preserve"> had </w:t>
      </w:r>
      <w:r w:rsidR="00461350">
        <w:t>ended</w:t>
      </w:r>
      <w:r w:rsidR="00902262">
        <w:t xml:space="preserve"> four years earlier, in 1706</w:t>
      </w:r>
      <w:r w:rsidR="000A0A25">
        <w:t>, so his favours could scarcely be relied upon</w:t>
      </w:r>
      <w:r w:rsidR="00902262">
        <w:t>.</w:t>
      </w:r>
      <w:r w:rsidR="000A0A25">
        <w:t xml:space="preserve"> Leibniz’s list of </w:t>
      </w:r>
      <w:r w:rsidR="009B12ED">
        <w:t>English</w:t>
      </w:r>
      <w:r w:rsidR="000A0A25">
        <w:t xml:space="preserve"> recipients of the </w:t>
      </w:r>
      <w:r w:rsidR="000A0A25">
        <w:rPr>
          <w:i/>
        </w:rPr>
        <w:t>Theodicy</w:t>
      </w:r>
      <w:r w:rsidR="000A0A25">
        <w:t xml:space="preserve"> </w:t>
      </w:r>
      <w:r w:rsidR="000D78D4">
        <w:t xml:space="preserve">is </w:t>
      </w:r>
      <w:r w:rsidR="0030498A">
        <w:t>in fact rather</w:t>
      </w:r>
      <w:r w:rsidR="000D78D4">
        <w:t xml:space="preserve"> pitiable </w:t>
      </w:r>
      <w:r w:rsidR="000A0A25">
        <w:t>compare</w:t>
      </w:r>
      <w:r w:rsidR="000D78D4">
        <w:t>d</w:t>
      </w:r>
      <w:r w:rsidR="000A0A25">
        <w:t xml:space="preserve"> with </w:t>
      </w:r>
      <w:r w:rsidR="000D78D4">
        <w:t>his</w:t>
      </w:r>
      <w:r w:rsidR="000A0A25">
        <w:t xml:space="preserve"> list of </w:t>
      </w:r>
      <w:r w:rsidR="009B12ED">
        <w:t>French</w:t>
      </w:r>
      <w:r w:rsidR="000A0A25">
        <w:t xml:space="preserve"> recipients, which included royalty (</w:t>
      </w:r>
      <w:r w:rsidR="000A0A25" w:rsidRPr="00363F12">
        <w:rPr>
          <w:rFonts w:cs="Times New Roman"/>
        </w:rPr>
        <w:t>the Dauphin, the Duke of Orleans</w:t>
      </w:r>
      <w:r w:rsidR="000A0A25">
        <w:rPr>
          <w:rFonts w:cs="Times New Roman"/>
        </w:rPr>
        <w:t>)</w:t>
      </w:r>
      <w:r w:rsidR="000A0A25" w:rsidRPr="00363F12">
        <w:rPr>
          <w:rFonts w:cs="Times New Roman"/>
        </w:rPr>
        <w:t xml:space="preserve">, </w:t>
      </w:r>
      <w:r w:rsidR="000A0A25">
        <w:rPr>
          <w:rFonts w:cs="Times New Roman"/>
        </w:rPr>
        <w:t xml:space="preserve">key journal editors </w:t>
      </w:r>
      <w:r w:rsidR="000A0A25">
        <w:rPr>
          <w:rFonts w:cs="Times New Roman"/>
        </w:rPr>
        <w:lastRenderedPageBreak/>
        <w:t>(</w:t>
      </w:r>
      <w:proofErr w:type="spellStart"/>
      <w:r w:rsidR="000A0A25" w:rsidRPr="00363F12">
        <w:rPr>
          <w:rFonts w:cs="Times New Roman"/>
        </w:rPr>
        <w:t>Abbé</w:t>
      </w:r>
      <w:proofErr w:type="spellEnd"/>
      <w:r w:rsidR="000A0A25" w:rsidRPr="00363F12">
        <w:rPr>
          <w:rFonts w:cs="Times New Roman"/>
        </w:rPr>
        <w:t xml:space="preserve"> </w:t>
      </w:r>
      <w:proofErr w:type="spellStart"/>
      <w:r w:rsidR="000A0A25" w:rsidRPr="00363F12">
        <w:rPr>
          <w:rFonts w:cs="Times New Roman"/>
        </w:rPr>
        <w:t>Bignon</w:t>
      </w:r>
      <w:proofErr w:type="spellEnd"/>
      <w:r w:rsidR="000A0A25">
        <w:rPr>
          <w:rFonts w:cs="Times New Roman"/>
        </w:rPr>
        <w:t xml:space="preserve">, Bernard le </w:t>
      </w:r>
      <w:proofErr w:type="spellStart"/>
      <w:r w:rsidR="000A0A25">
        <w:rPr>
          <w:rFonts w:cs="Times New Roman"/>
        </w:rPr>
        <w:t>Bovier</w:t>
      </w:r>
      <w:proofErr w:type="spellEnd"/>
      <w:r w:rsidR="000A0A25">
        <w:rPr>
          <w:rFonts w:cs="Times New Roman"/>
        </w:rPr>
        <w:t xml:space="preserve"> de </w:t>
      </w:r>
      <w:proofErr w:type="spellStart"/>
      <w:r w:rsidR="000A0A25" w:rsidRPr="00363F12">
        <w:rPr>
          <w:rFonts w:cs="Times New Roman"/>
        </w:rPr>
        <w:t>Fontenelle</w:t>
      </w:r>
      <w:proofErr w:type="spellEnd"/>
      <w:r w:rsidR="009B12ED">
        <w:rPr>
          <w:rStyle w:val="FootnoteReference"/>
          <w:rFonts w:cs="Times New Roman"/>
        </w:rPr>
        <w:footnoteReference w:id="15"/>
      </w:r>
      <w:r w:rsidR="001736DF">
        <w:rPr>
          <w:rFonts w:cs="Times New Roman"/>
        </w:rPr>
        <w:t>)</w:t>
      </w:r>
      <w:r w:rsidR="00060211">
        <w:rPr>
          <w:rFonts w:cs="Times New Roman"/>
        </w:rPr>
        <w:t>,</w:t>
      </w:r>
      <w:r w:rsidR="000A0A25" w:rsidRPr="00363F12">
        <w:rPr>
          <w:rFonts w:cs="Times New Roman"/>
        </w:rPr>
        <w:t xml:space="preserve"> </w:t>
      </w:r>
      <w:r w:rsidR="000A0A25">
        <w:rPr>
          <w:rFonts w:cs="Times New Roman"/>
        </w:rPr>
        <w:t xml:space="preserve">and philosophers (Nicolas </w:t>
      </w:r>
      <w:r w:rsidR="000A0A25" w:rsidRPr="00363F12">
        <w:rPr>
          <w:rFonts w:cs="Times New Roman"/>
        </w:rPr>
        <w:t xml:space="preserve">Malebranche, Jacques </w:t>
      </w:r>
      <w:proofErr w:type="spellStart"/>
      <w:r w:rsidR="000A0A25" w:rsidRPr="00363F12">
        <w:rPr>
          <w:rFonts w:cs="Times New Roman"/>
        </w:rPr>
        <w:t>LeLong</w:t>
      </w:r>
      <w:proofErr w:type="spellEnd"/>
      <w:r w:rsidR="000A0A25">
        <w:rPr>
          <w:rStyle w:val="FootnoteReference"/>
          <w:rFonts w:cs="Times New Roman"/>
        </w:rPr>
        <w:footnoteReference w:id="16"/>
      </w:r>
      <w:r w:rsidR="001736DF">
        <w:rPr>
          <w:rFonts w:cs="Times New Roman"/>
        </w:rPr>
        <w:t>)</w:t>
      </w:r>
      <w:r w:rsidR="00060211">
        <w:rPr>
          <w:rFonts w:cs="Times New Roman"/>
        </w:rPr>
        <w:t>.</w:t>
      </w:r>
      <w:r w:rsidR="000A0A25" w:rsidRPr="00363F12">
        <w:rPr>
          <w:rFonts w:cs="Times New Roman"/>
        </w:rPr>
        <w:t xml:space="preserve"> </w:t>
      </w:r>
      <w:r w:rsidR="000A0A25">
        <w:rPr>
          <w:rFonts w:cs="Times New Roman"/>
        </w:rPr>
        <w:t xml:space="preserve">No doubt in a concerted effort to ensure that the </w:t>
      </w:r>
      <w:r w:rsidR="000A0A25">
        <w:rPr>
          <w:rFonts w:cs="Times New Roman"/>
          <w:i/>
        </w:rPr>
        <w:t>Theodicy</w:t>
      </w:r>
      <w:r w:rsidR="000A0A25">
        <w:rPr>
          <w:rFonts w:cs="Times New Roman"/>
        </w:rPr>
        <w:t xml:space="preserve"> reached </w:t>
      </w:r>
      <w:r w:rsidR="000D78D4">
        <w:rPr>
          <w:rFonts w:cs="Times New Roman"/>
        </w:rPr>
        <w:t xml:space="preserve">at least </w:t>
      </w:r>
      <w:r w:rsidR="00E162A6">
        <w:rPr>
          <w:rFonts w:cs="Times New Roman"/>
        </w:rPr>
        <w:t xml:space="preserve">some </w:t>
      </w:r>
      <w:r w:rsidR="000A0A25">
        <w:rPr>
          <w:rFonts w:cs="Times New Roman"/>
        </w:rPr>
        <w:t xml:space="preserve">key English figures, </w:t>
      </w:r>
      <w:r w:rsidR="00902262">
        <w:t xml:space="preserve">Leibniz </w:t>
      </w:r>
      <w:r w:rsidR="00A36F66">
        <w:t xml:space="preserve">also asked </w:t>
      </w:r>
      <w:proofErr w:type="spellStart"/>
      <w:r w:rsidR="00A36F66">
        <w:t>Troyel</w:t>
      </w:r>
      <w:proofErr w:type="spellEnd"/>
      <w:r w:rsidR="00A36F66">
        <w:t xml:space="preserve"> to </w:t>
      </w:r>
      <w:r w:rsidR="00F73F50">
        <w:t>send</w:t>
      </w:r>
      <w:r w:rsidR="00A36F66">
        <w:t xml:space="preserve"> six copies of the </w:t>
      </w:r>
      <w:r w:rsidR="000A0A25">
        <w:t>book</w:t>
      </w:r>
      <w:r w:rsidR="00A36F66">
        <w:t xml:space="preserve"> to </w:t>
      </w:r>
      <w:r w:rsidR="00BB1278">
        <w:t>a friend</w:t>
      </w:r>
      <w:r w:rsidR="00BA2846">
        <w:t>,</w:t>
      </w:r>
      <w:r w:rsidR="00BB1278">
        <w:t xml:space="preserve"> Johann Caspar von </w:t>
      </w:r>
      <w:proofErr w:type="spellStart"/>
      <w:r w:rsidR="00BB1278">
        <w:t>Bothmer</w:t>
      </w:r>
      <w:proofErr w:type="spellEnd"/>
      <w:r w:rsidR="00BB1278">
        <w:t xml:space="preserve">, </w:t>
      </w:r>
      <w:r w:rsidR="00D40489">
        <w:t>for him</w:t>
      </w:r>
      <w:r w:rsidR="00F73F50">
        <w:t xml:space="preserve"> </w:t>
      </w:r>
      <w:r w:rsidR="004D29C1">
        <w:t xml:space="preserve">to </w:t>
      </w:r>
      <w:r w:rsidR="00F73F50">
        <w:t xml:space="preserve">distribute </w:t>
      </w:r>
      <w:r w:rsidR="00CE7AA8">
        <w:t>when he travelled to</w:t>
      </w:r>
      <w:r w:rsidR="00BB1278">
        <w:t xml:space="preserve"> Engla</w:t>
      </w:r>
      <w:r w:rsidR="00F73F50">
        <w:t>nd</w:t>
      </w:r>
      <w:r w:rsidR="004D29C1">
        <w:rPr>
          <w:rStyle w:val="FootnoteReference"/>
        </w:rPr>
        <w:footnoteReference w:id="17"/>
      </w:r>
      <w:r w:rsidR="00060211">
        <w:t>.</w:t>
      </w:r>
      <w:r w:rsidR="00F73F50">
        <w:t xml:space="preserve"> </w:t>
      </w:r>
      <w:r w:rsidR="00D52166">
        <w:t>This had a positive outcome in at least one case</w:t>
      </w:r>
      <w:r w:rsidR="009B12ED">
        <w:t xml:space="preserve">, for </w:t>
      </w:r>
      <w:proofErr w:type="spellStart"/>
      <w:r w:rsidR="00730586">
        <w:t>Bothmer</w:t>
      </w:r>
      <w:proofErr w:type="spellEnd"/>
      <w:r w:rsidR="00730586">
        <w:t xml:space="preserve"> gave one of his</w:t>
      </w:r>
      <w:r w:rsidR="00902262">
        <w:t xml:space="preserve"> </w:t>
      </w:r>
      <w:r w:rsidR="00F73F50">
        <w:t>copies</w:t>
      </w:r>
      <w:r w:rsidR="00EC125D">
        <w:t xml:space="preserve"> </w:t>
      </w:r>
      <w:r w:rsidR="00EC125D" w:rsidRPr="009E20E9">
        <w:rPr>
          <w:rFonts w:cs="Times New Roman"/>
          <w:bCs/>
        </w:rPr>
        <w:t xml:space="preserve">to </w:t>
      </w:r>
      <w:r w:rsidR="00730586">
        <w:rPr>
          <w:rFonts w:cs="Times New Roman"/>
          <w:bCs/>
        </w:rPr>
        <w:t xml:space="preserve">John Sharp, </w:t>
      </w:r>
      <w:r w:rsidR="00EC125D" w:rsidRPr="009E20E9">
        <w:rPr>
          <w:rFonts w:cs="Times New Roman"/>
          <w:bCs/>
        </w:rPr>
        <w:t xml:space="preserve">the Archbishop of York, </w:t>
      </w:r>
      <w:r w:rsidR="00EC125D">
        <w:rPr>
          <w:rFonts w:cs="Times New Roman"/>
          <w:bCs/>
        </w:rPr>
        <w:t xml:space="preserve">and </w:t>
      </w:r>
      <w:r w:rsidR="00EC125D" w:rsidRPr="00D83448">
        <w:rPr>
          <w:bCs/>
          <w:szCs w:val="24"/>
        </w:rPr>
        <w:t xml:space="preserve">Leibniz later </w:t>
      </w:r>
      <w:r w:rsidR="00EC125D">
        <w:rPr>
          <w:bCs/>
          <w:szCs w:val="24"/>
        </w:rPr>
        <w:t xml:space="preserve">discovered </w:t>
      </w:r>
      <w:r w:rsidR="00EC125D" w:rsidRPr="00D83448">
        <w:rPr>
          <w:bCs/>
          <w:szCs w:val="24"/>
        </w:rPr>
        <w:t xml:space="preserve">that Sharp had read the Latin appendix, the </w:t>
      </w:r>
      <w:r w:rsidR="00EC125D" w:rsidRPr="00D83448">
        <w:rPr>
          <w:bCs/>
          <w:i/>
          <w:szCs w:val="24"/>
        </w:rPr>
        <w:t>Causa Dei</w:t>
      </w:r>
      <w:r w:rsidR="00EC125D" w:rsidRPr="00D83448">
        <w:rPr>
          <w:bCs/>
          <w:szCs w:val="24"/>
        </w:rPr>
        <w:t xml:space="preserve">, and </w:t>
      </w:r>
      <w:r w:rsidR="00EC125D">
        <w:rPr>
          <w:bCs/>
          <w:szCs w:val="24"/>
        </w:rPr>
        <w:t>“</w:t>
      </w:r>
      <w:r w:rsidR="00EC125D" w:rsidRPr="00D83448">
        <w:rPr>
          <w:bCs/>
          <w:szCs w:val="24"/>
        </w:rPr>
        <w:t>approved it very mu</w:t>
      </w:r>
      <w:r w:rsidR="00060211">
        <w:rPr>
          <w:bCs/>
          <w:szCs w:val="24"/>
        </w:rPr>
        <w:t>ch</w:t>
      </w:r>
      <w:r w:rsidR="00EC125D">
        <w:rPr>
          <w:bCs/>
          <w:szCs w:val="24"/>
        </w:rPr>
        <w:t>”</w:t>
      </w:r>
      <w:r w:rsidR="00EC125D" w:rsidRPr="00D83448">
        <w:rPr>
          <w:rStyle w:val="FootnoteReference"/>
          <w:bCs/>
          <w:szCs w:val="24"/>
        </w:rPr>
        <w:footnoteReference w:id="18"/>
      </w:r>
      <w:r w:rsidR="00060211">
        <w:rPr>
          <w:bCs/>
          <w:szCs w:val="24"/>
        </w:rPr>
        <w:t>.</w:t>
      </w:r>
      <w:r w:rsidR="00EC125D">
        <w:rPr>
          <w:bCs/>
          <w:szCs w:val="24"/>
        </w:rPr>
        <w:t xml:space="preserve"> </w:t>
      </w:r>
      <w:r w:rsidR="00730586">
        <w:t>Leibniz’s lack of</w:t>
      </w:r>
      <w:r w:rsidR="00BA2846">
        <w:t xml:space="preserve"> </w:t>
      </w:r>
      <w:r w:rsidR="0071534B">
        <w:t xml:space="preserve">what might </w:t>
      </w:r>
      <w:r w:rsidR="000871EE">
        <w:t xml:space="preserve">be </w:t>
      </w:r>
      <w:r w:rsidR="0071534B">
        <w:t>call</w:t>
      </w:r>
      <w:r w:rsidR="000871EE">
        <w:t>ed</w:t>
      </w:r>
      <w:r w:rsidR="0071534B">
        <w:t xml:space="preserve"> </w:t>
      </w:r>
      <w:r w:rsidR="00BA2846">
        <w:t>“a friend in high places</w:t>
      </w:r>
      <w:r w:rsidR="0071534B">
        <w:t>,</w:t>
      </w:r>
      <w:r w:rsidR="00BA2846">
        <w:t xml:space="preserve">” </w:t>
      </w:r>
      <w:r w:rsidR="0071534B">
        <w:t xml:space="preserve">that is, </w:t>
      </w:r>
      <w:r w:rsidR="005E3918">
        <w:t>a well-placed supporter</w:t>
      </w:r>
      <w:r w:rsidR="0071534B">
        <w:t xml:space="preserve"> in English circles </w:t>
      </w:r>
      <w:r w:rsidR="00E56661">
        <w:t>who could</w:t>
      </w:r>
      <w:r w:rsidR="00BA2846">
        <w:t xml:space="preserve"> assist him</w:t>
      </w:r>
      <w:r w:rsidR="00B34A5B">
        <w:t xml:space="preserve"> with </w:t>
      </w:r>
      <w:r w:rsidR="0071534B">
        <w:t xml:space="preserve">promoting and </w:t>
      </w:r>
      <w:r w:rsidR="00E56661">
        <w:t>distributi</w:t>
      </w:r>
      <w:r w:rsidR="0071534B">
        <w:t>ng</w:t>
      </w:r>
      <w:r w:rsidR="00E56661">
        <w:t xml:space="preserve"> </w:t>
      </w:r>
      <w:r w:rsidR="0071534B">
        <w:t>the book</w:t>
      </w:r>
      <w:r w:rsidR="00730586">
        <w:t xml:space="preserve">, </w:t>
      </w:r>
      <w:r w:rsidR="00BA2846">
        <w:t xml:space="preserve">was to change following the Hanoverian succession, which led to one of his most enthusiastic supporters, Caroline of </w:t>
      </w:r>
      <w:proofErr w:type="spellStart"/>
      <w:r w:rsidR="00BA2846">
        <w:t>Ansbach</w:t>
      </w:r>
      <w:proofErr w:type="spellEnd"/>
      <w:r w:rsidR="00BA2846">
        <w:t xml:space="preserve">, becoming the highest-ranking female royal in England following her investiture as Princess of Wales on 27 September 1714. By her own admission Caroline had read and approved the </w:t>
      </w:r>
      <w:r w:rsidR="00BA2846">
        <w:rPr>
          <w:i/>
        </w:rPr>
        <w:lastRenderedPageBreak/>
        <w:t>Theodicy</w:t>
      </w:r>
      <w:r w:rsidR="00BA2846">
        <w:rPr>
          <w:rStyle w:val="FootnoteReference"/>
        </w:rPr>
        <w:footnoteReference w:id="19"/>
      </w:r>
      <w:r w:rsidR="00060211">
        <w:rPr>
          <w:i/>
        </w:rPr>
        <w:t>,</w:t>
      </w:r>
      <w:r w:rsidR="00BA2846">
        <w:t xml:space="preserve"> a fact of which Leibniz did not tire repeating to his correspondents</w:t>
      </w:r>
      <w:r w:rsidR="00BA2846">
        <w:rPr>
          <w:rStyle w:val="FootnoteReference"/>
        </w:rPr>
        <w:footnoteReference w:id="20"/>
      </w:r>
      <w:r w:rsidR="00060211">
        <w:t>.</w:t>
      </w:r>
      <w:r w:rsidR="00BA2846">
        <w:t xml:space="preserve"> She also shared Leibniz’s desire that the book reach a wide audience and to that end made efforts to promulgate it herself, as we shall see later in the paper.</w:t>
      </w:r>
    </w:p>
    <w:p w:rsidR="00BA2846" w:rsidRPr="000419E9" w:rsidRDefault="00FB6E6F" w:rsidP="00594E81">
      <w:pPr>
        <w:spacing w:line="480" w:lineRule="auto"/>
        <w:ind w:firstLine="720"/>
        <w:rPr>
          <w:rFonts w:cs="Times New Roman"/>
        </w:rPr>
      </w:pPr>
      <w:r>
        <w:t xml:space="preserve">Another factor that likely impacted on the </w:t>
      </w:r>
      <w:r w:rsidRPr="00FB6E6F">
        <w:rPr>
          <w:i/>
        </w:rPr>
        <w:t>Theodicy</w:t>
      </w:r>
      <w:r>
        <w:t xml:space="preserve">’s reception in England was the lack of an English translation. Leibniz and Caroline were both aware of the need for one, and </w:t>
      </w:r>
      <w:r w:rsidR="0072167A">
        <w:t xml:space="preserve">shared the desire </w:t>
      </w:r>
      <w:r w:rsidR="00BA2846">
        <w:t xml:space="preserve">to see </w:t>
      </w:r>
      <w:r>
        <w:t>an English translation made;</w:t>
      </w:r>
      <w:r w:rsidR="00BA2846">
        <w:t xml:space="preserve"> this was </w:t>
      </w:r>
      <w:r>
        <w:t xml:space="preserve">in fact </w:t>
      </w:r>
      <w:r w:rsidR="00BA2846">
        <w:t xml:space="preserve">to become a recurring theme in </w:t>
      </w:r>
      <w:r w:rsidR="00BA2846">
        <w:rPr>
          <w:rFonts w:cs="Times New Roman"/>
        </w:rPr>
        <w:t>their</w:t>
      </w:r>
      <w:r w:rsidR="00BA2846" w:rsidRPr="00F415DD">
        <w:rPr>
          <w:rFonts w:cs="Times New Roman"/>
        </w:rPr>
        <w:t xml:space="preserve"> correspondence </w:t>
      </w:r>
      <w:r w:rsidR="00BA2846">
        <w:rPr>
          <w:rFonts w:cs="Times New Roman"/>
        </w:rPr>
        <w:t>throughout 1715 and 1716</w:t>
      </w:r>
      <w:r w:rsidR="00BA2846" w:rsidRPr="00F415DD">
        <w:rPr>
          <w:rFonts w:cs="Times New Roman"/>
        </w:rPr>
        <w:t xml:space="preserve">. </w:t>
      </w:r>
      <w:r w:rsidR="00BA2846">
        <w:rPr>
          <w:rFonts w:cs="Times New Roman"/>
        </w:rPr>
        <w:t>Much of their discussion concerned possible translators: Leibniz’s first suggestion was Michel de la Roche</w:t>
      </w:r>
      <w:r w:rsidR="00BA2846">
        <w:rPr>
          <w:rStyle w:val="FootnoteReference"/>
          <w:rFonts w:cs="Times New Roman"/>
        </w:rPr>
        <w:footnoteReference w:id="21"/>
      </w:r>
      <w:r w:rsidR="00060211">
        <w:rPr>
          <w:rFonts w:cs="Times New Roman"/>
        </w:rPr>
        <w:t>,</w:t>
      </w:r>
      <w:r w:rsidR="00BA2846">
        <w:rPr>
          <w:rFonts w:cs="Times New Roman"/>
        </w:rPr>
        <w:t xml:space="preserve"> who was at the time editor of an English journal called </w:t>
      </w:r>
      <w:r w:rsidR="00BA2846">
        <w:rPr>
          <w:rFonts w:cs="Times New Roman"/>
          <w:i/>
        </w:rPr>
        <w:t>Memoirs of Literature</w:t>
      </w:r>
      <w:r w:rsidR="00BA2846">
        <w:rPr>
          <w:rFonts w:cs="Times New Roman"/>
        </w:rPr>
        <w:t>, about which I will have more to say in what follows. For her part, Caroline revealed that the Bishop of Lincoln had recommended Samuel Clarke as translator</w:t>
      </w:r>
      <w:r w:rsidR="00BA2846">
        <w:rPr>
          <w:rStyle w:val="FootnoteReference"/>
          <w:rFonts w:cs="Times New Roman"/>
        </w:rPr>
        <w:footnoteReference w:id="22"/>
      </w:r>
      <w:r w:rsidR="00060211">
        <w:rPr>
          <w:rFonts w:cs="Times New Roman"/>
        </w:rPr>
        <w:t>;</w:t>
      </w:r>
      <w:r w:rsidR="00BA2846">
        <w:rPr>
          <w:rFonts w:cs="Times New Roman"/>
        </w:rPr>
        <w:t xml:space="preserve"> </w:t>
      </w:r>
      <w:r w:rsidR="00DB39E7">
        <w:rPr>
          <w:rFonts w:cs="Times New Roman"/>
        </w:rPr>
        <w:t>al</w:t>
      </w:r>
      <w:r w:rsidR="00BA2846">
        <w:rPr>
          <w:rFonts w:cs="Times New Roman"/>
        </w:rPr>
        <w:t xml:space="preserve">though </w:t>
      </w:r>
      <w:r w:rsidR="00DB39E7">
        <w:rPr>
          <w:rFonts w:cs="Times New Roman"/>
        </w:rPr>
        <w:t xml:space="preserve">the recommendation was made before Leibniz and Clarke began their correspondence, </w:t>
      </w:r>
      <w:r w:rsidR="00BA2846">
        <w:rPr>
          <w:rFonts w:cs="Times New Roman"/>
        </w:rPr>
        <w:t xml:space="preserve">neither </w:t>
      </w:r>
      <w:r w:rsidR="00DB39E7">
        <w:rPr>
          <w:rFonts w:cs="Times New Roman"/>
        </w:rPr>
        <w:t xml:space="preserve">Caroline </w:t>
      </w:r>
      <w:r w:rsidR="00BA2846">
        <w:rPr>
          <w:rFonts w:cs="Times New Roman"/>
        </w:rPr>
        <w:t>nor Leibniz was comfortable with the suggestion</w:t>
      </w:r>
      <w:r w:rsidR="00DB39E7">
        <w:rPr>
          <w:rFonts w:cs="Times New Roman"/>
        </w:rPr>
        <w:t xml:space="preserve">, because Clarke </w:t>
      </w:r>
      <w:r w:rsidR="00BA2846">
        <w:rPr>
          <w:rFonts w:cs="Times New Roman"/>
        </w:rPr>
        <w:t>was a known associate and sympathiser of Newton, who was at that point</w:t>
      </w:r>
      <w:r w:rsidR="00B34A5B">
        <w:rPr>
          <w:rFonts w:cs="Times New Roman"/>
        </w:rPr>
        <w:t xml:space="preserve"> highly antagonistic towards Leibniz</w:t>
      </w:r>
      <w:r w:rsidR="00BA2846">
        <w:rPr>
          <w:rFonts w:cs="Times New Roman"/>
        </w:rPr>
        <w:t xml:space="preserve"> </w:t>
      </w:r>
      <w:r w:rsidR="00B34A5B">
        <w:rPr>
          <w:rFonts w:cs="Times New Roman"/>
        </w:rPr>
        <w:t>because of</w:t>
      </w:r>
      <w:r w:rsidR="00BA2846">
        <w:rPr>
          <w:rFonts w:cs="Times New Roman"/>
        </w:rPr>
        <w:t xml:space="preserve"> the priority dispute. Both Leibniz and Caroline continued to discuss a possible English translation of the </w:t>
      </w:r>
      <w:r w:rsidR="00BA2846" w:rsidRPr="006B06B3">
        <w:rPr>
          <w:rFonts w:cs="Times New Roman"/>
          <w:i/>
        </w:rPr>
        <w:t>Theodicy</w:t>
      </w:r>
      <w:r w:rsidR="00BA2846">
        <w:rPr>
          <w:rFonts w:cs="Times New Roman"/>
        </w:rPr>
        <w:t xml:space="preserve"> until their correspondence was cut short by Leibniz’s death in November 1716</w:t>
      </w:r>
      <w:r w:rsidR="00BA2846">
        <w:rPr>
          <w:rStyle w:val="FootnoteReference"/>
          <w:rFonts w:cs="Times New Roman"/>
          <w:szCs w:val="24"/>
        </w:rPr>
        <w:footnoteReference w:id="23"/>
      </w:r>
      <w:r w:rsidR="00060211">
        <w:rPr>
          <w:rFonts w:cs="Times New Roman"/>
        </w:rPr>
        <w:t>.</w:t>
      </w:r>
    </w:p>
    <w:p w:rsidR="00BA2846" w:rsidRPr="00572C35" w:rsidRDefault="0018683B" w:rsidP="00594E81">
      <w:pPr>
        <w:spacing w:line="480" w:lineRule="auto"/>
        <w:ind w:firstLine="720"/>
      </w:pPr>
      <w:r>
        <w:lastRenderedPageBreak/>
        <w:t xml:space="preserve">There were, then, numerous factors that may have affected the reception of the </w:t>
      </w:r>
      <w:r>
        <w:rPr>
          <w:i/>
        </w:rPr>
        <w:t>Theodicy</w:t>
      </w:r>
      <w:r>
        <w:t xml:space="preserve"> in England during Leibniz’s lifetime. Let us now examine this reception in greater detail. </w:t>
      </w:r>
      <w:r w:rsidR="00E379E6">
        <w:rPr>
          <w:bCs/>
          <w:sz w:val="23"/>
          <w:szCs w:val="23"/>
        </w:rPr>
        <w:t>My thesis shall be the modest one</w:t>
      </w:r>
      <w:r w:rsidR="00BA2846">
        <w:t xml:space="preserve"> </w:t>
      </w:r>
      <w:r w:rsidR="003C6168">
        <w:t xml:space="preserve">mentioned earlier, </w:t>
      </w:r>
      <w:r w:rsidR="00BA2846">
        <w:t xml:space="preserve">that the reception of the </w:t>
      </w:r>
      <w:r w:rsidR="00BA2846" w:rsidRPr="00476937">
        <w:rPr>
          <w:i/>
        </w:rPr>
        <w:t>Theodicy</w:t>
      </w:r>
      <w:r w:rsidR="00BA2846">
        <w:t xml:space="preserve"> in England – from the time of its publication in 1710 to Leibniz’s d</w:t>
      </w:r>
      <w:r w:rsidR="008E41C5">
        <w:t>eath in 1716 – was a mixed one; w</w:t>
      </w:r>
      <w:r w:rsidR="00BA2846">
        <w:t xml:space="preserve">hile it received positive reports in the journals, the reaction from key individuals was generally lukewarm. To show this, I shall </w:t>
      </w:r>
      <w:r w:rsidR="00B752AD">
        <w:t xml:space="preserve">focus first on </w:t>
      </w:r>
      <w:r w:rsidR="00BA2846">
        <w:t xml:space="preserve">the journal </w:t>
      </w:r>
      <w:r w:rsidR="00BA2846">
        <w:rPr>
          <w:i/>
        </w:rPr>
        <w:t>Memoirs of Literature</w:t>
      </w:r>
      <w:r w:rsidR="00BA2846">
        <w:t xml:space="preserve">, edited by Michel de la Roche, and </w:t>
      </w:r>
      <w:r w:rsidR="00B752AD">
        <w:t xml:space="preserve">second, on </w:t>
      </w:r>
      <w:r w:rsidR="00BA2846">
        <w:t xml:space="preserve">the report on the </w:t>
      </w:r>
      <w:r w:rsidR="00BA2846">
        <w:rPr>
          <w:i/>
        </w:rPr>
        <w:t>Theodicy</w:t>
      </w:r>
      <w:r w:rsidR="00BA2846">
        <w:t xml:space="preserve"> prepared in 1715 by the Bishop of Bristol, George </w:t>
      </w:r>
      <w:proofErr w:type="spellStart"/>
      <w:r w:rsidR="00BA2846">
        <w:t>Smalridge</w:t>
      </w:r>
      <w:proofErr w:type="spellEnd"/>
      <w:r w:rsidR="00BA2846">
        <w:t>.</w:t>
      </w:r>
    </w:p>
    <w:p w:rsidR="00BA2846" w:rsidRDefault="00BA2846" w:rsidP="00594E81">
      <w:pPr>
        <w:spacing w:line="480" w:lineRule="auto"/>
        <w:rPr>
          <w:bCs/>
          <w:sz w:val="23"/>
          <w:szCs w:val="23"/>
        </w:rPr>
      </w:pPr>
    </w:p>
    <w:p w:rsidR="00F33818" w:rsidRDefault="00F33818" w:rsidP="00594E81">
      <w:pPr>
        <w:spacing w:line="480" w:lineRule="auto"/>
        <w:rPr>
          <w:bCs/>
          <w:sz w:val="23"/>
          <w:szCs w:val="23"/>
        </w:rPr>
      </w:pPr>
    </w:p>
    <w:p w:rsidR="00823E39" w:rsidRPr="002952F8" w:rsidRDefault="00476937" w:rsidP="00594E81">
      <w:pPr>
        <w:spacing w:line="480" w:lineRule="auto"/>
        <w:jc w:val="center"/>
        <w:rPr>
          <w:bCs/>
          <w:i/>
          <w:szCs w:val="24"/>
        </w:rPr>
      </w:pPr>
      <w:r w:rsidRPr="002952F8">
        <w:rPr>
          <w:bCs/>
          <w:i/>
          <w:szCs w:val="24"/>
        </w:rPr>
        <w:t>Memoirs of Literature</w:t>
      </w:r>
    </w:p>
    <w:p w:rsidR="00F33818" w:rsidRPr="002952F8" w:rsidRDefault="00F33818" w:rsidP="00594E81">
      <w:pPr>
        <w:spacing w:line="480" w:lineRule="auto"/>
        <w:rPr>
          <w:szCs w:val="24"/>
        </w:rPr>
      </w:pPr>
    </w:p>
    <w:p w:rsidR="00264081" w:rsidRDefault="00B752AD" w:rsidP="00594E81">
      <w:pPr>
        <w:spacing w:line="480" w:lineRule="auto"/>
        <w:ind w:firstLine="720"/>
      </w:pPr>
      <w:r>
        <w:t>We begin, then, with</w:t>
      </w:r>
      <w:r w:rsidR="00BC45A4">
        <w:t xml:space="preserve"> </w:t>
      </w:r>
      <w:r w:rsidR="00BB3286">
        <w:t>Michel de la Roche (c. 1680-1742)</w:t>
      </w:r>
      <w:r w:rsidR="00B35B05">
        <w:t xml:space="preserve">, </w:t>
      </w:r>
      <w:r w:rsidR="00BB3286">
        <w:t xml:space="preserve">a French Huguenot who </w:t>
      </w:r>
      <w:r w:rsidR="00B35B05">
        <w:t xml:space="preserve">had </w:t>
      </w:r>
      <w:r w:rsidR="00BB3286">
        <w:t>settled in England at a young age. He became an Anglican in 1701</w:t>
      </w:r>
      <w:r w:rsidR="00F45D96">
        <w:t xml:space="preserve"> and went on to make his name</w:t>
      </w:r>
      <w:r w:rsidR="00C942BF">
        <w:t xml:space="preserve"> as a journal editor, and it is in this role that he is of interest to us. In 1710 he started a journal entitled </w:t>
      </w:r>
      <w:r w:rsidR="00C942BF">
        <w:rPr>
          <w:i/>
        </w:rPr>
        <w:t>Memoirs of Literature</w:t>
      </w:r>
      <w:r w:rsidR="00C942BF">
        <w:t xml:space="preserve">, which ran from March 1710 to September </w:t>
      </w:r>
      <w:proofErr w:type="gramStart"/>
      <w:r w:rsidR="00C942BF">
        <w:t>1714,</w:t>
      </w:r>
      <w:proofErr w:type="gramEnd"/>
      <w:r w:rsidR="00C942BF">
        <w:t xml:space="preserve"> and </w:t>
      </w:r>
      <w:r w:rsidR="00C942BF">
        <w:lastRenderedPageBreak/>
        <w:t xml:space="preserve">then again between January and April </w:t>
      </w:r>
      <w:r w:rsidR="00C942BF">
        <w:rPr>
          <w:rStyle w:val="value"/>
        </w:rPr>
        <w:t>1717</w:t>
      </w:r>
      <w:r w:rsidR="00E379E6">
        <w:rPr>
          <w:rStyle w:val="FootnoteReference"/>
        </w:rPr>
        <w:footnoteReference w:id="24"/>
      </w:r>
      <w:r w:rsidR="0072219E">
        <w:rPr>
          <w:rStyle w:val="value"/>
        </w:rPr>
        <w:t>.</w:t>
      </w:r>
      <w:r w:rsidR="00C942BF">
        <w:rPr>
          <w:rStyle w:val="value"/>
        </w:rPr>
        <w:t xml:space="preserve"> </w:t>
      </w:r>
      <w:r w:rsidR="00355759">
        <w:t xml:space="preserve">It </w:t>
      </w:r>
      <w:r w:rsidR="001A6FF1">
        <w:t xml:space="preserve">is perhaps best described as a broadsheet than a journal, as </w:t>
      </w:r>
      <w:r w:rsidR="00BE385F">
        <w:t>each issue</w:t>
      </w:r>
      <w:r w:rsidR="001A6FF1">
        <w:t xml:space="preserve"> was </w:t>
      </w:r>
      <w:r w:rsidR="00BE385F">
        <w:t>printed</w:t>
      </w:r>
      <w:r w:rsidR="001A6FF1">
        <w:t xml:space="preserve"> </w:t>
      </w:r>
      <w:r w:rsidR="00BE385F">
        <w:t>on a single</w:t>
      </w:r>
      <w:r w:rsidR="001A6FF1">
        <w:t xml:space="preserve"> quarto</w:t>
      </w:r>
      <w:r w:rsidR="00BE385F">
        <w:t xml:space="preserve"> sheet</w:t>
      </w:r>
      <w:r w:rsidR="00793EC1">
        <w:t>, though I shall continue to refer to it as a journal</w:t>
      </w:r>
      <w:r w:rsidR="001A6FF1">
        <w:rPr>
          <w:rStyle w:val="FootnoteReference"/>
        </w:rPr>
        <w:footnoteReference w:id="25"/>
      </w:r>
      <w:r w:rsidR="0072219E">
        <w:t>.</w:t>
      </w:r>
      <w:r w:rsidR="001A6FF1">
        <w:t xml:space="preserve"> Each issue</w:t>
      </w:r>
      <w:r w:rsidR="00355759">
        <w:t xml:space="preserve"> </w:t>
      </w:r>
      <w:r w:rsidR="00264081">
        <w:t>contained the following kinds of content:</w:t>
      </w:r>
    </w:p>
    <w:p w:rsidR="00264081" w:rsidRDefault="00264081" w:rsidP="00594E81">
      <w:pPr>
        <w:spacing w:line="480" w:lineRule="auto"/>
      </w:pPr>
    </w:p>
    <w:p w:rsidR="00264081" w:rsidRDefault="00264081" w:rsidP="00594E81">
      <w:pPr>
        <w:pStyle w:val="ListParagraph"/>
        <w:numPr>
          <w:ilvl w:val="0"/>
          <w:numId w:val="2"/>
        </w:numPr>
        <w:spacing w:line="480" w:lineRule="auto"/>
      </w:pPr>
      <w:r>
        <w:t>R</w:t>
      </w:r>
      <w:r w:rsidR="00355759">
        <w:t>eports of non-English books</w:t>
      </w:r>
      <w:r>
        <w:t xml:space="preserve">; sometimes descriptive, and sometimes consisting entirely or almost entirely of </w:t>
      </w:r>
      <w:r w:rsidR="00BE385F">
        <w:t>extracts, translated into English</w:t>
      </w:r>
    </w:p>
    <w:p w:rsidR="00264081" w:rsidRDefault="00264081" w:rsidP="00594E81">
      <w:pPr>
        <w:pStyle w:val="ListParagraph"/>
        <w:numPr>
          <w:ilvl w:val="0"/>
          <w:numId w:val="2"/>
        </w:numPr>
        <w:spacing w:line="480" w:lineRule="auto"/>
      </w:pPr>
      <w:r>
        <w:t>L</w:t>
      </w:r>
      <w:r w:rsidR="00355759">
        <w:t>etters</w:t>
      </w:r>
      <w:r w:rsidR="00DA7A50">
        <w:t xml:space="preserve"> (some anonymous, some credited)</w:t>
      </w:r>
    </w:p>
    <w:p w:rsidR="007E413B" w:rsidRDefault="007E413B" w:rsidP="00594E81">
      <w:pPr>
        <w:pStyle w:val="ListParagraph"/>
        <w:numPr>
          <w:ilvl w:val="0"/>
          <w:numId w:val="2"/>
        </w:numPr>
        <w:spacing w:line="480" w:lineRule="auto"/>
      </w:pPr>
      <w:r>
        <w:t>Eulogies of important figures in the Republic of Letters</w:t>
      </w:r>
    </w:p>
    <w:p w:rsidR="00264081" w:rsidRDefault="00264081" w:rsidP="00594E81">
      <w:pPr>
        <w:pStyle w:val="ListParagraph"/>
        <w:numPr>
          <w:ilvl w:val="0"/>
          <w:numId w:val="2"/>
        </w:numPr>
        <w:spacing w:line="480" w:lineRule="auto"/>
      </w:pPr>
      <w:r>
        <w:t>I</w:t>
      </w:r>
      <w:r w:rsidR="00355759">
        <w:t xml:space="preserve">nformation from the </w:t>
      </w:r>
      <w:r>
        <w:t>Republic</w:t>
      </w:r>
      <w:r w:rsidR="00813514">
        <w:t xml:space="preserve"> of Letters</w:t>
      </w:r>
    </w:p>
    <w:p w:rsidR="00E748A3" w:rsidRDefault="00264081" w:rsidP="00594E81">
      <w:pPr>
        <w:pStyle w:val="ListParagraph"/>
        <w:numPr>
          <w:ilvl w:val="0"/>
          <w:numId w:val="2"/>
        </w:numPr>
        <w:spacing w:line="480" w:lineRule="auto"/>
      </w:pPr>
      <w:r>
        <w:t>Brief details</w:t>
      </w:r>
      <w:r w:rsidR="00355759">
        <w:t xml:space="preserve"> of forthcoming books being published out of </w:t>
      </w:r>
      <w:r w:rsidR="002F5282">
        <w:t>Europe’s</w:t>
      </w:r>
      <w:r w:rsidR="00355759">
        <w:t xml:space="preserve"> major cities.</w:t>
      </w:r>
    </w:p>
    <w:p w:rsidR="00264081" w:rsidRDefault="00264081" w:rsidP="00594E81">
      <w:pPr>
        <w:spacing w:line="480" w:lineRule="auto"/>
      </w:pPr>
    </w:p>
    <w:p w:rsidR="007E413B" w:rsidRDefault="007E413B" w:rsidP="00594E81">
      <w:pPr>
        <w:spacing w:line="480" w:lineRule="auto"/>
        <w:ind w:firstLine="720"/>
      </w:pPr>
      <w:r>
        <w:t>(Each issue contain</w:t>
      </w:r>
      <w:r w:rsidR="00E32CAF">
        <w:t>ed</w:t>
      </w:r>
      <w:r>
        <w:t xml:space="preserve"> one or more of 1 – 4, while all issues end</w:t>
      </w:r>
      <w:r w:rsidR="00E32CAF">
        <w:t>ed</w:t>
      </w:r>
      <w:r>
        <w:t xml:space="preserve"> with 5.)</w:t>
      </w:r>
    </w:p>
    <w:p w:rsidR="002D5FA8" w:rsidRDefault="002D5FA8" w:rsidP="00594E81">
      <w:pPr>
        <w:spacing w:line="480" w:lineRule="auto"/>
      </w:pPr>
    </w:p>
    <w:p w:rsidR="00A51CD3" w:rsidRDefault="002D5FA8" w:rsidP="00594E81">
      <w:pPr>
        <w:spacing w:line="480" w:lineRule="auto"/>
        <w:ind w:firstLine="720"/>
      </w:pPr>
      <w:r>
        <w:t xml:space="preserve">The focus of the journal </w:t>
      </w:r>
      <w:r w:rsidR="00751D26">
        <w:t>wa</w:t>
      </w:r>
      <w:r>
        <w:t>s extremely broad: one finds in it reports on books on all manner of subjects, such as mathematics, theology, philosophy, anatomy, astronomy, China</w:t>
      </w:r>
      <w:r w:rsidR="00E73BC2">
        <w:t xml:space="preserve">, </w:t>
      </w:r>
      <w:r w:rsidR="004F53B2">
        <w:t xml:space="preserve">botany, </w:t>
      </w:r>
      <w:r w:rsidR="00E73BC2">
        <w:t>diseases</w:t>
      </w:r>
      <w:r w:rsidR="004E4879">
        <w:t xml:space="preserve">, </w:t>
      </w:r>
      <w:r w:rsidR="00561707">
        <w:t xml:space="preserve">geography, </w:t>
      </w:r>
      <w:r w:rsidR="004E4879">
        <w:t>and so on, though there is a clear bias in favour of theology.</w:t>
      </w:r>
      <w:r w:rsidR="00AF45A9">
        <w:t xml:space="preserve"> </w:t>
      </w:r>
      <w:r w:rsidR="00751D26">
        <w:t>When leafing through, we find that Leibniz is very well represented, in fact more so than any other thinker, which gives some indication of the regard in which he was held by de la Roche. To be more specific:</w:t>
      </w:r>
    </w:p>
    <w:p w:rsidR="006B110F" w:rsidRPr="006B110F" w:rsidRDefault="006B110F" w:rsidP="00594E81">
      <w:pPr>
        <w:spacing w:line="480" w:lineRule="auto"/>
      </w:pPr>
      <w:r>
        <w:tab/>
        <w:t xml:space="preserve">The very first issue of the </w:t>
      </w:r>
      <w:r>
        <w:rPr>
          <w:i/>
        </w:rPr>
        <w:t>Memoirs</w:t>
      </w:r>
      <w:r w:rsidR="00F45D96">
        <w:t>, dated 13 March 1710,</w:t>
      </w:r>
      <w:r>
        <w:t xml:space="preserve"> contains, </w:t>
      </w:r>
      <w:r w:rsidR="00AF45A9">
        <w:t>on the final page</w:t>
      </w:r>
      <w:r>
        <w:t xml:space="preserve">, a notice of Leibniz’s forthcoming book. Under the heading “Amsterdam,” de la Roche writes </w:t>
      </w:r>
      <w:r>
        <w:lastRenderedPageBreak/>
        <w:t>that “</w:t>
      </w:r>
      <w:proofErr w:type="spellStart"/>
      <w:r>
        <w:t>’Tis</w:t>
      </w:r>
      <w:proofErr w:type="spellEnd"/>
      <w:r>
        <w:t xml:space="preserve"> said that a Book of </w:t>
      </w:r>
      <w:r>
        <w:rPr>
          <w:i/>
        </w:rPr>
        <w:t>M. Leibnitz</w:t>
      </w:r>
      <w:r>
        <w:t xml:space="preserve">, entitled, </w:t>
      </w:r>
      <w:r>
        <w:rPr>
          <w:i/>
        </w:rPr>
        <w:t>Essays concerning the Goodness of God, Free-Will</w:t>
      </w:r>
      <w:r>
        <w:t>,</w:t>
      </w:r>
      <w:r>
        <w:rPr>
          <w:i/>
        </w:rPr>
        <w:t xml:space="preserve"> and the Origin of Evil</w:t>
      </w:r>
      <w:r w:rsidR="0072219E">
        <w:t>, is to be printed here</w:t>
      </w:r>
      <w:r>
        <w:t>”</w:t>
      </w:r>
      <w:r>
        <w:rPr>
          <w:rStyle w:val="FootnoteReference"/>
        </w:rPr>
        <w:footnoteReference w:id="26"/>
      </w:r>
      <w:r w:rsidR="0072219E">
        <w:t>.</w:t>
      </w:r>
    </w:p>
    <w:p w:rsidR="00A51CD3" w:rsidRPr="00A51CD3" w:rsidRDefault="00A51CD3" w:rsidP="00594E81">
      <w:pPr>
        <w:spacing w:line="480" w:lineRule="auto"/>
        <w:ind w:firstLine="720"/>
      </w:pPr>
      <w:r>
        <w:t xml:space="preserve">The fourth issue </w:t>
      </w:r>
      <w:r w:rsidR="00751D26">
        <w:t xml:space="preserve">of the </w:t>
      </w:r>
      <w:r w:rsidR="00751D26" w:rsidRPr="00751D26">
        <w:rPr>
          <w:i/>
        </w:rPr>
        <w:t>Memoirs</w:t>
      </w:r>
      <w:r w:rsidR="00751D26">
        <w:t xml:space="preserve"> </w:t>
      </w:r>
      <w:r>
        <w:t xml:space="preserve">is entirely devoted to a French book that de la Roche refers to as </w:t>
      </w:r>
      <w:r>
        <w:rPr>
          <w:i/>
        </w:rPr>
        <w:t>A Dissertation concerning the History of Balaam</w:t>
      </w:r>
      <w:r>
        <w:t>. The book itself consists of a n</w:t>
      </w:r>
      <w:r w:rsidR="00F653EB">
        <w:t>umber of essays, one by Leibniz</w:t>
      </w:r>
      <w:r>
        <w:t xml:space="preserve"> on the history of Balaam</w:t>
      </w:r>
      <w:r w:rsidR="00481E2E">
        <w:t xml:space="preserve"> (the Biblical prophet related in the book of Numbers)</w:t>
      </w:r>
      <w:r>
        <w:t xml:space="preserve">, and the </w:t>
      </w:r>
      <w:r w:rsidR="00481E2E">
        <w:t>rest</w:t>
      </w:r>
      <w:r>
        <w:t xml:space="preserve"> by Hermann von </w:t>
      </w:r>
      <w:proofErr w:type="spellStart"/>
      <w:r>
        <w:t>der</w:t>
      </w:r>
      <w:proofErr w:type="spellEnd"/>
      <w:r>
        <w:t xml:space="preserve"> </w:t>
      </w:r>
      <w:proofErr w:type="spellStart"/>
      <w:r>
        <w:t>Hardt</w:t>
      </w:r>
      <w:proofErr w:type="spellEnd"/>
      <w:r>
        <w:t xml:space="preserve"> on various other biblical figures. De la Roche provides English translations of Leibniz’s essay and </w:t>
      </w:r>
      <w:r w:rsidR="00751D26">
        <w:t xml:space="preserve">one </w:t>
      </w:r>
      <w:r w:rsidR="00B35B05">
        <w:t xml:space="preserve">of those </w:t>
      </w:r>
      <w:r w:rsidR="00751D26">
        <w:t xml:space="preserve">by von </w:t>
      </w:r>
      <w:proofErr w:type="spellStart"/>
      <w:r w:rsidR="00751D26">
        <w:t>der</w:t>
      </w:r>
      <w:proofErr w:type="spellEnd"/>
      <w:r w:rsidR="00751D26">
        <w:t xml:space="preserve"> </w:t>
      </w:r>
      <w:proofErr w:type="spellStart"/>
      <w:r w:rsidR="00751D26">
        <w:t>Hardt</w:t>
      </w:r>
      <w:proofErr w:type="spellEnd"/>
      <w:r w:rsidR="004E18F3">
        <w:rPr>
          <w:rStyle w:val="FootnoteReference"/>
        </w:rPr>
        <w:footnoteReference w:id="27"/>
      </w:r>
      <w:r w:rsidR="0072219E">
        <w:t>.</w:t>
      </w:r>
      <w:r>
        <w:t xml:space="preserve"> Although Leibniz is not mentioned by name</w:t>
      </w:r>
      <w:r w:rsidR="00751D26">
        <w:t xml:space="preserve"> as </w:t>
      </w:r>
      <w:r>
        <w:t>the author of the Balaam essay</w:t>
      </w:r>
      <w:r w:rsidR="00751D26">
        <w:t>, de la Roche d</w:t>
      </w:r>
      <w:r w:rsidR="00F653EB">
        <w:t>oes</w:t>
      </w:r>
      <w:r w:rsidR="00751D26">
        <w:t xml:space="preserve"> state that it had been written by</w:t>
      </w:r>
      <w:r>
        <w:t xml:space="preserve"> “</w:t>
      </w:r>
      <w:r w:rsidRPr="00A51CD3">
        <w:t xml:space="preserve">a Gentleman of that </w:t>
      </w:r>
      <w:proofErr w:type="spellStart"/>
      <w:r w:rsidRPr="00A51CD3">
        <w:t>Countrey</w:t>
      </w:r>
      <w:proofErr w:type="spellEnd"/>
      <w:r>
        <w:t xml:space="preserve"> [Germany]</w:t>
      </w:r>
      <w:r w:rsidRPr="00A51CD3">
        <w:t>, Famous for his Universal Knowledge</w:t>
      </w:r>
      <w:r>
        <w:t>”</w:t>
      </w:r>
      <w:r>
        <w:rPr>
          <w:rStyle w:val="FootnoteReference"/>
        </w:rPr>
        <w:footnoteReference w:id="28"/>
      </w:r>
      <w:r w:rsidR="0072219E">
        <w:t>,</w:t>
      </w:r>
      <w:r w:rsidR="00751D26">
        <w:t xml:space="preserve"> which suggests he knew </w:t>
      </w:r>
      <w:r w:rsidR="0042743B">
        <w:t>it was Leibniz.</w:t>
      </w:r>
    </w:p>
    <w:p w:rsidR="00E748A3" w:rsidRDefault="008907CD" w:rsidP="00594E81">
      <w:pPr>
        <w:spacing w:line="480" w:lineRule="auto"/>
      </w:pPr>
      <w:r>
        <w:tab/>
        <w:t>The 43</w:t>
      </w:r>
      <w:r w:rsidRPr="008907CD">
        <w:rPr>
          <w:vertAlign w:val="superscript"/>
        </w:rPr>
        <w:t>rd</w:t>
      </w:r>
      <w:r>
        <w:t xml:space="preserve"> issue </w:t>
      </w:r>
      <w:r w:rsidR="00DF2B3A">
        <w:t xml:space="preserve">of the </w:t>
      </w:r>
      <w:r w:rsidR="00DF2B3A" w:rsidRPr="00751D26">
        <w:rPr>
          <w:i/>
        </w:rPr>
        <w:t>Memoirs</w:t>
      </w:r>
      <w:r w:rsidR="00DF2B3A">
        <w:t xml:space="preserve"> </w:t>
      </w:r>
      <w:r>
        <w:t xml:space="preserve">is </w:t>
      </w:r>
      <w:r w:rsidR="00DF1068">
        <w:t xml:space="preserve">entirely </w:t>
      </w:r>
      <w:r>
        <w:t xml:space="preserve">devoted to the </w:t>
      </w:r>
      <w:r w:rsidR="00EF448E">
        <w:t>first volume</w:t>
      </w:r>
      <w:r w:rsidR="00A2778E">
        <w:t xml:space="preserve"> of the </w:t>
      </w:r>
      <w:r>
        <w:rPr>
          <w:i/>
        </w:rPr>
        <w:t xml:space="preserve">Miscellanea </w:t>
      </w:r>
      <w:proofErr w:type="spellStart"/>
      <w:r>
        <w:rPr>
          <w:i/>
        </w:rPr>
        <w:t>Berolinensia</w:t>
      </w:r>
      <w:proofErr w:type="spellEnd"/>
      <w:r w:rsidR="00B35B05">
        <w:t xml:space="preserve"> (1710)</w:t>
      </w:r>
      <w:r>
        <w:t>, the journal of the Berlin Academy of Sciences, which Leibniz had edited</w:t>
      </w:r>
      <w:r w:rsidR="00A2778E">
        <w:rPr>
          <w:rStyle w:val="FootnoteReference"/>
        </w:rPr>
        <w:footnoteReference w:id="29"/>
      </w:r>
      <w:r w:rsidR="0072219E">
        <w:t>.</w:t>
      </w:r>
      <w:r w:rsidR="00A2778E">
        <w:t xml:space="preserve"> De la Roche gives a general overview of the contents of the journal, with most of the report focusing on Leibniz’s </w:t>
      </w:r>
      <w:r w:rsidR="00B35B05">
        <w:t xml:space="preserve">many </w:t>
      </w:r>
      <w:r w:rsidR="00A2778E">
        <w:t xml:space="preserve">contributions, in particular his essay on </w:t>
      </w:r>
      <w:r w:rsidR="00A2778E">
        <w:lastRenderedPageBreak/>
        <w:t xml:space="preserve">the origin of languages, his essay on the origin of phosphorous, his letter to </w:t>
      </w:r>
      <w:proofErr w:type="spellStart"/>
      <w:r w:rsidR="00A2778E">
        <w:t>Spener</w:t>
      </w:r>
      <w:proofErr w:type="spellEnd"/>
      <w:r w:rsidR="00A2778E">
        <w:t xml:space="preserve"> about a crocodile fossil, and a number of essays on mathematical topics.</w:t>
      </w:r>
    </w:p>
    <w:p w:rsidR="002D5FA8" w:rsidRDefault="002D5FA8" w:rsidP="00594E81">
      <w:pPr>
        <w:spacing w:line="480" w:lineRule="auto"/>
        <w:ind w:firstLine="720"/>
      </w:pPr>
      <w:r>
        <w:t xml:space="preserve">Issue 60 is the first of four devoted to the </w:t>
      </w:r>
      <w:r>
        <w:rPr>
          <w:i/>
        </w:rPr>
        <w:t>Theodicy</w:t>
      </w:r>
      <w:r>
        <w:rPr>
          <w:rStyle w:val="FootnoteReference"/>
        </w:rPr>
        <w:footnoteReference w:id="30"/>
      </w:r>
      <w:r w:rsidR="0072219E">
        <w:rPr>
          <w:i/>
        </w:rPr>
        <w:t>.</w:t>
      </w:r>
      <w:r>
        <w:t xml:space="preserve"> In this issue, de la Roche focuses on the preface to the </w:t>
      </w:r>
      <w:r>
        <w:rPr>
          <w:i/>
        </w:rPr>
        <w:t>Theodicy</w:t>
      </w:r>
      <w:r>
        <w:t>, and his report alternates between describing the contents of the book, and quoting long passages from it.</w:t>
      </w:r>
    </w:p>
    <w:p w:rsidR="002D5FA8" w:rsidRDefault="002D5FA8" w:rsidP="00594E81">
      <w:pPr>
        <w:spacing w:line="480" w:lineRule="auto"/>
        <w:ind w:firstLine="720"/>
      </w:pPr>
      <w:r>
        <w:t xml:space="preserve">Issue 61 is the second of the four devoted to the </w:t>
      </w:r>
      <w:r>
        <w:rPr>
          <w:i/>
        </w:rPr>
        <w:t>Theodicy</w:t>
      </w:r>
      <w:r>
        <w:rPr>
          <w:rStyle w:val="FootnoteReference"/>
        </w:rPr>
        <w:footnoteReference w:id="31"/>
      </w:r>
      <w:r w:rsidR="0072219E">
        <w:rPr>
          <w:i/>
        </w:rPr>
        <w:t>.</w:t>
      </w:r>
      <w:r>
        <w:t xml:space="preserve"> </w:t>
      </w:r>
      <w:r w:rsidR="00F40659">
        <w:t>This time the focus is the preliminary discourse, and again the report contains both exposition and long quotations.</w:t>
      </w:r>
    </w:p>
    <w:p w:rsidR="00926C74" w:rsidRDefault="00926C74" w:rsidP="00594E81">
      <w:pPr>
        <w:spacing w:line="480" w:lineRule="auto"/>
        <w:ind w:firstLine="720"/>
      </w:pPr>
      <w:r>
        <w:t xml:space="preserve">Issue 65 is the third of four devoted to the </w:t>
      </w:r>
      <w:r>
        <w:rPr>
          <w:i/>
        </w:rPr>
        <w:t>Theodicy</w:t>
      </w:r>
      <w:r>
        <w:rPr>
          <w:rStyle w:val="FootnoteReference"/>
        </w:rPr>
        <w:footnoteReference w:id="32"/>
      </w:r>
      <w:r w:rsidR="0072219E">
        <w:rPr>
          <w:i/>
        </w:rPr>
        <w:t>.</w:t>
      </w:r>
      <w:r w:rsidR="00F97682">
        <w:t xml:space="preserve"> The focus here is on Leibniz’s explanations for the origin of evil.</w:t>
      </w:r>
    </w:p>
    <w:p w:rsidR="00F97682" w:rsidRPr="00F97682" w:rsidRDefault="00F97682" w:rsidP="00594E81">
      <w:pPr>
        <w:spacing w:line="480" w:lineRule="auto"/>
        <w:ind w:firstLine="720"/>
      </w:pPr>
      <w:r>
        <w:t xml:space="preserve">Issue 66 is the fourth on the </w:t>
      </w:r>
      <w:r>
        <w:rPr>
          <w:i/>
        </w:rPr>
        <w:t>Theodicy</w:t>
      </w:r>
      <w:r>
        <w:rPr>
          <w:rStyle w:val="FootnoteReference"/>
        </w:rPr>
        <w:footnoteReference w:id="33"/>
      </w:r>
      <w:r w:rsidR="0072219E">
        <w:rPr>
          <w:i/>
        </w:rPr>
        <w:t>.</w:t>
      </w:r>
      <w:r>
        <w:t xml:space="preserve"> In this issue, de la Roche paraphrases the mythical account of </w:t>
      </w:r>
      <w:r w:rsidR="00B14FF2">
        <w:t xml:space="preserve">Pallas </w:t>
      </w:r>
      <w:r w:rsidR="00481E2E">
        <w:t xml:space="preserve">and </w:t>
      </w:r>
      <w:proofErr w:type="spellStart"/>
      <w:r w:rsidR="00481E2E">
        <w:t>Theodorus</w:t>
      </w:r>
      <w:proofErr w:type="spellEnd"/>
      <w:r w:rsidR="00481E2E">
        <w:t xml:space="preserve"> </w:t>
      </w:r>
      <w:r w:rsidR="00B14FF2">
        <w:t>that closes</w:t>
      </w:r>
      <w:r>
        <w:t xml:space="preserve"> the </w:t>
      </w:r>
      <w:r>
        <w:rPr>
          <w:i/>
        </w:rPr>
        <w:t>Theodicy</w:t>
      </w:r>
      <w:r w:rsidR="00BC6A59">
        <w:rPr>
          <w:rStyle w:val="FootnoteReference"/>
        </w:rPr>
        <w:footnoteReference w:id="34"/>
      </w:r>
      <w:r w:rsidR="0072219E">
        <w:rPr>
          <w:i/>
        </w:rPr>
        <w:t>.</w:t>
      </w:r>
    </w:p>
    <w:p w:rsidR="001D4F92" w:rsidRDefault="00E419F9" w:rsidP="00594E81">
      <w:pPr>
        <w:spacing w:line="480" w:lineRule="auto"/>
        <w:ind w:firstLine="720"/>
      </w:pPr>
      <w:r>
        <w:rPr>
          <w:rFonts w:cs="Times New Roman"/>
        </w:rPr>
        <w:t>It is worth noting that d</w:t>
      </w:r>
      <w:r w:rsidR="00FE3969" w:rsidRPr="00462529">
        <w:rPr>
          <w:rFonts w:cs="Times New Roman"/>
        </w:rPr>
        <w:t xml:space="preserve">e la Roche’s keenness to promote Leibniz’s work did not stop at printing </w:t>
      </w:r>
      <w:r w:rsidR="00FE3969">
        <w:rPr>
          <w:rFonts w:cs="Times New Roman"/>
        </w:rPr>
        <w:t xml:space="preserve">reports on and </w:t>
      </w:r>
      <w:r w:rsidR="00FE3969" w:rsidRPr="00462529">
        <w:rPr>
          <w:rFonts w:cs="Times New Roman"/>
        </w:rPr>
        <w:t xml:space="preserve">extracts from the </w:t>
      </w:r>
      <w:r w:rsidR="00FE3969" w:rsidRPr="00462529">
        <w:rPr>
          <w:rFonts w:cs="Times New Roman"/>
          <w:i/>
        </w:rPr>
        <w:t>Theodicy</w:t>
      </w:r>
      <w:r w:rsidR="00FE3969" w:rsidRPr="00462529">
        <w:rPr>
          <w:rFonts w:cs="Times New Roman"/>
        </w:rPr>
        <w:t xml:space="preserve">: in later </w:t>
      </w:r>
      <w:r>
        <w:rPr>
          <w:rFonts w:cs="Times New Roman"/>
        </w:rPr>
        <w:t>issues</w:t>
      </w:r>
      <w:r w:rsidR="00FE3969" w:rsidRPr="00462529">
        <w:rPr>
          <w:rFonts w:cs="Times New Roman"/>
        </w:rPr>
        <w:t xml:space="preserve"> of the </w:t>
      </w:r>
      <w:r w:rsidR="00FE3969" w:rsidRPr="00462529">
        <w:rPr>
          <w:rFonts w:cs="Times New Roman"/>
          <w:i/>
        </w:rPr>
        <w:t>Memoirs of Literature</w:t>
      </w:r>
      <w:r w:rsidR="00FE3969" w:rsidRPr="00462529">
        <w:rPr>
          <w:rFonts w:cs="Times New Roman"/>
        </w:rPr>
        <w:t xml:space="preserve"> he included English translations of some letters exchanged between Leibniz and </w:t>
      </w:r>
      <w:proofErr w:type="spellStart"/>
      <w:r w:rsidR="00FE3969" w:rsidRPr="00462529">
        <w:rPr>
          <w:rFonts w:cs="Times New Roman"/>
        </w:rPr>
        <w:t>Nikolaus</w:t>
      </w:r>
      <w:proofErr w:type="spellEnd"/>
      <w:r w:rsidR="00FE3969" w:rsidRPr="00462529">
        <w:rPr>
          <w:rFonts w:cs="Times New Roman"/>
        </w:rPr>
        <w:t xml:space="preserve"> </w:t>
      </w:r>
      <w:proofErr w:type="spellStart"/>
      <w:r w:rsidR="00FE3969" w:rsidRPr="00462529">
        <w:rPr>
          <w:rFonts w:cs="Times New Roman"/>
        </w:rPr>
        <w:t>Hartsoeker</w:t>
      </w:r>
      <w:proofErr w:type="spellEnd"/>
      <w:r w:rsidR="00FE3969">
        <w:rPr>
          <w:rStyle w:val="FootnoteReference"/>
          <w:rFonts w:cs="Times New Roman"/>
        </w:rPr>
        <w:footnoteReference w:id="35"/>
      </w:r>
      <w:r w:rsidR="0072219E">
        <w:rPr>
          <w:rFonts w:cs="Times New Roman"/>
        </w:rPr>
        <w:t>,</w:t>
      </w:r>
      <w:r w:rsidR="00FE3969">
        <w:rPr>
          <w:rFonts w:cs="Times New Roman"/>
        </w:rPr>
        <w:t xml:space="preserve"> an English translation of</w:t>
      </w:r>
      <w:r w:rsidR="00FE3969" w:rsidRPr="00462529">
        <w:rPr>
          <w:rFonts w:cs="Times New Roman"/>
        </w:rPr>
        <w:t xml:space="preserve"> Leibniz’s essay entitled “Philosophical </w:t>
      </w:r>
      <w:r w:rsidR="00FE3969" w:rsidRPr="00462529">
        <w:rPr>
          <w:rFonts w:cs="Times New Roman"/>
        </w:rPr>
        <w:lastRenderedPageBreak/>
        <w:t xml:space="preserve">reflections occasioned by some letters published at </w:t>
      </w:r>
      <w:proofErr w:type="spellStart"/>
      <w:r w:rsidR="00FE3969" w:rsidRPr="00462529">
        <w:rPr>
          <w:rFonts w:cs="Times New Roman"/>
        </w:rPr>
        <w:t>Trevoux</w:t>
      </w:r>
      <w:proofErr w:type="spellEnd"/>
      <w:r w:rsidR="00FE3969" w:rsidRPr="00462529">
        <w:rPr>
          <w:rFonts w:cs="Times New Roman"/>
        </w:rPr>
        <w:t xml:space="preserve"> in 1703”</w:t>
      </w:r>
      <w:r w:rsidR="0072219E">
        <w:rPr>
          <w:rFonts w:cs="Times New Roman"/>
        </w:rPr>
        <w:t>,</w:t>
      </w:r>
      <w:r w:rsidR="00FE3969">
        <w:rPr>
          <w:rFonts w:cs="Times New Roman"/>
        </w:rPr>
        <w:t xml:space="preserve"> first published in the </w:t>
      </w:r>
      <w:r w:rsidR="00FE3969" w:rsidRPr="001D4F92">
        <w:rPr>
          <w:rFonts w:cs="Times New Roman"/>
          <w:i/>
        </w:rPr>
        <w:t xml:space="preserve">Journal de </w:t>
      </w:r>
      <w:proofErr w:type="spellStart"/>
      <w:r w:rsidR="00FE3969" w:rsidRPr="001D4F92">
        <w:rPr>
          <w:rFonts w:cs="Times New Roman"/>
          <w:i/>
        </w:rPr>
        <w:t>Trévoux</w:t>
      </w:r>
      <w:proofErr w:type="spellEnd"/>
      <w:r w:rsidR="000C458D">
        <w:rPr>
          <w:rStyle w:val="FootnoteReference"/>
          <w:rFonts w:cs="Times New Roman"/>
        </w:rPr>
        <w:footnoteReference w:id="36"/>
      </w:r>
      <w:r w:rsidR="0072219E">
        <w:rPr>
          <w:rFonts w:cs="Times New Roman"/>
          <w:i/>
        </w:rPr>
        <w:t>,</w:t>
      </w:r>
      <w:r w:rsidR="00FE3969">
        <w:rPr>
          <w:rFonts w:cs="Times New Roman"/>
        </w:rPr>
        <w:t xml:space="preserve"> </w:t>
      </w:r>
      <w:r w:rsidR="00BD6D1A">
        <w:t xml:space="preserve">and a </w:t>
      </w:r>
      <w:r w:rsidR="00FE3969">
        <w:t>further short extract</w:t>
      </w:r>
      <w:r w:rsidR="00BD6D1A">
        <w:t xml:space="preserve"> from the </w:t>
      </w:r>
      <w:r w:rsidR="00BD6D1A">
        <w:rPr>
          <w:i/>
        </w:rPr>
        <w:t>Theodicy</w:t>
      </w:r>
      <w:r w:rsidR="00BD6D1A">
        <w:t xml:space="preserve"> on </w:t>
      </w:r>
      <w:r w:rsidR="00B35B05">
        <w:t xml:space="preserve">the subject of </w:t>
      </w:r>
      <w:r w:rsidR="00BD6D1A">
        <w:t>witchcraft</w:t>
      </w:r>
      <w:r w:rsidR="00BD6D1A">
        <w:rPr>
          <w:rStyle w:val="FootnoteReference"/>
        </w:rPr>
        <w:footnoteReference w:id="37"/>
      </w:r>
      <w:r w:rsidR="0072219E">
        <w:t>.</w:t>
      </w:r>
      <w:r w:rsidR="00A45669">
        <w:t xml:space="preserve"> </w:t>
      </w:r>
      <w:r w:rsidR="00CA5DD9">
        <w:t>De la Roche was clear</w:t>
      </w:r>
      <w:r w:rsidR="002B7DA5">
        <w:t>ly</w:t>
      </w:r>
      <w:r w:rsidR="00CA5DD9">
        <w:t xml:space="preserve"> an admirer of Leibniz’s</w:t>
      </w:r>
      <w:r w:rsidR="00A45669">
        <w:t xml:space="preserve">: no other thinker </w:t>
      </w:r>
      <w:r w:rsidR="00E7400F">
        <w:t>wa</w:t>
      </w:r>
      <w:r w:rsidR="00A45669">
        <w:t xml:space="preserve">s </w:t>
      </w:r>
      <w:r>
        <w:t>discussed so often</w:t>
      </w:r>
      <w:r w:rsidR="00DF2B3A">
        <w:t xml:space="preserve"> in the </w:t>
      </w:r>
      <w:r w:rsidR="00DF2B3A">
        <w:rPr>
          <w:i/>
        </w:rPr>
        <w:t>Memoirs</w:t>
      </w:r>
      <w:r>
        <w:t xml:space="preserve">, or </w:t>
      </w:r>
      <w:r w:rsidR="00A45669">
        <w:t>given as many column inches</w:t>
      </w:r>
      <w:r w:rsidR="001D4F92">
        <w:t xml:space="preserve"> as he </w:t>
      </w:r>
      <w:r w:rsidR="00E7400F">
        <w:t>wa</w:t>
      </w:r>
      <w:r w:rsidR="001D4F92">
        <w:t>s</w:t>
      </w:r>
      <w:r w:rsidR="00CA5DD9">
        <w:t>.</w:t>
      </w:r>
    </w:p>
    <w:p w:rsidR="001709C7" w:rsidRPr="00C71DD3" w:rsidRDefault="001D4F92" w:rsidP="00594E81">
      <w:pPr>
        <w:spacing w:line="480" w:lineRule="auto"/>
        <w:ind w:firstLine="720"/>
      </w:pPr>
      <w:r>
        <w:t xml:space="preserve">It is clear that de la Roche had a high regard for the </w:t>
      </w:r>
      <w:r>
        <w:rPr>
          <w:i/>
        </w:rPr>
        <w:t>Theodicy</w:t>
      </w:r>
      <w:r>
        <w:t xml:space="preserve"> in particular</w:t>
      </w:r>
      <w:r w:rsidR="00A45669">
        <w:rPr>
          <w:rStyle w:val="FootnoteReference"/>
        </w:rPr>
        <w:footnoteReference w:id="38"/>
      </w:r>
      <w:r w:rsidR="0072219E">
        <w:t>.</w:t>
      </w:r>
      <w:r w:rsidR="00A45669">
        <w:t xml:space="preserve"> </w:t>
      </w:r>
      <w:r>
        <w:t xml:space="preserve">In the first of </w:t>
      </w:r>
      <w:r w:rsidR="000233DE">
        <w:t>his</w:t>
      </w:r>
      <w:r>
        <w:t xml:space="preserve"> four reports </w:t>
      </w:r>
      <w:r w:rsidR="000233DE">
        <w:t xml:space="preserve">on the book </w:t>
      </w:r>
      <w:r>
        <w:t xml:space="preserve">he explains that </w:t>
      </w:r>
      <w:r w:rsidR="000233DE">
        <w:t>it</w:t>
      </w:r>
      <w:r>
        <w:t xml:space="preserve"> deals with some of the most important topics in philosophy and divinity, and was written by a man </w:t>
      </w:r>
      <w:r w:rsidR="00B35B05">
        <w:t>“</w:t>
      </w:r>
      <w:r>
        <w:t>eminently qualified</w:t>
      </w:r>
      <w:r w:rsidR="00B35B05">
        <w:t>”</w:t>
      </w:r>
      <w:r>
        <w:t xml:space="preserve"> to treat of them</w:t>
      </w:r>
      <w:r w:rsidR="00B35B05">
        <w:rPr>
          <w:rStyle w:val="FootnoteReference"/>
        </w:rPr>
        <w:footnoteReference w:id="39"/>
      </w:r>
      <w:r w:rsidR="0072219E">
        <w:t>.</w:t>
      </w:r>
      <w:r>
        <w:t xml:space="preserve"> </w:t>
      </w:r>
      <w:r w:rsidR="001709C7">
        <w:t xml:space="preserve">(It is interesting to note that throughout the reports on the </w:t>
      </w:r>
      <w:r w:rsidR="001709C7">
        <w:rPr>
          <w:i/>
        </w:rPr>
        <w:t>Theodicy</w:t>
      </w:r>
      <w:r w:rsidR="001709C7">
        <w:t xml:space="preserve">, Leibniz’s name is never mentioned; instead, de la Roche refers to the author as </w:t>
      </w:r>
      <w:r w:rsidR="00B35B05">
        <w:t>“</w:t>
      </w:r>
      <w:proofErr w:type="spellStart"/>
      <w:r w:rsidR="0072219E">
        <w:t>Theodicaeus</w:t>
      </w:r>
      <w:proofErr w:type="spellEnd"/>
      <w:r w:rsidR="00B35B05">
        <w:t>”</w:t>
      </w:r>
      <w:r w:rsidR="001709C7">
        <w:rPr>
          <w:rStyle w:val="FootnoteReference"/>
        </w:rPr>
        <w:footnoteReference w:id="40"/>
      </w:r>
      <w:r w:rsidR="0072219E">
        <w:t>.</w:t>
      </w:r>
      <w:r w:rsidR="001709C7">
        <w:t xml:space="preserve"> However </w:t>
      </w:r>
      <w:r w:rsidR="001709C7">
        <w:lastRenderedPageBreak/>
        <w:t xml:space="preserve">there is little doubt that </w:t>
      </w:r>
      <w:r w:rsidR="0072219E">
        <w:t>he knew of Leibniz’s authorship</w:t>
      </w:r>
      <w:r w:rsidR="001709C7">
        <w:rPr>
          <w:rStyle w:val="FootnoteReference"/>
        </w:rPr>
        <w:footnoteReference w:id="41"/>
      </w:r>
      <w:r w:rsidR="0072219E">
        <w:t>).</w:t>
      </w:r>
      <w:r w:rsidR="001709C7">
        <w:t xml:space="preserve"> In the third report, de la Roche outlines the long-standing </w:t>
      </w:r>
      <w:r w:rsidR="006105EB">
        <w:t>difficulties about</w:t>
      </w:r>
      <w:r w:rsidR="001709C7">
        <w:t xml:space="preserve"> the origin of evil which Leibniz tackles in the </w:t>
      </w:r>
      <w:r w:rsidR="001709C7">
        <w:rPr>
          <w:i/>
        </w:rPr>
        <w:t>Theodicy</w:t>
      </w:r>
      <w:r w:rsidR="001709C7">
        <w:t>, and informs the reader that Leibniz, “far from being afraid of sinking under the Weight of those Difficulties, discovers a sort of Confidence not unbecoming so great a Philosopher” in framing his answer</w:t>
      </w:r>
      <w:r w:rsidR="001709C7">
        <w:rPr>
          <w:rStyle w:val="FootnoteReference"/>
        </w:rPr>
        <w:footnoteReference w:id="42"/>
      </w:r>
      <w:r w:rsidR="0072219E">
        <w:t>.</w:t>
      </w:r>
      <w:r w:rsidR="001709C7">
        <w:t xml:space="preserve"> </w:t>
      </w:r>
      <w:r w:rsidR="00443EE7">
        <w:t xml:space="preserve">He goes on to </w:t>
      </w:r>
      <w:r w:rsidR="00227B9A">
        <w:t>praise</w:t>
      </w:r>
      <w:r w:rsidR="00443EE7">
        <w:t xml:space="preserve"> Leibniz’s reconciliation of human freedom and God’s foreknowledge</w:t>
      </w:r>
      <w:r w:rsidR="00443EE7">
        <w:rPr>
          <w:rStyle w:val="FootnoteReference"/>
        </w:rPr>
        <w:footnoteReference w:id="43"/>
      </w:r>
      <w:r w:rsidR="0072219E">
        <w:t>.</w:t>
      </w:r>
      <w:r w:rsidR="00C71DD3">
        <w:t xml:space="preserve"> </w:t>
      </w:r>
      <w:r w:rsidR="001709C7">
        <w:t>The fourth report begins with praise about the clarity of Leibniz’s explanations, and his ability to express himself in a popular manner</w:t>
      </w:r>
      <w:r w:rsidR="00443EE7">
        <w:rPr>
          <w:rStyle w:val="FootnoteReference"/>
        </w:rPr>
        <w:footnoteReference w:id="44"/>
      </w:r>
      <w:r w:rsidR="0072219E">
        <w:t>.</w:t>
      </w:r>
      <w:r w:rsidR="001709C7">
        <w:t xml:space="preserve"> There is in the whole</w:t>
      </w:r>
      <w:r w:rsidR="00C71DD3">
        <w:t xml:space="preserve"> series of reports on the </w:t>
      </w:r>
      <w:r w:rsidR="00C71DD3">
        <w:rPr>
          <w:i/>
        </w:rPr>
        <w:t>Theodicy</w:t>
      </w:r>
      <w:r w:rsidR="00C71DD3">
        <w:t xml:space="preserve"> just a single moment when de la Roche indicates possible disagreement: </w:t>
      </w:r>
      <w:r w:rsidR="000233DE">
        <w:t xml:space="preserve">at the end of the third report he says that </w:t>
      </w:r>
      <w:r w:rsidR="00C71DD3">
        <w:t xml:space="preserve">Leibniz’s </w:t>
      </w:r>
      <w:r w:rsidR="000233DE">
        <w:t xml:space="preserve">treatment of the </w:t>
      </w:r>
      <w:r w:rsidR="000233DE">
        <w:lastRenderedPageBreak/>
        <w:t>topics of Election and Reprobation</w:t>
      </w:r>
      <w:r w:rsidR="00C71DD3">
        <w:t xml:space="preserve"> “perhaps will not appear </w:t>
      </w:r>
      <w:proofErr w:type="gramStart"/>
      <w:r w:rsidR="00C71DD3">
        <w:t>so</w:t>
      </w:r>
      <w:proofErr w:type="gramEnd"/>
      <w:r w:rsidR="00C71DD3">
        <w:t xml:space="preserve"> satisfactory as several others”</w:t>
      </w:r>
      <w:r w:rsidR="00C71DD3">
        <w:rPr>
          <w:rStyle w:val="FootnoteReference"/>
        </w:rPr>
        <w:footnoteReference w:id="45"/>
      </w:r>
      <w:r w:rsidR="0072219E">
        <w:t>,</w:t>
      </w:r>
      <w:r w:rsidR="00227B9A">
        <w:t xml:space="preserve"> though no </w:t>
      </w:r>
      <w:r w:rsidR="00227B9A" w:rsidRPr="00363F12">
        <w:rPr>
          <w:rFonts w:cs="Times New Roman"/>
        </w:rPr>
        <w:t xml:space="preserve">reason for this </w:t>
      </w:r>
      <w:r w:rsidR="00227B9A">
        <w:rPr>
          <w:rFonts w:cs="Times New Roman"/>
        </w:rPr>
        <w:t>apparent</w:t>
      </w:r>
      <w:r w:rsidR="00227B9A" w:rsidRPr="00363F12">
        <w:rPr>
          <w:rFonts w:cs="Times New Roman"/>
        </w:rPr>
        <w:t xml:space="preserve"> disapproval is given.</w:t>
      </w:r>
    </w:p>
    <w:p w:rsidR="00E10BBF" w:rsidRDefault="00C71DD3" w:rsidP="00594E81">
      <w:pPr>
        <w:spacing w:line="480" w:lineRule="auto"/>
        <w:ind w:firstLine="720"/>
      </w:pPr>
      <w:r>
        <w:t xml:space="preserve">One can only imagine that Leibniz would have been thrilled with the </w:t>
      </w:r>
      <w:r w:rsidR="00F114F0">
        <w:t>reports</w:t>
      </w:r>
      <w:r>
        <w:t xml:space="preserve"> of his book in the </w:t>
      </w:r>
      <w:r>
        <w:rPr>
          <w:i/>
        </w:rPr>
        <w:t>Memoirs</w:t>
      </w:r>
      <w:r>
        <w:t xml:space="preserve">. </w:t>
      </w:r>
      <w:r w:rsidR="00F114F0">
        <w:t>Unfortunately, however, h</w:t>
      </w:r>
      <w:r>
        <w:t xml:space="preserve">is knowledge of them was </w:t>
      </w:r>
      <w:r w:rsidR="00921739">
        <w:t xml:space="preserve">very much </w:t>
      </w:r>
      <w:r w:rsidR="00F114F0">
        <w:t>imperfect</w:t>
      </w:r>
      <w:r>
        <w:t xml:space="preserve">. </w:t>
      </w:r>
      <w:r w:rsidR="00F114F0">
        <w:t xml:space="preserve">It was only in late 1712 that </w:t>
      </w:r>
      <w:r w:rsidR="00E10BBF">
        <w:t xml:space="preserve">Leibniz became aware </w:t>
      </w:r>
      <w:r w:rsidR="00A1279C">
        <w:t xml:space="preserve">that the </w:t>
      </w:r>
      <w:r w:rsidR="00A1279C">
        <w:rPr>
          <w:i/>
        </w:rPr>
        <w:t>Memoirs</w:t>
      </w:r>
      <w:r w:rsidR="00A1279C">
        <w:t xml:space="preserve"> had </w:t>
      </w:r>
      <w:r>
        <w:t xml:space="preserve">included reports on </w:t>
      </w:r>
      <w:r w:rsidR="00A1279C">
        <w:t xml:space="preserve">the </w:t>
      </w:r>
      <w:r w:rsidR="00A1279C" w:rsidRPr="00A1279C">
        <w:rPr>
          <w:i/>
        </w:rPr>
        <w:t>Theodicy</w:t>
      </w:r>
      <w:r w:rsidR="00A1279C">
        <w:t xml:space="preserve">, after having been informed of </w:t>
      </w:r>
      <w:r w:rsidR="00B95762">
        <w:t>it</w:t>
      </w:r>
      <w:r w:rsidR="00B35B05">
        <w:t xml:space="preserve"> in person</w:t>
      </w:r>
      <w:r w:rsidR="00A1279C">
        <w:t xml:space="preserve"> by</w:t>
      </w:r>
      <w:r w:rsidR="00E10BBF">
        <w:t xml:space="preserve"> Samuel </w:t>
      </w:r>
      <w:proofErr w:type="spellStart"/>
      <w:r w:rsidR="004F750A">
        <w:t>U</w:t>
      </w:r>
      <w:r w:rsidR="00E10BBF" w:rsidRPr="00162933">
        <w:t>rlsperger</w:t>
      </w:r>
      <w:proofErr w:type="spellEnd"/>
      <w:r w:rsidR="00A1279C">
        <w:t xml:space="preserve">, a Lutheran preacher </w:t>
      </w:r>
      <w:r>
        <w:t xml:space="preserve">who had spent time </w:t>
      </w:r>
      <w:r w:rsidR="00A1279C">
        <w:t xml:space="preserve">in London. Later, in January 1713, </w:t>
      </w:r>
      <w:r w:rsidR="00481E2E">
        <w:t>and at Leibniz’s request</w:t>
      </w:r>
      <w:r w:rsidR="00935A3C">
        <w:rPr>
          <w:rStyle w:val="FootnoteReference"/>
        </w:rPr>
        <w:footnoteReference w:id="46"/>
      </w:r>
      <w:r w:rsidR="0072219E">
        <w:t>,</w:t>
      </w:r>
      <w:r w:rsidR="00481E2E">
        <w:t xml:space="preserve"> </w:t>
      </w:r>
      <w:proofErr w:type="spellStart"/>
      <w:r w:rsidR="004F750A">
        <w:t>U</w:t>
      </w:r>
      <w:r w:rsidR="00A1279C" w:rsidRPr="00162933">
        <w:t>rlsperger</w:t>
      </w:r>
      <w:proofErr w:type="spellEnd"/>
      <w:r w:rsidR="00A1279C">
        <w:t xml:space="preserve"> </w:t>
      </w:r>
      <w:r w:rsidR="00E10BBF">
        <w:t xml:space="preserve">copied out part of the first </w:t>
      </w:r>
      <w:r w:rsidR="001A70BE">
        <w:t>report on</w:t>
      </w:r>
      <w:r w:rsidR="00A1279C">
        <w:t xml:space="preserve"> the </w:t>
      </w:r>
      <w:r w:rsidR="00A1279C" w:rsidRPr="00A1279C">
        <w:rPr>
          <w:i/>
        </w:rPr>
        <w:t>Theodicy</w:t>
      </w:r>
      <w:r w:rsidR="00A1279C">
        <w:t xml:space="preserve"> (from issue 60 of the </w:t>
      </w:r>
      <w:r w:rsidR="00A1279C">
        <w:rPr>
          <w:i/>
        </w:rPr>
        <w:t>Memoirs</w:t>
      </w:r>
      <w:r w:rsidR="00E10BBF">
        <w:rPr>
          <w:rStyle w:val="FootnoteReference"/>
        </w:rPr>
        <w:footnoteReference w:id="47"/>
      </w:r>
      <w:r w:rsidR="0072219E" w:rsidRPr="0072219E">
        <w:t>).</w:t>
      </w:r>
      <w:r w:rsidR="00C812B8">
        <w:t xml:space="preserve"> </w:t>
      </w:r>
      <w:r w:rsidR="00921739">
        <w:t>While this woul</w:t>
      </w:r>
      <w:r w:rsidR="00DF2B3A">
        <w:t xml:space="preserve">d have given him </w:t>
      </w:r>
      <w:r w:rsidR="00B35B05">
        <w:t>some idea</w:t>
      </w:r>
      <w:r w:rsidR="00DF2B3A">
        <w:t xml:space="preserve"> </w:t>
      </w:r>
      <w:r w:rsidR="00921739">
        <w:t>of what the journal had done, a</w:t>
      </w:r>
      <w:r w:rsidR="0010438D">
        <w:t xml:space="preserve">s far as I can tell Leibniz did not get to see any of the issues of the </w:t>
      </w:r>
      <w:r w:rsidR="0010438D">
        <w:rPr>
          <w:i/>
        </w:rPr>
        <w:t>Memoirs of Literature</w:t>
      </w:r>
      <w:r w:rsidR="0010438D">
        <w:t xml:space="preserve">, and so was almost certainly unaware of the extent of the attention he had received in </w:t>
      </w:r>
      <w:r w:rsidR="00F114F0">
        <w:t>it</w:t>
      </w:r>
      <w:r w:rsidR="0010438D">
        <w:t>, a</w:t>
      </w:r>
      <w:r w:rsidR="0030498A">
        <w:t>s well as the extent</w:t>
      </w:r>
      <w:r w:rsidR="0010438D">
        <w:t xml:space="preserve"> of de la Roche’s admiration of him</w:t>
      </w:r>
      <w:r w:rsidR="00403534">
        <w:rPr>
          <w:rStyle w:val="FootnoteReference"/>
        </w:rPr>
        <w:footnoteReference w:id="48"/>
      </w:r>
      <w:r w:rsidR="0072219E">
        <w:t>.</w:t>
      </w:r>
    </w:p>
    <w:p w:rsidR="00363F12" w:rsidRDefault="00823E39" w:rsidP="00594E81">
      <w:pPr>
        <w:spacing w:line="480" w:lineRule="auto"/>
        <w:ind w:firstLine="720"/>
      </w:pPr>
      <w:r>
        <w:t xml:space="preserve">It happens that the </w:t>
      </w:r>
      <w:r>
        <w:rPr>
          <w:i/>
        </w:rPr>
        <w:t>Memoirs of Literature</w:t>
      </w:r>
      <w:r>
        <w:t xml:space="preserve"> also provided the </w:t>
      </w:r>
      <w:r w:rsidR="00B24005">
        <w:rPr>
          <w:rFonts w:cs="Times New Roman"/>
        </w:rPr>
        <w:t>occasional cause</w:t>
      </w:r>
      <w:r>
        <w:rPr>
          <w:rFonts w:cs="Times New Roman"/>
        </w:rPr>
        <w:t xml:space="preserve"> for </w:t>
      </w:r>
      <w:r w:rsidR="00B24005">
        <w:rPr>
          <w:rFonts w:cs="Times New Roman"/>
        </w:rPr>
        <w:t xml:space="preserve">Leibniz’s </w:t>
      </w:r>
      <w:r w:rsidR="006A61F3">
        <w:rPr>
          <w:rFonts w:cs="Times New Roman"/>
        </w:rPr>
        <w:t xml:space="preserve">initial </w:t>
      </w:r>
      <w:r w:rsidR="001100D3">
        <w:rPr>
          <w:rFonts w:cs="Times New Roman"/>
        </w:rPr>
        <w:t>desire</w:t>
      </w:r>
      <w:r w:rsidR="00B24005">
        <w:rPr>
          <w:rFonts w:cs="Times New Roman"/>
        </w:rPr>
        <w:t xml:space="preserve"> to have the </w:t>
      </w:r>
      <w:r w:rsidR="00B24005">
        <w:rPr>
          <w:rFonts w:cs="Times New Roman"/>
          <w:i/>
        </w:rPr>
        <w:t>Theodicy</w:t>
      </w:r>
      <w:r w:rsidR="00B24005">
        <w:rPr>
          <w:rFonts w:cs="Times New Roman"/>
        </w:rPr>
        <w:t xml:space="preserve"> translated into</w:t>
      </w:r>
      <w:r w:rsidR="00481E2E">
        <w:rPr>
          <w:rFonts w:cs="Times New Roman"/>
        </w:rPr>
        <w:t xml:space="preserve"> English</w:t>
      </w:r>
      <w:r>
        <w:rPr>
          <w:rFonts w:cs="Times New Roman"/>
        </w:rPr>
        <w:t>.</w:t>
      </w:r>
      <w:r w:rsidR="00363F12">
        <w:rPr>
          <w:rFonts w:cs="Times New Roman"/>
        </w:rPr>
        <w:t xml:space="preserve"> To understand this, we need to consider issue 61 of the journal, and specifically de la Roche’s quotation of</w:t>
      </w:r>
      <w:r w:rsidR="00363F12">
        <w:t xml:space="preserve"> </w:t>
      </w:r>
      <w:r w:rsidR="00363F12">
        <w:rPr>
          <w:rFonts w:cs="Times New Roman"/>
        </w:rPr>
        <w:t>§</w:t>
      </w:r>
      <w:r w:rsidR="00363F12">
        <w:t xml:space="preserve">18 of the Preliminary Discourse to Leibniz’s </w:t>
      </w:r>
      <w:r w:rsidR="00363F12">
        <w:rPr>
          <w:i/>
        </w:rPr>
        <w:t>Theodicy</w:t>
      </w:r>
      <w:r w:rsidR="00363F12">
        <w:t>:</w:t>
      </w:r>
    </w:p>
    <w:p w:rsidR="00363F12" w:rsidRDefault="00363F12" w:rsidP="00594E81">
      <w:pPr>
        <w:spacing w:line="480" w:lineRule="auto"/>
      </w:pPr>
    </w:p>
    <w:p w:rsidR="00363F12" w:rsidRPr="00E47472" w:rsidRDefault="00E47472" w:rsidP="00594E81">
      <w:pPr>
        <w:spacing w:line="480" w:lineRule="auto"/>
        <w:rPr>
          <w:sz w:val="20"/>
          <w:szCs w:val="20"/>
        </w:rPr>
      </w:pPr>
      <w:r w:rsidRPr="00E47472">
        <w:rPr>
          <w:sz w:val="20"/>
          <w:szCs w:val="20"/>
        </w:rPr>
        <w:t>“</w:t>
      </w:r>
      <w:proofErr w:type="spellStart"/>
      <w:r w:rsidR="00363F12" w:rsidRPr="00E47472">
        <w:rPr>
          <w:i/>
          <w:sz w:val="20"/>
          <w:szCs w:val="20"/>
        </w:rPr>
        <w:t>Theodicaeus</w:t>
      </w:r>
      <w:proofErr w:type="spellEnd"/>
      <w:r w:rsidR="00363F12" w:rsidRPr="00E47472">
        <w:rPr>
          <w:sz w:val="20"/>
          <w:szCs w:val="20"/>
        </w:rPr>
        <w:t xml:space="preserve"> informs us, that the Lutherans ‘do not approve the Doctrine of Consubstantiation or Impanation, and that it cannot be ascribed to them, but by those who are not well acquainted with their Opinion: For they do not admit the Inclusion of the Body of Christ in the Bread, nor any Union between both, but only a Concomitancy, whereby those Two substance</w:t>
      </w:r>
      <w:r w:rsidR="0072219E" w:rsidRPr="00E47472">
        <w:rPr>
          <w:sz w:val="20"/>
          <w:szCs w:val="20"/>
        </w:rPr>
        <w:t>s are received at the same time</w:t>
      </w:r>
      <w:r w:rsidR="00363F12" w:rsidRPr="00E47472">
        <w:rPr>
          <w:sz w:val="20"/>
          <w:szCs w:val="20"/>
        </w:rPr>
        <w:t>’</w:t>
      </w:r>
      <w:r w:rsidRPr="00E47472">
        <w:rPr>
          <w:sz w:val="20"/>
          <w:szCs w:val="20"/>
        </w:rPr>
        <w:t>”</w:t>
      </w:r>
      <w:r w:rsidR="00363F12" w:rsidRPr="00E47472">
        <w:rPr>
          <w:rStyle w:val="FootnoteReference"/>
          <w:sz w:val="20"/>
          <w:szCs w:val="20"/>
        </w:rPr>
        <w:footnoteReference w:id="49"/>
      </w:r>
      <w:r w:rsidR="0072219E" w:rsidRPr="00E47472">
        <w:rPr>
          <w:sz w:val="20"/>
          <w:szCs w:val="20"/>
        </w:rPr>
        <w:t>.</w:t>
      </w:r>
    </w:p>
    <w:p w:rsidR="00D9216B" w:rsidRPr="00307DD0" w:rsidRDefault="00D9216B" w:rsidP="00594E81">
      <w:pPr>
        <w:spacing w:line="480" w:lineRule="auto"/>
      </w:pPr>
    </w:p>
    <w:p w:rsidR="001100D3" w:rsidRDefault="001100D3" w:rsidP="00594E81">
      <w:pPr>
        <w:spacing w:line="480" w:lineRule="auto"/>
        <w:ind w:firstLine="720"/>
        <w:rPr>
          <w:rFonts w:cs="Times New Roman"/>
        </w:rPr>
      </w:pPr>
      <w:r>
        <w:t>Leibniz was made aware of th</w:t>
      </w:r>
      <w:r w:rsidR="00363F12">
        <w:t>is passage</w:t>
      </w:r>
      <w:r>
        <w:t xml:space="preserve"> </w:t>
      </w:r>
      <w:r w:rsidR="00921739">
        <w:t xml:space="preserve">by </w:t>
      </w:r>
      <w:proofErr w:type="spellStart"/>
      <w:r w:rsidR="00C106F2">
        <w:t>U</w:t>
      </w:r>
      <w:r w:rsidR="00921739" w:rsidRPr="00162933">
        <w:t>rlsperger</w:t>
      </w:r>
      <w:proofErr w:type="spellEnd"/>
      <w:r w:rsidR="00921739">
        <w:t xml:space="preserve"> </w:t>
      </w:r>
      <w:r>
        <w:t>and became concerned that the Anglican attacks on the Lutheran doctrine of the Eucharist were politically motivated, being undertaken by those opposed to the Hanoverian succession</w:t>
      </w:r>
      <w:r w:rsidR="00363F12">
        <w:rPr>
          <w:rStyle w:val="FootnoteReference"/>
        </w:rPr>
        <w:footnoteReference w:id="50"/>
      </w:r>
      <w:r w:rsidR="0072219E">
        <w:t>.</w:t>
      </w:r>
      <w:r>
        <w:t xml:space="preserve"> A passage from Leibniz’s letter to Thomas Burnett of 18 October 1712 is very instructive and worth quoting </w:t>
      </w:r>
      <w:r w:rsidR="006A61F3">
        <w:t>at length</w:t>
      </w:r>
      <w:r>
        <w:t>:</w:t>
      </w:r>
    </w:p>
    <w:p w:rsidR="00823E39" w:rsidRDefault="00823E39" w:rsidP="00594E81">
      <w:pPr>
        <w:spacing w:line="480" w:lineRule="auto"/>
      </w:pPr>
    </w:p>
    <w:p w:rsidR="00823E39" w:rsidRPr="00E47472" w:rsidRDefault="00E47472" w:rsidP="00594E81">
      <w:pPr>
        <w:spacing w:line="480" w:lineRule="auto"/>
        <w:rPr>
          <w:sz w:val="20"/>
          <w:szCs w:val="20"/>
        </w:rPr>
      </w:pPr>
      <w:r w:rsidRPr="00E47472">
        <w:rPr>
          <w:sz w:val="20"/>
          <w:szCs w:val="20"/>
        </w:rPr>
        <w:t>“</w:t>
      </w:r>
      <w:r w:rsidR="00823E39" w:rsidRPr="00E47472">
        <w:rPr>
          <w:sz w:val="20"/>
          <w:szCs w:val="20"/>
        </w:rPr>
        <w:t xml:space="preserve">A young German theologian who returned from England told me that the author of </w:t>
      </w:r>
      <w:r w:rsidR="00823E39" w:rsidRPr="00E47472">
        <w:rPr>
          <w:i/>
          <w:sz w:val="20"/>
          <w:szCs w:val="20"/>
        </w:rPr>
        <w:t>Memoirs of Literature</w:t>
      </w:r>
      <w:r w:rsidR="00823E39" w:rsidRPr="00E47472">
        <w:rPr>
          <w:sz w:val="20"/>
          <w:szCs w:val="20"/>
        </w:rPr>
        <w:t xml:space="preserve"> has made a review of my </w:t>
      </w:r>
      <w:r w:rsidR="00823E39" w:rsidRPr="00E47472">
        <w:rPr>
          <w:i/>
          <w:sz w:val="20"/>
          <w:szCs w:val="20"/>
        </w:rPr>
        <w:t>Theodicy</w:t>
      </w:r>
      <w:r w:rsidR="00823E39" w:rsidRPr="00E47472">
        <w:rPr>
          <w:sz w:val="20"/>
          <w:szCs w:val="20"/>
        </w:rPr>
        <w:t xml:space="preserve">, and very aptly remarked, among other things, that I have corrected the mistake that the (ill-informed) Reformers ordinarily make about those of the Augsburg Confession, in attributing to them a </w:t>
      </w:r>
      <w:r w:rsidR="00823E39" w:rsidRPr="00E47472">
        <w:rPr>
          <w:i/>
          <w:sz w:val="20"/>
          <w:szCs w:val="20"/>
        </w:rPr>
        <w:t>consubstantiation</w:t>
      </w:r>
      <w:r w:rsidR="00823E39" w:rsidRPr="00E47472">
        <w:rPr>
          <w:sz w:val="20"/>
          <w:szCs w:val="20"/>
        </w:rPr>
        <w:t xml:space="preserve"> of terrestrial symbols with the body of Jesus Christ in the Eucharist, or rather an </w:t>
      </w:r>
      <w:r w:rsidR="00823E39" w:rsidRPr="00E47472">
        <w:rPr>
          <w:i/>
          <w:sz w:val="20"/>
          <w:szCs w:val="20"/>
        </w:rPr>
        <w:t>impanation</w:t>
      </w:r>
      <w:r w:rsidR="00823E39" w:rsidRPr="00E47472">
        <w:rPr>
          <w:sz w:val="20"/>
          <w:szCs w:val="20"/>
        </w:rPr>
        <w:t xml:space="preserve">; whereas I made it clear that our theologians require only a </w:t>
      </w:r>
      <w:proofErr w:type="spellStart"/>
      <w:r w:rsidR="00823E39" w:rsidRPr="00E47472">
        <w:rPr>
          <w:i/>
          <w:sz w:val="20"/>
          <w:szCs w:val="20"/>
        </w:rPr>
        <w:t>comperception</w:t>
      </w:r>
      <w:proofErr w:type="spellEnd"/>
      <w:r w:rsidR="00823E39" w:rsidRPr="00E47472">
        <w:rPr>
          <w:sz w:val="20"/>
          <w:szCs w:val="20"/>
        </w:rPr>
        <w:t xml:space="preserve">, such that when one receives a terrestrial thing, one receives the celestial at the same time, without any inclusion of the body of Jesus </w:t>
      </w:r>
      <w:r w:rsidR="00823E39" w:rsidRPr="00E47472">
        <w:rPr>
          <w:sz w:val="20"/>
          <w:szCs w:val="20"/>
        </w:rPr>
        <w:lastRenderedPageBreak/>
        <w:t xml:space="preserve">Christ in the bread. The same young theologian told me that some of your Anglican Church objected to him that we have an </w:t>
      </w:r>
      <w:r w:rsidR="00823E39" w:rsidRPr="00E47472">
        <w:rPr>
          <w:i/>
          <w:sz w:val="20"/>
          <w:szCs w:val="20"/>
        </w:rPr>
        <w:t>impanation</w:t>
      </w:r>
      <w:r w:rsidR="00823E39" w:rsidRPr="00E47472">
        <w:rPr>
          <w:sz w:val="20"/>
          <w:szCs w:val="20"/>
        </w:rPr>
        <w:t xml:space="preserve"> and </w:t>
      </w:r>
      <w:r w:rsidR="00823E39" w:rsidRPr="00E47472">
        <w:rPr>
          <w:i/>
          <w:sz w:val="20"/>
          <w:szCs w:val="20"/>
        </w:rPr>
        <w:t>consubstantiation</w:t>
      </w:r>
      <w:r w:rsidR="00823E39" w:rsidRPr="00E47472">
        <w:rPr>
          <w:sz w:val="20"/>
          <w:szCs w:val="20"/>
        </w:rPr>
        <w:t xml:space="preserve">, which is scarcely better than the transubstantiation of the Papists. But he referred them to my book and to the </w:t>
      </w:r>
      <w:r w:rsidR="00823E39" w:rsidRPr="00E47472">
        <w:rPr>
          <w:i/>
          <w:sz w:val="20"/>
          <w:szCs w:val="20"/>
        </w:rPr>
        <w:t>Memoirs of Literature</w:t>
      </w:r>
      <w:r w:rsidR="00823E39" w:rsidRPr="00E47472">
        <w:rPr>
          <w:sz w:val="20"/>
          <w:szCs w:val="20"/>
        </w:rPr>
        <w:t>. I think that this accusation presently being made against our side comes from the bad intention of those who favour the Papists and the Pretender, and who would like to blacken our name. This is why it would perhaps be good for my book to be translated into English</w:t>
      </w:r>
      <w:r w:rsidR="00823E39" w:rsidRPr="00E47472">
        <w:rPr>
          <w:rStyle w:val="FootnoteReference"/>
          <w:sz w:val="20"/>
          <w:szCs w:val="20"/>
        </w:rPr>
        <w:footnoteReference w:id="51"/>
      </w:r>
      <w:r w:rsidRPr="00E47472">
        <w:rPr>
          <w:sz w:val="20"/>
          <w:szCs w:val="20"/>
        </w:rPr>
        <w:t>”</w:t>
      </w:r>
      <w:r w:rsidR="0072219E" w:rsidRPr="00E47472">
        <w:rPr>
          <w:sz w:val="20"/>
          <w:szCs w:val="20"/>
        </w:rPr>
        <w:t>.</w:t>
      </w:r>
    </w:p>
    <w:p w:rsidR="004E3918" w:rsidRDefault="004E3918" w:rsidP="00594E81">
      <w:pPr>
        <w:spacing w:line="480" w:lineRule="auto"/>
      </w:pPr>
    </w:p>
    <w:p w:rsidR="001100D3" w:rsidRPr="008C5016" w:rsidRDefault="001100D3" w:rsidP="00594E81">
      <w:pPr>
        <w:spacing w:line="480" w:lineRule="auto"/>
        <w:ind w:firstLine="720"/>
      </w:pPr>
      <w:r>
        <w:t xml:space="preserve">An English translation of the </w:t>
      </w:r>
      <w:r w:rsidRPr="001100D3">
        <w:rPr>
          <w:i/>
        </w:rPr>
        <w:t>Theodicy</w:t>
      </w:r>
      <w:r>
        <w:t xml:space="preserve"> was not the only proposal Leibniz put forward for defending the</w:t>
      </w:r>
      <w:r w:rsidR="00960955">
        <w:t xml:space="preserve"> intelligibility of the</w:t>
      </w:r>
      <w:r>
        <w:t xml:space="preserve"> Lutheran position on the Eucharist</w:t>
      </w:r>
      <w:r w:rsidR="00E419F9">
        <w:t xml:space="preserve"> (and thereby shoring up the Hanoverian succession)</w:t>
      </w:r>
      <w:r>
        <w:t xml:space="preserve">. In a letter to Sophie written 4 March 1713, </w:t>
      </w:r>
      <w:r w:rsidR="008C5016">
        <w:t xml:space="preserve">he explains that a passage from the </w:t>
      </w:r>
      <w:r w:rsidR="008C5016" w:rsidRPr="008C5016">
        <w:rPr>
          <w:i/>
        </w:rPr>
        <w:t>Theodicy</w:t>
      </w:r>
      <w:r w:rsidR="008C5016">
        <w:t xml:space="preserve"> was quoted in the </w:t>
      </w:r>
      <w:r w:rsidR="008C5016">
        <w:rPr>
          <w:i/>
        </w:rPr>
        <w:t>Memoirs of Literature</w:t>
      </w:r>
      <w:r w:rsidR="008C5016">
        <w:t xml:space="preserve"> to clear up the confusion surrounding the Lutheran doctrine</w:t>
      </w:r>
      <w:r w:rsidR="00E419F9">
        <w:t xml:space="preserve"> on the Eucharist</w:t>
      </w:r>
      <w:r w:rsidR="008C5016">
        <w:t>, and then makes the following recommendation:</w:t>
      </w:r>
    </w:p>
    <w:p w:rsidR="001100D3" w:rsidRDefault="001100D3" w:rsidP="00594E81">
      <w:pPr>
        <w:spacing w:line="480" w:lineRule="auto"/>
      </w:pPr>
    </w:p>
    <w:p w:rsidR="001100D3" w:rsidRPr="00E47472" w:rsidRDefault="00E47472" w:rsidP="00594E81">
      <w:pPr>
        <w:spacing w:line="480" w:lineRule="auto"/>
        <w:rPr>
          <w:sz w:val="20"/>
          <w:szCs w:val="20"/>
        </w:rPr>
      </w:pPr>
      <w:r>
        <w:rPr>
          <w:sz w:val="20"/>
          <w:szCs w:val="20"/>
        </w:rPr>
        <w:t>“</w:t>
      </w:r>
      <w:r w:rsidR="001100D3" w:rsidRPr="00E47472">
        <w:rPr>
          <w:sz w:val="20"/>
          <w:szCs w:val="20"/>
        </w:rPr>
        <w:t xml:space="preserve">It will perhaps be fitting if a theologian of ours puts together a small work in order to justify my </w:t>
      </w:r>
      <w:proofErr w:type="gramStart"/>
      <w:r w:rsidR="001100D3" w:rsidRPr="00E47472">
        <w:rPr>
          <w:sz w:val="20"/>
          <w:szCs w:val="20"/>
        </w:rPr>
        <w:t>explanation</w:t>
      </w:r>
      <w:r w:rsidR="00E419F9" w:rsidRPr="00E47472">
        <w:rPr>
          <w:sz w:val="20"/>
          <w:szCs w:val="20"/>
        </w:rPr>
        <w:t>,</w:t>
      </w:r>
      <w:proofErr w:type="gramEnd"/>
      <w:r w:rsidR="001100D3" w:rsidRPr="00E47472">
        <w:rPr>
          <w:sz w:val="20"/>
          <w:szCs w:val="20"/>
        </w:rPr>
        <w:t xml:space="preserve"> and to show through passages from our most renowned theologians that we have always rejected this doctrine of impanation, or consubstantiation</w:t>
      </w:r>
      <w:r w:rsidR="001100D3" w:rsidRPr="00E47472">
        <w:rPr>
          <w:rStyle w:val="FootnoteReference"/>
          <w:sz w:val="20"/>
          <w:szCs w:val="20"/>
        </w:rPr>
        <w:footnoteReference w:id="52"/>
      </w:r>
      <w:r>
        <w:rPr>
          <w:sz w:val="20"/>
          <w:szCs w:val="20"/>
        </w:rPr>
        <w:t>”</w:t>
      </w:r>
      <w:r w:rsidR="0072219E" w:rsidRPr="00E47472">
        <w:rPr>
          <w:sz w:val="20"/>
          <w:szCs w:val="20"/>
        </w:rPr>
        <w:t>.</w:t>
      </w:r>
    </w:p>
    <w:p w:rsidR="00F04935" w:rsidRDefault="00F04935" w:rsidP="00594E81">
      <w:pPr>
        <w:spacing w:line="480" w:lineRule="auto"/>
      </w:pPr>
    </w:p>
    <w:p w:rsidR="00F04935" w:rsidRPr="00F04935" w:rsidRDefault="001100D3" w:rsidP="00594E81">
      <w:pPr>
        <w:spacing w:line="480" w:lineRule="auto"/>
        <w:ind w:firstLine="720"/>
      </w:pPr>
      <w:r>
        <w:t>Leibniz goes on to recommend</w:t>
      </w:r>
      <w:r w:rsidR="00E419F9">
        <w:t xml:space="preserve"> the superintendent of </w:t>
      </w:r>
      <w:proofErr w:type="spellStart"/>
      <w:r w:rsidR="00E419F9">
        <w:t>Harburg</w:t>
      </w:r>
      <w:proofErr w:type="spellEnd"/>
      <w:r w:rsidR="00E419F9">
        <w:t>,</w:t>
      </w:r>
      <w:r>
        <w:t xml:space="preserve"> Heinrich </w:t>
      </w:r>
      <w:proofErr w:type="spellStart"/>
      <w:r>
        <w:t>Ludolf</w:t>
      </w:r>
      <w:proofErr w:type="spellEnd"/>
      <w:r>
        <w:t xml:space="preserve"> </w:t>
      </w:r>
      <w:proofErr w:type="spellStart"/>
      <w:r>
        <w:t>Benthem</w:t>
      </w:r>
      <w:proofErr w:type="spellEnd"/>
      <w:r w:rsidR="00E419F9">
        <w:t>,</w:t>
      </w:r>
      <w:r>
        <w:t xml:space="preserve"> for the task (“because he knows the English”</w:t>
      </w:r>
      <w:r>
        <w:rPr>
          <w:rStyle w:val="FootnoteReference"/>
        </w:rPr>
        <w:footnoteReference w:id="53"/>
      </w:r>
      <w:r w:rsidR="0072219E">
        <w:t>),</w:t>
      </w:r>
      <w:r>
        <w:t xml:space="preserve"> though like so many of Leibniz’s plans it appears it was never carried out.</w:t>
      </w:r>
      <w:r w:rsidR="00E42234">
        <w:t xml:space="preserve"> Nevertheless, </w:t>
      </w:r>
      <w:r w:rsidR="00351031">
        <w:t>two years later</w:t>
      </w:r>
      <w:r w:rsidR="00E42234">
        <w:t xml:space="preserve"> Leibniz </w:t>
      </w:r>
      <w:r w:rsidR="004428D2">
        <w:t xml:space="preserve">effectively completed the task </w:t>
      </w:r>
      <w:r w:rsidR="00E42234">
        <w:t>himself</w:t>
      </w:r>
      <w:r w:rsidR="00351031">
        <w:t xml:space="preserve">, in a pamphlet called </w:t>
      </w:r>
      <w:r w:rsidR="00351031">
        <w:rPr>
          <w:i/>
        </w:rPr>
        <w:t>Anti-Jacobite</w:t>
      </w:r>
      <w:r w:rsidR="00351031">
        <w:t xml:space="preserve">, which he published </w:t>
      </w:r>
      <w:r w:rsidR="00351031">
        <w:lastRenderedPageBreak/>
        <w:t>anonymously in 1715</w:t>
      </w:r>
      <w:r w:rsidR="00236E2E">
        <w:rPr>
          <w:rStyle w:val="FootnoteReference"/>
        </w:rPr>
        <w:footnoteReference w:id="54"/>
      </w:r>
      <w:r w:rsidR="0072219E">
        <w:t>.</w:t>
      </w:r>
      <w:r w:rsidR="00351031">
        <w:t xml:space="preserve"> The aim of the pamphlet was to defend the Hanoverian succession against various possible Jacobite objections</w:t>
      </w:r>
      <w:r w:rsidR="00754CA6">
        <w:t>, one of which</w:t>
      </w:r>
      <w:r w:rsidR="00351031">
        <w:t xml:space="preserve"> was that George I, as a Lutheran, would hold a very different view of the </w:t>
      </w:r>
      <w:r w:rsidR="00351031" w:rsidRPr="00C106F2">
        <w:rPr>
          <w:szCs w:val="24"/>
        </w:rPr>
        <w:t xml:space="preserve">Eucharist than would an Anglican. In the </w:t>
      </w:r>
      <w:r w:rsidR="00351031" w:rsidRPr="00C106F2">
        <w:rPr>
          <w:i/>
          <w:szCs w:val="24"/>
        </w:rPr>
        <w:t>Anti-Jacobite</w:t>
      </w:r>
      <w:r w:rsidR="00351031" w:rsidRPr="00C106F2">
        <w:rPr>
          <w:szCs w:val="24"/>
        </w:rPr>
        <w:t xml:space="preserve"> pamphlet L</w:t>
      </w:r>
      <w:r w:rsidR="00754CA6" w:rsidRPr="00C106F2">
        <w:rPr>
          <w:szCs w:val="24"/>
        </w:rPr>
        <w:t>eibniz responded</w:t>
      </w:r>
      <w:r w:rsidR="00085B5F" w:rsidRPr="00C106F2">
        <w:rPr>
          <w:szCs w:val="24"/>
        </w:rPr>
        <w:t xml:space="preserve"> thus</w:t>
      </w:r>
      <w:r w:rsidR="00F04935" w:rsidRPr="00C106F2">
        <w:rPr>
          <w:szCs w:val="24"/>
        </w:rPr>
        <w:t>:</w:t>
      </w:r>
      <w:r w:rsidR="00C106F2" w:rsidRPr="00C106F2">
        <w:rPr>
          <w:szCs w:val="24"/>
        </w:rPr>
        <w:t xml:space="preserve"> </w:t>
      </w:r>
      <w:r w:rsidR="00E47472" w:rsidRPr="00C106F2">
        <w:rPr>
          <w:szCs w:val="24"/>
        </w:rPr>
        <w:t>“</w:t>
      </w:r>
      <w:r w:rsidR="00F04935" w:rsidRPr="00C106F2">
        <w:rPr>
          <w:szCs w:val="24"/>
        </w:rPr>
        <w:t>One ought to be aware that the theologians of the Augsburg Confession reject – openly and in express terms – any impanation and any transubstantiation of the body and blood of Jesus Christ</w:t>
      </w:r>
      <w:r w:rsidR="00F04935" w:rsidRPr="00C106F2">
        <w:rPr>
          <w:rStyle w:val="FootnoteReference"/>
          <w:szCs w:val="24"/>
        </w:rPr>
        <w:footnoteReference w:id="55"/>
      </w:r>
      <w:r w:rsidR="00E47472" w:rsidRPr="00C106F2">
        <w:rPr>
          <w:szCs w:val="24"/>
        </w:rPr>
        <w:t>”</w:t>
      </w:r>
      <w:r w:rsidR="0072219E" w:rsidRPr="00C106F2">
        <w:rPr>
          <w:szCs w:val="24"/>
        </w:rPr>
        <w:t>.</w:t>
      </w:r>
      <w:r w:rsidR="00C106F2" w:rsidRPr="00C106F2">
        <w:rPr>
          <w:szCs w:val="24"/>
        </w:rPr>
        <w:t xml:space="preserve"> </w:t>
      </w:r>
      <w:r w:rsidR="00F04935" w:rsidRPr="00C106F2">
        <w:rPr>
          <w:szCs w:val="24"/>
        </w:rPr>
        <w:t>To support th</w:t>
      </w:r>
      <w:r w:rsidR="00811CFF" w:rsidRPr="00C106F2">
        <w:rPr>
          <w:szCs w:val="24"/>
        </w:rPr>
        <w:t>is</w:t>
      </w:r>
      <w:r w:rsidR="00F04935" w:rsidRPr="00C106F2">
        <w:rPr>
          <w:szCs w:val="24"/>
        </w:rPr>
        <w:t xml:space="preserve"> claim, </w:t>
      </w:r>
      <w:r w:rsidR="00811CFF" w:rsidRPr="00C106F2">
        <w:rPr>
          <w:szCs w:val="24"/>
        </w:rPr>
        <w:t>t</w:t>
      </w:r>
      <w:r w:rsidR="00F04935" w:rsidRPr="00C106F2">
        <w:rPr>
          <w:szCs w:val="24"/>
        </w:rPr>
        <w:t xml:space="preserve">he </w:t>
      </w:r>
      <w:r w:rsidR="00811CFF" w:rsidRPr="00C106F2">
        <w:rPr>
          <w:szCs w:val="24"/>
        </w:rPr>
        <w:t xml:space="preserve">Anti-Jacobite pamphlet </w:t>
      </w:r>
      <w:r w:rsidR="00F04935" w:rsidRPr="00C106F2">
        <w:rPr>
          <w:szCs w:val="24"/>
        </w:rPr>
        <w:t>urge</w:t>
      </w:r>
      <w:r w:rsidR="00085B5F" w:rsidRPr="00C106F2">
        <w:rPr>
          <w:szCs w:val="24"/>
        </w:rPr>
        <w:t>d</w:t>
      </w:r>
      <w:r w:rsidR="00F04935" w:rsidRPr="00C106F2">
        <w:rPr>
          <w:szCs w:val="24"/>
        </w:rPr>
        <w:t xml:space="preserve"> the reader to consult an issue of the </w:t>
      </w:r>
      <w:r w:rsidR="00F04935" w:rsidRPr="00C106F2">
        <w:rPr>
          <w:i/>
          <w:szCs w:val="24"/>
        </w:rPr>
        <w:t>Memoirs of</w:t>
      </w:r>
      <w:r w:rsidR="00F04935">
        <w:rPr>
          <w:i/>
        </w:rPr>
        <w:t xml:space="preserve"> Literature</w:t>
      </w:r>
      <w:r w:rsidR="00F04935">
        <w:t xml:space="preserve">, </w:t>
      </w:r>
      <w:r w:rsidR="003A096B">
        <w:t>namely the one</w:t>
      </w:r>
      <w:r w:rsidR="00F04935">
        <w:t xml:space="preserve"> that contained the extract from the </w:t>
      </w:r>
      <w:r w:rsidR="00F04935">
        <w:rPr>
          <w:i/>
        </w:rPr>
        <w:t>Theodicy</w:t>
      </w:r>
      <w:r w:rsidR="00F04935">
        <w:t xml:space="preserve"> on th</w:t>
      </w:r>
      <w:r w:rsidR="00085B5F">
        <w:t>is</w:t>
      </w:r>
      <w:r w:rsidR="00F04935">
        <w:t xml:space="preserve"> subject</w:t>
      </w:r>
      <w:r w:rsidR="00085B5F">
        <w:rPr>
          <w:rStyle w:val="FootnoteReference"/>
        </w:rPr>
        <w:footnoteReference w:id="56"/>
      </w:r>
      <w:r w:rsidR="0072219E">
        <w:t>.</w:t>
      </w:r>
      <w:r w:rsidR="003A096B">
        <w:t xml:space="preserve"> </w:t>
      </w:r>
      <w:r w:rsidR="002045CB">
        <w:t xml:space="preserve">So in the end </w:t>
      </w:r>
      <w:r w:rsidR="00811CFF">
        <w:t>Leibniz</w:t>
      </w:r>
      <w:r w:rsidR="003A096B">
        <w:t xml:space="preserve"> </w:t>
      </w:r>
      <w:r w:rsidR="00921739">
        <w:t xml:space="preserve">surreptitiously </w:t>
      </w:r>
      <w:r w:rsidR="003A096B">
        <w:t>used his own work as the authority o</w:t>
      </w:r>
      <w:r w:rsidR="00A630A2">
        <w:t>n</w:t>
      </w:r>
      <w:r w:rsidR="003A096B">
        <w:t xml:space="preserve"> the </w:t>
      </w:r>
      <w:r w:rsidR="00811CFF">
        <w:t>Lutheran doctrine of the Eucharist</w:t>
      </w:r>
      <w:r w:rsidR="00A630A2">
        <w:t xml:space="preserve"> rather than that of Lutheran theologians</w:t>
      </w:r>
      <w:r w:rsidR="002045CB">
        <w:t>!</w:t>
      </w:r>
    </w:p>
    <w:p w:rsidR="001210A1" w:rsidRDefault="00B55BF0" w:rsidP="00594E81">
      <w:pPr>
        <w:spacing w:line="480" w:lineRule="auto"/>
      </w:pPr>
      <w:r>
        <w:tab/>
      </w:r>
      <w:r w:rsidR="005D5250">
        <w:t xml:space="preserve">By way of a slight digression, it is worth noting that </w:t>
      </w:r>
      <w:r>
        <w:t>Leibniz</w:t>
      </w:r>
      <w:r w:rsidR="005D5250">
        <w:t>’s perceived</w:t>
      </w:r>
      <w:r>
        <w:t xml:space="preserve"> need to defend the Hanoverian succession even after George I had taken the throne may go some way towards explaining why he </w:t>
      </w:r>
      <w:r w:rsidR="002045CB">
        <w:t xml:space="preserve">came to </w:t>
      </w:r>
      <w:r>
        <w:t xml:space="preserve">propose </w:t>
      </w:r>
      <w:r w:rsidR="00E419F9">
        <w:t xml:space="preserve">an English translation of the </w:t>
      </w:r>
      <w:r w:rsidR="00E419F9" w:rsidRPr="00E419F9">
        <w:rPr>
          <w:i/>
        </w:rPr>
        <w:t>Theodicy</w:t>
      </w:r>
      <w:r w:rsidR="00E419F9">
        <w:t xml:space="preserve"> </w:t>
      </w:r>
      <w:r>
        <w:t xml:space="preserve">to </w:t>
      </w:r>
      <w:r w:rsidR="00E419F9">
        <w:lastRenderedPageBreak/>
        <w:t>Caroline</w:t>
      </w:r>
      <w:r w:rsidR="007013B6">
        <w:rPr>
          <w:rStyle w:val="FootnoteReference"/>
        </w:rPr>
        <w:footnoteReference w:id="57"/>
      </w:r>
      <w:r w:rsidR="0072219E">
        <w:t>.</w:t>
      </w:r>
      <w:r w:rsidR="004E3918">
        <w:t xml:space="preserve"> It is notable that Leibniz’s first thought as a translator is de la Roche. He </w:t>
      </w:r>
      <w:r w:rsidR="00811547">
        <w:t>writes</w:t>
      </w:r>
      <w:r w:rsidR="004E3918">
        <w:t xml:space="preserve"> Caroline</w:t>
      </w:r>
      <w:r w:rsidR="00811547">
        <w:t xml:space="preserve"> </w:t>
      </w:r>
      <w:r w:rsidR="00F25FF0">
        <w:t>o</w:t>
      </w:r>
      <w:r w:rsidR="00811547">
        <w:t xml:space="preserve">n </w:t>
      </w:r>
      <w:r w:rsidR="00F25FF0">
        <w:t xml:space="preserve">29 </w:t>
      </w:r>
      <w:r w:rsidR="00811547">
        <w:t>March 1715</w:t>
      </w:r>
      <w:r w:rsidR="004E3918">
        <w:t>:</w:t>
      </w:r>
    </w:p>
    <w:p w:rsidR="004E3918" w:rsidRDefault="004E3918" w:rsidP="00594E81">
      <w:pPr>
        <w:spacing w:line="480" w:lineRule="auto"/>
      </w:pPr>
    </w:p>
    <w:p w:rsidR="004E3918" w:rsidRPr="00E47472" w:rsidRDefault="00E47472" w:rsidP="00594E81">
      <w:pPr>
        <w:spacing w:line="480" w:lineRule="auto"/>
        <w:rPr>
          <w:sz w:val="20"/>
          <w:szCs w:val="20"/>
        </w:rPr>
      </w:pPr>
      <w:r>
        <w:rPr>
          <w:sz w:val="20"/>
          <w:szCs w:val="20"/>
        </w:rPr>
        <w:t>“</w:t>
      </w:r>
      <w:r w:rsidR="004E3918" w:rsidRPr="00E47472">
        <w:rPr>
          <w:sz w:val="20"/>
          <w:szCs w:val="20"/>
        </w:rPr>
        <w:t xml:space="preserve">To translate my book into English, I think Mr de la Roche would be appropriate. He is a Minister, a refugee, who has put together in England a kind of journal entitled </w:t>
      </w:r>
      <w:r w:rsidR="004E3918" w:rsidRPr="00E47472">
        <w:rPr>
          <w:i/>
          <w:sz w:val="20"/>
          <w:szCs w:val="20"/>
        </w:rPr>
        <w:t>Memoirs of Literature</w:t>
      </w:r>
      <w:r w:rsidR="004E3918" w:rsidRPr="00E47472">
        <w:rPr>
          <w:sz w:val="20"/>
          <w:szCs w:val="20"/>
        </w:rPr>
        <w:t>. It is true that I would prefer an Anglican theologian to undertake the translation</w:t>
      </w:r>
      <w:r w:rsidR="004E3918" w:rsidRPr="00E47472">
        <w:rPr>
          <w:rStyle w:val="FootnoteReference"/>
          <w:sz w:val="20"/>
          <w:szCs w:val="20"/>
        </w:rPr>
        <w:footnoteReference w:id="58"/>
      </w:r>
      <w:r>
        <w:rPr>
          <w:sz w:val="20"/>
          <w:szCs w:val="20"/>
        </w:rPr>
        <w:t>”</w:t>
      </w:r>
      <w:r w:rsidR="0072219E" w:rsidRPr="00E47472">
        <w:rPr>
          <w:sz w:val="20"/>
          <w:szCs w:val="20"/>
        </w:rPr>
        <w:t>.</w:t>
      </w:r>
    </w:p>
    <w:p w:rsidR="00EA459B" w:rsidRDefault="00EA459B" w:rsidP="00594E81">
      <w:pPr>
        <w:spacing w:line="480" w:lineRule="auto"/>
      </w:pPr>
    </w:p>
    <w:p w:rsidR="00637FEA" w:rsidRDefault="0028774F" w:rsidP="00594E81">
      <w:pPr>
        <w:spacing w:line="480" w:lineRule="auto"/>
        <w:ind w:firstLine="720"/>
      </w:pPr>
      <w:r>
        <w:t>The suggestion is a shrewd one, since an Anglican theologian as translator would effectively suggest Anglican approval of the work</w:t>
      </w:r>
      <w:r w:rsidR="00550886">
        <w:rPr>
          <w:rStyle w:val="FootnoteReference"/>
        </w:rPr>
        <w:footnoteReference w:id="59"/>
      </w:r>
      <w:r w:rsidR="0072219E">
        <w:t>.</w:t>
      </w:r>
      <w:r w:rsidR="00637FEA">
        <w:t xml:space="preserve"> However the wish is not repeated in the subsequent discussions between Caroline and Leibniz about the possible translation of the </w:t>
      </w:r>
      <w:r w:rsidR="00637FEA">
        <w:rPr>
          <w:i/>
        </w:rPr>
        <w:t>Theodicy</w:t>
      </w:r>
      <w:r w:rsidR="00637FEA">
        <w:t xml:space="preserve">, nor indeed is de la Roche’s name, </w:t>
      </w:r>
      <w:r w:rsidR="00134E2A">
        <w:t xml:space="preserve">though </w:t>
      </w:r>
      <w:r w:rsidR="00811547">
        <w:t>Leibniz evidently kept him in mind</w:t>
      </w:r>
      <w:r w:rsidR="008F6CEF">
        <w:t>, since</w:t>
      </w:r>
      <w:r w:rsidR="00134E2A">
        <w:t xml:space="preserve"> </w:t>
      </w:r>
      <w:r w:rsidR="00811547">
        <w:t>in December</w:t>
      </w:r>
      <w:r w:rsidR="00134E2A">
        <w:t xml:space="preserve"> 1715 </w:t>
      </w:r>
      <w:r w:rsidR="00811547">
        <w:t>he tells</w:t>
      </w:r>
      <w:r w:rsidR="00134E2A">
        <w:t xml:space="preserve"> another correspondent that de la Roche is still his first </w:t>
      </w:r>
      <w:r w:rsidR="00811547">
        <w:t>choice as translator</w:t>
      </w:r>
      <w:r w:rsidR="00134E2A">
        <w:t>, so long as his English is up to the task</w:t>
      </w:r>
      <w:r w:rsidR="00134E2A">
        <w:rPr>
          <w:rStyle w:val="FootnoteReference"/>
        </w:rPr>
        <w:footnoteReference w:id="60"/>
      </w:r>
      <w:r w:rsidR="0072219E">
        <w:t>.</w:t>
      </w:r>
    </w:p>
    <w:p w:rsidR="005D5250" w:rsidRDefault="005D5250" w:rsidP="00594E81">
      <w:pPr>
        <w:spacing w:line="480" w:lineRule="auto"/>
      </w:pPr>
      <w:r>
        <w:lastRenderedPageBreak/>
        <w:tab/>
        <w:t>T</w:t>
      </w:r>
      <w:bookmarkStart w:id="0" w:name="_GoBack"/>
      <w:bookmarkEnd w:id="0"/>
      <w:r>
        <w:t xml:space="preserve">o return to the thread of the discussion: it was suggested earlier that the English journal reports on the </w:t>
      </w:r>
      <w:r>
        <w:rPr>
          <w:i/>
        </w:rPr>
        <w:t>Theodicy</w:t>
      </w:r>
      <w:r>
        <w:t xml:space="preserve"> were very positive, and we have seen that this was certainly the case with the </w:t>
      </w:r>
      <w:r>
        <w:rPr>
          <w:i/>
        </w:rPr>
        <w:t>Memoirs of Literature</w:t>
      </w:r>
      <w:r>
        <w:t xml:space="preserve">. As it happens, in England at the time this was the only journal that would have concerned itself with the </w:t>
      </w:r>
      <w:r>
        <w:rPr>
          <w:i/>
        </w:rPr>
        <w:t>Theodicy</w:t>
      </w:r>
      <w:r>
        <w:t xml:space="preserve">. Of the other journals, the </w:t>
      </w:r>
      <w:r>
        <w:rPr>
          <w:i/>
        </w:rPr>
        <w:t>Philosophical Transactions</w:t>
      </w:r>
      <w:r>
        <w:t xml:space="preserve"> was concerned with natural philosophy, which is not the subject matter of the </w:t>
      </w:r>
      <w:r>
        <w:rPr>
          <w:i/>
        </w:rPr>
        <w:t>Theodicy</w:t>
      </w:r>
      <w:r>
        <w:t xml:space="preserve">, and </w:t>
      </w:r>
      <w:r w:rsidRPr="00363F12">
        <w:rPr>
          <w:rFonts w:cs="Times New Roman"/>
          <w:i/>
        </w:rPr>
        <w:t>The Spectator</w:t>
      </w:r>
      <w:r w:rsidRPr="00363F12">
        <w:rPr>
          <w:rFonts w:cs="Times New Roman"/>
        </w:rPr>
        <w:t xml:space="preserve"> didn</w:t>
      </w:r>
      <w:r>
        <w:rPr>
          <w:rFonts w:cs="Times New Roman"/>
        </w:rPr>
        <w:t>’</w:t>
      </w:r>
      <w:r w:rsidRPr="00363F12">
        <w:rPr>
          <w:rFonts w:cs="Times New Roman"/>
        </w:rPr>
        <w:t>t include reviews of books.</w:t>
      </w:r>
      <w:r>
        <w:rPr>
          <w:rFonts w:cs="Times New Roman"/>
        </w:rPr>
        <w:t xml:space="preserve"> So the </w:t>
      </w:r>
      <w:r>
        <w:rPr>
          <w:rFonts w:cs="Times New Roman"/>
          <w:i/>
        </w:rPr>
        <w:t xml:space="preserve">Theodicy </w:t>
      </w:r>
      <w:r>
        <w:rPr>
          <w:rFonts w:cs="Times New Roman"/>
        </w:rPr>
        <w:t>got about as much attention (and by extension, positive attention) from the English journals as it could have done.</w:t>
      </w:r>
    </w:p>
    <w:p w:rsidR="00EA459B" w:rsidRDefault="0075051A" w:rsidP="00594E81">
      <w:pPr>
        <w:spacing w:line="480" w:lineRule="auto"/>
      </w:pPr>
      <w:r>
        <w:tab/>
      </w:r>
      <w:r w:rsidR="00DF2B3A">
        <w:t xml:space="preserve">In addition to receiving positive write-ups in </w:t>
      </w:r>
      <w:r w:rsidR="00F3777D">
        <w:t xml:space="preserve">journals, </w:t>
      </w:r>
      <w:r w:rsidR="00EA459B">
        <w:t xml:space="preserve">Leibniz clearly wanted the </w:t>
      </w:r>
      <w:r w:rsidR="00EA459B">
        <w:rPr>
          <w:i/>
        </w:rPr>
        <w:t>Theodicy</w:t>
      </w:r>
      <w:r w:rsidR="00EA459B">
        <w:t xml:space="preserve"> to be </w:t>
      </w:r>
      <w:r w:rsidR="006B2709">
        <w:t xml:space="preserve">accepted and admired by </w:t>
      </w:r>
      <w:r w:rsidR="00BB1278">
        <w:t>Anglican</w:t>
      </w:r>
      <w:r w:rsidR="006B2709">
        <w:t xml:space="preserve"> churchmen </w:t>
      </w:r>
      <w:r w:rsidR="00BB1278">
        <w:t>and other notable figures in</w:t>
      </w:r>
      <w:r w:rsidR="006B2709">
        <w:t xml:space="preserve"> England.</w:t>
      </w:r>
      <w:r w:rsidR="006F5C54">
        <w:t xml:space="preserve"> He was even active in getting copies of the book to them: </w:t>
      </w:r>
      <w:r w:rsidR="00EA459B">
        <w:t xml:space="preserve">we have </w:t>
      </w:r>
      <w:r w:rsidR="00553A30">
        <w:t xml:space="preserve">already noted that he had </w:t>
      </w:r>
      <w:proofErr w:type="spellStart"/>
      <w:r w:rsidR="00553A30">
        <w:t>Bothme</w:t>
      </w:r>
      <w:r w:rsidR="00EA459B">
        <w:t>r</w:t>
      </w:r>
      <w:proofErr w:type="spellEnd"/>
      <w:r w:rsidR="00EA459B">
        <w:t xml:space="preserve"> take copies of the </w:t>
      </w:r>
      <w:r w:rsidR="006F5C54">
        <w:rPr>
          <w:i/>
        </w:rPr>
        <w:t>Theodicy</w:t>
      </w:r>
      <w:r w:rsidR="00EA459B">
        <w:t xml:space="preserve"> with him to England, to distribute to key figures.</w:t>
      </w:r>
      <w:r w:rsidR="00FC01B9">
        <w:t xml:space="preserve"> </w:t>
      </w:r>
      <w:r w:rsidR="00EA459B">
        <w:t>Leibniz’s efforts paid off, to some extent</w:t>
      </w:r>
      <w:r w:rsidR="00195367">
        <w:t xml:space="preserve"> at least</w:t>
      </w:r>
      <w:r w:rsidR="00EA459B">
        <w:t xml:space="preserve">. </w:t>
      </w:r>
      <w:r w:rsidR="00195367">
        <w:rPr>
          <w:rFonts w:cs="Times New Roman"/>
        </w:rPr>
        <w:t>Although s</w:t>
      </w:r>
      <w:r w:rsidR="00195367" w:rsidRPr="007D5CC6">
        <w:rPr>
          <w:rFonts w:cs="Times New Roman"/>
        </w:rPr>
        <w:t>ome of those from whom he desired feedback, such as Gilbert Burnet</w:t>
      </w:r>
      <w:r w:rsidR="009453A9">
        <w:rPr>
          <w:rStyle w:val="FootnoteReference"/>
          <w:rFonts w:cs="Times New Roman"/>
        </w:rPr>
        <w:footnoteReference w:id="61"/>
      </w:r>
      <w:r w:rsidR="0072219E">
        <w:rPr>
          <w:rFonts w:cs="Times New Roman"/>
        </w:rPr>
        <w:t>,</w:t>
      </w:r>
      <w:r w:rsidR="00195367" w:rsidRPr="007D5CC6">
        <w:rPr>
          <w:rFonts w:cs="Times New Roman"/>
        </w:rPr>
        <w:t xml:space="preserve"> and </w:t>
      </w:r>
      <w:r w:rsidR="00195367">
        <w:rPr>
          <w:rFonts w:cs="Times New Roman"/>
        </w:rPr>
        <w:t xml:space="preserve">the philosopher </w:t>
      </w:r>
      <w:r w:rsidR="00195367" w:rsidRPr="007D5CC6">
        <w:rPr>
          <w:rFonts w:cs="Times New Roman"/>
        </w:rPr>
        <w:t>Catharine Trotter</w:t>
      </w:r>
      <w:r w:rsidR="00195367">
        <w:rPr>
          <w:rStyle w:val="FootnoteReference"/>
          <w:rFonts w:cs="Times New Roman"/>
        </w:rPr>
        <w:footnoteReference w:id="62"/>
      </w:r>
      <w:r w:rsidR="0072219E">
        <w:rPr>
          <w:rFonts w:cs="Times New Roman"/>
        </w:rPr>
        <w:t>,</w:t>
      </w:r>
      <w:r w:rsidR="00195367" w:rsidRPr="007D5CC6">
        <w:rPr>
          <w:rFonts w:cs="Times New Roman"/>
        </w:rPr>
        <w:t xml:space="preserve"> appear not to have provided any</w:t>
      </w:r>
      <w:r w:rsidR="00195367">
        <w:rPr>
          <w:rFonts w:cs="Times New Roman"/>
        </w:rPr>
        <w:t xml:space="preserve">, </w:t>
      </w:r>
      <w:r w:rsidR="00E7400F">
        <w:rPr>
          <w:rFonts w:cs="Times New Roman"/>
        </w:rPr>
        <w:t>nevertheless</w:t>
      </w:r>
      <w:r w:rsidR="005F399B">
        <w:rPr>
          <w:rFonts w:cs="Times New Roman"/>
        </w:rPr>
        <w:t>,</w:t>
      </w:r>
      <w:r w:rsidR="00E7400F">
        <w:rPr>
          <w:rFonts w:cs="Times New Roman"/>
        </w:rPr>
        <w:t xml:space="preserve"> </w:t>
      </w:r>
      <w:r w:rsidR="00195367">
        <w:rPr>
          <w:rFonts w:cs="Times New Roman"/>
        </w:rPr>
        <w:t>a</w:t>
      </w:r>
      <w:r w:rsidR="00EA459B">
        <w:t xml:space="preserve">s we have already seen, </w:t>
      </w:r>
      <w:r w:rsidR="00195367">
        <w:t>he</w:t>
      </w:r>
      <w:r w:rsidR="00EA459B">
        <w:t xml:space="preserve"> was made aware </w:t>
      </w:r>
      <w:r w:rsidR="00FF3374">
        <w:t xml:space="preserve">in 1712 </w:t>
      </w:r>
      <w:r w:rsidR="00EA459B">
        <w:t xml:space="preserve">that the Archbishop of York, John Sharp, had formed a favourable opinion of the book, or at least of the appendix, the </w:t>
      </w:r>
      <w:r w:rsidR="00EA459B">
        <w:rPr>
          <w:i/>
        </w:rPr>
        <w:t>Causa Dei</w:t>
      </w:r>
      <w:r w:rsidR="00EA459B">
        <w:t xml:space="preserve">. </w:t>
      </w:r>
      <w:r w:rsidR="005F399B">
        <w:t>And in the last year of his life</w:t>
      </w:r>
      <w:r w:rsidR="00FF3374">
        <w:t xml:space="preserve"> </w:t>
      </w:r>
      <w:r w:rsidR="00EA459B">
        <w:t xml:space="preserve">Leibniz was </w:t>
      </w:r>
      <w:r w:rsidR="00EA459B">
        <w:lastRenderedPageBreak/>
        <w:t xml:space="preserve">also informed that </w:t>
      </w:r>
      <w:r w:rsidR="00FF5A1F">
        <w:t>the Bishop of Lincoln, William Wake,</w:t>
      </w:r>
      <w:r w:rsidR="00593664">
        <w:t xml:space="preserve"> </w:t>
      </w:r>
      <w:r w:rsidR="00FF5A1F">
        <w:t>admired the book</w:t>
      </w:r>
      <w:r w:rsidR="00FF5A1F">
        <w:rPr>
          <w:rStyle w:val="FootnoteReference"/>
        </w:rPr>
        <w:footnoteReference w:id="63"/>
      </w:r>
      <w:r w:rsidR="0072219E">
        <w:t>.</w:t>
      </w:r>
      <w:r w:rsidR="00593664">
        <w:t xml:space="preserve"> But as far as one can tell, </w:t>
      </w:r>
      <w:r w:rsidR="00F25FF0">
        <w:t>neither</w:t>
      </w:r>
      <w:r w:rsidR="00593664">
        <w:t xml:space="preserve"> of these divines made any kind of in-depth study of the book, or produced written comments on it, which is ultimately, one feels, </w:t>
      </w:r>
      <w:r w:rsidR="00F25FF0">
        <w:t xml:space="preserve">what </w:t>
      </w:r>
      <w:r w:rsidR="00593664">
        <w:t xml:space="preserve">Leibniz was hoping for. And ironically, the one divine that </w:t>
      </w:r>
      <w:r w:rsidR="00593664">
        <w:rPr>
          <w:i/>
        </w:rPr>
        <w:t>did</w:t>
      </w:r>
      <w:r w:rsidR="00593664">
        <w:t xml:space="preserve"> go to the trouble of making written comments on the book, namely </w:t>
      </w:r>
      <w:r w:rsidR="009A2CAE">
        <w:t xml:space="preserve">George </w:t>
      </w:r>
      <w:proofErr w:type="spellStart"/>
      <w:r w:rsidR="009A2CAE">
        <w:t>Smalridge</w:t>
      </w:r>
      <w:proofErr w:type="spellEnd"/>
      <w:r w:rsidR="009A2CAE">
        <w:t xml:space="preserve">, </w:t>
      </w:r>
      <w:r w:rsidR="00593664">
        <w:t>the Bishop of Bristol, was also the most critical. It is to him that we now turn.</w:t>
      </w:r>
    </w:p>
    <w:p w:rsidR="00823E39" w:rsidRDefault="00823E39" w:rsidP="00594E81">
      <w:pPr>
        <w:spacing w:line="480" w:lineRule="auto"/>
      </w:pPr>
    </w:p>
    <w:p w:rsidR="00F33818" w:rsidRDefault="00F33818" w:rsidP="00594E81">
      <w:pPr>
        <w:spacing w:line="480" w:lineRule="auto"/>
      </w:pPr>
    </w:p>
    <w:p w:rsidR="00823E39" w:rsidRPr="00F33818" w:rsidRDefault="00EB7390" w:rsidP="00594E81">
      <w:pPr>
        <w:spacing w:line="480" w:lineRule="auto"/>
        <w:jc w:val="center"/>
      </w:pPr>
      <w:r w:rsidRPr="00F33818">
        <w:t>Bishop of Bristol</w:t>
      </w:r>
    </w:p>
    <w:p w:rsidR="00F33818" w:rsidRDefault="00F33818" w:rsidP="00594E81">
      <w:pPr>
        <w:spacing w:line="480" w:lineRule="auto"/>
      </w:pPr>
    </w:p>
    <w:p w:rsidR="003B0A52" w:rsidRDefault="00F25FF0" w:rsidP="00594E81">
      <w:pPr>
        <w:spacing w:line="480" w:lineRule="auto"/>
        <w:ind w:firstLine="720"/>
      </w:pPr>
      <w:r>
        <w:t xml:space="preserve">There appears to have been no direct communication between </w:t>
      </w:r>
      <w:proofErr w:type="spellStart"/>
      <w:r>
        <w:t>Smalridge</w:t>
      </w:r>
      <w:proofErr w:type="spellEnd"/>
      <w:r>
        <w:t xml:space="preserve"> and Leibniz</w:t>
      </w:r>
      <w:r w:rsidR="008C23DA">
        <w:t>.</w:t>
      </w:r>
      <w:r>
        <w:t xml:space="preserve"> </w:t>
      </w:r>
      <w:proofErr w:type="spellStart"/>
      <w:r w:rsidR="00EB7390" w:rsidRPr="00EB7390">
        <w:t>Smalridge</w:t>
      </w:r>
      <w:r>
        <w:t>’s</w:t>
      </w:r>
      <w:proofErr w:type="spellEnd"/>
      <w:r>
        <w:t xml:space="preserve"> </w:t>
      </w:r>
      <w:r w:rsidR="009A2CAE">
        <w:t xml:space="preserve">report on the </w:t>
      </w:r>
      <w:r w:rsidR="009A2CAE" w:rsidRPr="009A2CAE">
        <w:rPr>
          <w:i/>
        </w:rPr>
        <w:t>Theodicy</w:t>
      </w:r>
      <w:r w:rsidR="009A2CAE">
        <w:t xml:space="preserve"> </w:t>
      </w:r>
      <w:r>
        <w:t xml:space="preserve">was sent not to Leibniz but to </w:t>
      </w:r>
      <w:r w:rsidR="009A2CAE">
        <w:t>Caroline</w:t>
      </w:r>
      <w:r>
        <w:t>, in a letter</w:t>
      </w:r>
      <w:r w:rsidR="00787047">
        <w:t xml:space="preserve"> </w:t>
      </w:r>
      <w:r w:rsidR="009A2CAE">
        <w:t>of</w:t>
      </w:r>
      <w:r w:rsidR="00787047">
        <w:t xml:space="preserve"> </w:t>
      </w:r>
      <w:r w:rsidR="00EB7390" w:rsidRPr="00EB7390">
        <w:t>4 March 171</w:t>
      </w:r>
      <w:r w:rsidR="00787047">
        <w:t>5</w:t>
      </w:r>
      <w:r w:rsidR="00EB7390">
        <w:t>.</w:t>
      </w:r>
      <w:r w:rsidR="00787047">
        <w:t xml:space="preserve"> </w:t>
      </w:r>
      <w:r w:rsidR="008C23DA">
        <w:t xml:space="preserve">At the start of his letter, </w:t>
      </w:r>
      <w:proofErr w:type="spellStart"/>
      <w:r w:rsidR="008C23DA">
        <w:t>Smalridge</w:t>
      </w:r>
      <w:proofErr w:type="spellEnd"/>
      <w:r w:rsidR="008C23DA">
        <w:t xml:space="preserve"> outlines the circumstances that led him to write it.</w:t>
      </w:r>
      <w:r w:rsidR="009A2CAE">
        <w:t xml:space="preserve"> </w:t>
      </w:r>
      <w:r w:rsidR="00EB7390">
        <w:t xml:space="preserve">Evidently </w:t>
      </w:r>
      <w:r w:rsidR="00787047">
        <w:t>Caroline</w:t>
      </w:r>
      <w:r w:rsidR="00EB7390">
        <w:t xml:space="preserve"> had given </w:t>
      </w:r>
      <w:proofErr w:type="spellStart"/>
      <w:r w:rsidR="00EB7390">
        <w:t>Smalridge</w:t>
      </w:r>
      <w:proofErr w:type="spellEnd"/>
      <w:r w:rsidR="00EB7390">
        <w:t xml:space="preserve"> a copy of the</w:t>
      </w:r>
      <w:r w:rsidR="009A2CAE">
        <w:t xml:space="preserve"> </w:t>
      </w:r>
      <w:r w:rsidR="0030498A">
        <w:rPr>
          <w:i/>
        </w:rPr>
        <w:t>Theodicy</w:t>
      </w:r>
      <w:r w:rsidR="00EB7390">
        <w:t xml:space="preserve"> while he was in </w:t>
      </w:r>
      <w:r w:rsidR="00787047">
        <w:t>London</w:t>
      </w:r>
      <w:r w:rsidR="00EB7390">
        <w:t>, and she had asked him for his views on it.</w:t>
      </w:r>
      <w:r w:rsidR="00D638E9">
        <w:t xml:space="preserve"> </w:t>
      </w:r>
      <w:r w:rsidR="009D652B">
        <w:t>Shortly after h</w:t>
      </w:r>
      <w:r w:rsidR="008C23DA">
        <w:t>e re</w:t>
      </w:r>
      <w:r w:rsidR="009D652B">
        <w:t>turn</w:t>
      </w:r>
      <w:r w:rsidR="008C23DA">
        <w:t>ed</w:t>
      </w:r>
      <w:r w:rsidR="009D652B">
        <w:t xml:space="preserve"> to his home in Oxford, </w:t>
      </w:r>
      <w:proofErr w:type="spellStart"/>
      <w:r w:rsidR="003B0A52">
        <w:t>Smalridge</w:t>
      </w:r>
      <w:proofErr w:type="spellEnd"/>
      <w:r w:rsidR="003B0A52">
        <w:t xml:space="preserve"> obliged with </w:t>
      </w:r>
      <w:r w:rsidR="009D652B">
        <w:t>a letter containing his opinion</w:t>
      </w:r>
      <w:r w:rsidR="00C03D92">
        <w:t xml:space="preserve"> of Leibniz’s book</w:t>
      </w:r>
      <w:r w:rsidR="009D652B">
        <w:t>.</w:t>
      </w:r>
      <w:r w:rsidR="004F2841">
        <w:rPr>
          <w:rStyle w:val="FootnoteReference"/>
        </w:rPr>
        <w:footnoteReference w:id="64"/>
      </w:r>
      <w:r w:rsidR="009D652B">
        <w:t xml:space="preserve"> </w:t>
      </w:r>
      <w:r w:rsidR="009A2CAE">
        <w:t>It is also clear that</w:t>
      </w:r>
      <w:r w:rsidR="009D652B">
        <w:t xml:space="preserve"> </w:t>
      </w:r>
      <w:r w:rsidR="003B0A52">
        <w:t xml:space="preserve">Caroline </w:t>
      </w:r>
      <w:r w:rsidR="00F3777D">
        <w:t>forwarded</w:t>
      </w:r>
      <w:r w:rsidR="003B0A52">
        <w:t xml:space="preserve"> </w:t>
      </w:r>
      <w:proofErr w:type="spellStart"/>
      <w:r w:rsidR="009D652B">
        <w:t>Smalridge’s</w:t>
      </w:r>
      <w:proofErr w:type="spellEnd"/>
      <w:r w:rsidR="009D652B">
        <w:t xml:space="preserve"> letter </w:t>
      </w:r>
      <w:r w:rsidR="00F3777D">
        <w:t xml:space="preserve">on </w:t>
      </w:r>
      <w:r w:rsidR="003B0A52">
        <w:t>to Leibniz</w:t>
      </w:r>
      <w:r w:rsidR="009D652B">
        <w:t xml:space="preserve">, because he responded to it </w:t>
      </w:r>
      <w:r w:rsidR="003B0A52">
        <w:t xml:space="preserve">in </w:t>
      </w:r>
      <w:r w:rsidR="009A2CAE">
        <w:t>a</w:t>
      </w:r>
      <w:r w:rsidR="003B0A52">
        <w:t xml:space="preserve"> </w:t>
      </w:r>
      <w:r w:rsidR="003B0A52">
        <w:lastRenderedPageBreak/>
        <w:t xml:space="preserve">letter </w:t>
      </w:r>
      <w:r w:rsidR="009D652B">
        <w:t xml:space="preserve">to </w:t>
      </w:r>
      <w:r w:rsidR="00C03D92">
        <w:t>her</w:t>
      </w:r>
      <w:r w:rsidR="009D652B">
        <w:t xml:space="preserve"> of </w:t>
      </w:r>
      <w:r w:rsidR="008C23DA">
        <w:t>29</w:t>
      </w:r>
      <w:r w:rsidR="009D652B">
        <w:t xml:space="preserve"> March 1715</w:t>
      </w:r>
      <w:r w:rsidR="003B0A52">
        <w:rPr>
          <w:rStyle w:val="FootnoteReference"/>
        </w:rPr>
        <w:footnoteReference w:id="65"/>
      </w:r>
      <w:r w:rsidR="0072219E">
        <w:t>.</w:t>
      </w:r>
      <w:r w:rsidR="009A2CAE">
        <w:t xml:space="preserve"> In what follows we shall </w:t>
      </w:r>
      <w:r w:rsidR="006850BE">
        <w:t>look at</w:t>
      </w:r>
      <w:r w:rsidR="009A2CAE">
        <w:t xml:space="preserve"> </w:t>
      </w:r>
      <w:proofErr w:type="spellStart"/>
      <w:r w:rsidR="009A2CAE">
        <w:t>Smalridge’s</w:t>
      </w:r>
      <w:proofErr w:type="spellEnd"/>
      <w:r w:rsidR="009A2CAE">
        <w:t xml:space="preserve"> letter</w:t>
      </w:r>
      <w:r w:rsidR="006850BE">
        <w:t xml:space="preserve"> in some detail</w:t>
      </w:r>
      <w:r w:rsidR="009A2CAE">
        <w:t>, a</w:t>
      </w:r>
      <w:r w:rsidR="006850BE">
        <w:t>s well as</w:t>
      </w:r>
      <w:r w:rsidR="009A2CAE">
        <w:t xml:space="preserve"> Leibniz</w:t>
      </w:r>
      <w:r w:rsidR="008C23DA">
        <w:t>’s response</w:t>
      </w:r>
      <w:r w:rsidR="009A2CAE">
        <w:t xml:space="preserve"> to it.</w:t>
      </w:r>
    </w:p>
    <w:p w:rsidR="00DD4F7A" w:rsidRPr="00DD4F7A" w:rsidRDefault="009D652B" w:rsidP="00594E81">
      <w:pPr>
        <w:spacing w:line="480" w:lineRule="auto"/>
      </w:pPr>
      <w:r>
        <w:tab/>
      </w:r>
      <w:r w:rsidR="00237409">
        <w:t xml:space="preserve">Although </w:t>
      </w:r>
      <w:proofErr w:type="spellStart"/>
      <w:r>
        <w:t>Smalridge</w:t>
      </w:r>
      <w:proofErr w:type="spellEnd"/>
      <w:r w:rsidR="00237409">
        <w:t xml:space="preserve"> does offer some praise for the </w:t>
      </w:r>
      <w:r w:rsidRPr="009D652B">
        <w:rPr>
          <w:i/>
        </w:rPr>
        <w:t>Theodicy</w:t>
      </w:r>
      <w:r w:rsidR="00237409">
        <w:t xml:space="preserve">, as we shall see, </w:t>
      </w:r>
      <w:r w:rsidR="00841A15">
        <w:t xml:space="preserve">it is rather faint and guarded, and </w:t>
      </w:r>
      <w:r w:rsidR="00237409">
        <w:t>much of his letter is devoted to criticisms,</w:t>
      </w:r>
      <w:r>
        <w:t xml:space="preserve"> </w:t>
      </w:r>
      <w:r w:rsidR="00D638E9">
        <w:t>though it is notable that his criticisms are not so much about the book’s philos</w:t>
      </w:r>
      <w:r w:rsidR="00841A15">
        <w:t xml:space="preserve">ophical or theological content as </w:t>
      </w:r>
      <w:r w:rsidR="00D638E9">
        <w:t>about its stylistic features</w:t>
      </w:r>
      <w:r w:rsidR="00F264CF">
        <w:rPr>
          <w:rStyle w:val="FootnoteReference"/>
        </w:rPr>
        <w:footnoteReference w:id="66"/>
      </w:r>
      <w:r w:rsidR="0072219E">
        <w:t>.</w:t>
      </w:r>
      <w:r w:rsidR="00D638E9">
        <w:t xml:space="preserve"> </w:t>
      </w:r>
      <w:r w:rsidR="00DD4F7A">
        <w:t xml:space="preserve">In his letter, </w:t>
      </w:r>
      <w:proofErr w:type="spellStart"/>
      <w:r w:rsidR="00DD4F7A">
        <w:t>Smalridge</w:t>
      </w:r>
      <w:proofErr w:type="spellEnd"/>
      <w:r w:rsidR="00DD4F7A">
        <w:t xml:space="preserve"> notes early on that </w:t>
      </w:r>
      <w:r w:rsidR="00787047">
        <w:t>Caroline</w:t>
      </w:r>
      <w:r w:rsidR="00DD4F7A">
        <w:t xml:space="preserve"> herself has complained that the </w:t>
      </w:r>
      <w:r w:rsidR="00DD4F7A">
        <w:rPr>
          <w:i/>
        </w:rPr>
        <w:t>Theodicy</w:t>
      </w:r>
      <w:r w:rsidR="00DD4F7A">
        <w:t xml:space="preserve"> is obscure</w:t>
      </w:r>
      <w:r w:rsidR="0002184F">
        <w:t xml:space="preserve"> (and it also seems that she had not been shy about who she told, as </w:t>
      </w:r>
      <w:proofErr w:type="spellStart"/>
      <w:r w:rsidR="0002184F">
        <w:t>Smalridge</w:t>
      </w:r>
      <w:proofErr w:type="spellEnd"/>
      <w:r w:rsidR="0002184F">
        <w:t xml:space="preserve"> claims to have heard </w:t>
      </w:r>
      <w:r w:rsidR="00621402">
        <w:t>this</w:t>
      </w:r>
      <w:r w:rsidR="0072219E">
        <w:t xml:space="preserve"> from Lady Nottingham</w:t>
      </w:r>
      <w:r w:rsidR="00F53122">
        <w:rPr>
          <w:rStyle w:val="FootnoteReference"/>
        </w:rPr>
        <w:footnoteReference w:id="67"/>
      </w:r>
      <w:r w:rsidR="0072219E">
        <w:t>).</w:t>
      </w:r>
      <w:r w:rsidR="0002184F">
        <w:t xml:space="preserve"> </w:t>
      </w:r>
      <w:r w:rsidR="009A08E7">
        <w:t xml:space="preserve">When writing his own opinion on the </w:t>
      </w:r>
      <w:r w:rsidR="009A08E7" w:rsidRPr="009A08E7">
        <w:rPr>
          <w:i/>
        </w:rPr>
        <w:t>Theodicy</w:t>
      </w:r>
      <w:r w:rsidR="009A08E7">
        <w:t xml:space="preserve">, </w:t>
      </w:r>
      <w:proofErr w:type="spellStart"/>
      <w:r w:rsidR="0002184F">
        <w:t>Smalridge</w:t>
      </w:r>
      <w:proofErr w:type="spellEnd"/>
      <w:r w:rsidR="0002184F">
        <w:t xml:space="preserve"> may well have been </w:t>
      </w:r>
      <w:r w:rsidR="009A08E7">
        <w:t xml:space="preserve">consciously or unconsciously guided by </w:t>
      </w:r>
      <w:r w:rsidR="00255924">
        <w:t xml:space="preserve">what he took to be </w:t>
      </w:r>
      <w:r w:rsidR="00787047">
        <w:t>Carolin</w:t>
      </w:r>
      <w:r w:rsidR="009A08E7">
        <w:t xml:space="preserve">e’s </w:t>
      </w:r>
      <w:r w:rsidR="00621402">
        <w:t>view</w:t>
      </w:r>
      <w:r w:rsidR="009A08E7">
        <w:t xml:space="preserve">; certainly </w:t>
      </w:r>
      <w:r w:rsidR="005C6DD3">
        <w:t>of the six negative</w:t>
      </w:r>
      <w:r w:rsidR="0002184F">
        <w:t xml:space="preserve"> </w:t>
      </w:r>
      <w:r w:rsidR="00DD4F7A">
        <w:t xml:space="preserve">comments </w:t>
      </w:r>
      <w:proofErr w:type="spellStart"/>
      <w:r w:rsidR="0002184F">
        <w:t>Smalridge</w:t>
      </w:r>
      <w:proofErr w:type="spellEnd"/>
      <w:r w:rsidR="0002184F">
        <w:t xml:space="preserve"> goes on to make</w:t>
      </w:r>
      <w:r w:rsidR="009A08E7">
        <w:t xml:space="preserve"> in his letter</w:t>
      </w:r>
      <w:r w:rsidR="005C6DD3">
        <w:t>, five</w:t>
      </w:r>
      <w:r w:rsidR="0002184F">
        <w:t xml:space="preserve"> </w:t>
      </w:r>
      <w:r w:rsidR="00DD4F7A">
        <w:t xml:space="preserve">seem intended to support </w:t>
      </w:r>
      <w:r w:rsidR="00787047">
        <w:t>Caroline</w:t>
      </w:r>
      <w:r w:rsidR="00DD4F7A">
        <w:t>’s assessment</w:t>
      </w:r>
      <w:r w:rsidR="00621402">
        <w:t xml:space="preserve"> that the book is obscure</w:t>
      </w:r>
      <w:r w:rsidR="005C6DD3">
        <w:t>, with only one making</w:t>
      </w:r>
      <w:r w:rsidR="00DD4F7A">
        <w:t xml:space="preserve"> a </w:t>
      </w:r>
      <w:r w:rsidR="00561C9A">
        <w:t>different</w:t>
      </w:r>
      <w:r w:rsidR="00DD4F7A">
        <w:t xml:space="preserve"> point.</w:t>
      </w:r>
    </w:p>
    <w:p w:rsidR="00EB7390" w:rsidRDefault="00D638E9" w:rsidP="00594E81">
      <w:pPr>
        <w:spacing w:line="480" w:lineRule="auto"/>
        <w:ind w:firstLine="720"/>
      </w:pPr>
      <w:proofErr w:type="spellStart"/>
      <w:r>
        <w:lastRenderedPageBreak/>
        <w:t>Smalridge’s</w:t>
      </w:r>
      <w:proofErr w:type="spellEnd"/>
      <w:r>
        <w:t xml:space="preserve"> first complaint is that</w:t>
      </w:r>
      <w:r w:rsidR="00787047">
        <w:t xml:space="preserve"> in the </w:t>
      </w:r>
      <w:r w:rsidR="00787047">
        <w:rPr>
          <w:i/>
        </w:rPr>
        <w:t>Theodicy</w:t>
      </w:r>
      <w:r>
        <w:t xml:space="preserve"> Leibniz uses a great many Scholastic terms, such as absolute and hypothetical necessity, and the consequent and antecedent will of God. Such terms, </w:t>
      </w:r>
      <w:proofErr w:type="spellStart"/>
      <w:r>
        <w:t>Smalridge</w:t>
      </w:r>
      <w:proofErr w:type="spellEnd"/>
      <w:r>
        <w:t xml:space="preserve"> claim</w:t>
      </w:r>
      <w:r w:rsidR="00C03D92">
        <w:t>s</w:t>
      </w:r>
      <w:r>
        <w:t>, are “mere jargon, empty words without any mean</w:t>
      </w:r>
      <w:r w:rsidR="0072219E">
        <w:t>ing, and utterly unintelligible</w:t>
      </w:r>
      <w:r>
        <w:t>”</w:t>
      </w:r>
      <w:r>
        <w:rPr>
          <w:rStyle w:val="FootnoteReference"/>
        </w:rPr>
        <w:footnoteReference w:id="68"/>
      </w:r>
      <w:r w:rsidR="0072219E">
        <w:t>.</w:t>
      </w:r>
    </w:p>
    <w:p w:rsidR="008258BA" w:rsidRDefault="005C6DD3" w:rsidP="00594E81">
      <w:pPr>
        <w:spacing w:line="480" w:lineRule="auto"/>
      </w:pPr>
      <w:r>
        <w:tab/>
        <w:t>The</w:t>
      </w:r>
      <w:r w:rsidR="00D638E9">
        <w:t xml:space="preserve"> second complaint is that Leibniz “hath also inserted several citations, from Greek &amp; Latin authors, which he hath not translated into the language in which he writes, &amp; which therefore a reader, who is not acquainted with Gre</w:t>
      </w:r>
      <w:r w:rsidR="0072219E">
        <w:t>ek &amp; Latin, can make nothing of</w:t>
      </w:r>
      <w:r w:rsidR="00D638E9">
        <w:t>”</w:t>
      </w:r>
      <w:r w:rsidR="00D638E9">
        <w:rPr>
          <w:rStyle w:val="FootnoteReference"/>
        </w:rPr>
        <w:footnoteReference w:id="69"/>
      </w:r>
      <w:r w:rsidR="0072219E">
        <w:t>.</w:t>
      </w:r>
    </w:p>
    <w:p w:rsidR="00B819AB" w:rsidRDefault="005C6DD3" w:rsidP="00594E81">
      <w:pPr>
        <w:spacing w:line="480" w:lineRule="auto"/>
      </w:pPr>
      <w:r>
        <w:tab/>
        <w:t xml:space="preserve">The third complaint is that Leibniz often makes use of examples from mathematics or the sciences, which are not helpful to </w:t>
      </w:r>
      <w:r w:rsidR="008E66C9">
        <w:t>anyone</w:t>
      </w:r>
      <w:r>
        <w:t xml:space="preserve"> unschooled in those subjects:</w:t>
      </w:r>
    </w:p>
    <w:p w:rsidR="005C6DD3" w:rsidRDefault="005C6DD3" w:rsidP="00594E81">
      <w:pPr>
        <w:spacing w:line="480" w:lineRule="auto"/>
      </w:pPr>
    </w:p>
    <w:p w:rsidR="005C6DD3" w:rsidRPr="00E47472" w:rsidRDefault="00E47472" w:rsidP="00594E81">
      <w:pPr>
        <w:spacing w:line="480" w:lineRule="auto"/>
        <w:rPr>
          <w:sz w:val="20"/>
          <w:szCs w:val="20"/>
        </w:rPr>
      </w:pPr>
      <w:r>
        <w:rPr>
          <w:sz w:val="20"/>
          <w:szCs w:val="20"/>
        </w:rPr>
        <w:t>“</w:t>
      </w:r>
      <w:r w:rsidR="005C6DD3" w:rsidRPr="00E47472">
        <w:rPr>
          <w:sz w:val="20"/>
          <w:szCs w:val="20"/>
        </w:rPr>
        <w:t xml:space="preserve">The author doth in </w:t>
      </w:r>
      <w:proofErr w:type="spellStart"/>
      <w:r w:rsidR="005C6DD3" w:rsidRPr="00E47472">
        <w:rPr>
          <w:sz w:val="20"/>
          <w:szCs w:val="20"/>
        </w:rPr>
        <w:t>severall</w:t>
      </w:r>
      <w:proofErr w:type="spellEnd"/>
      <w:r w:rsidR="005C6DD3" w:rsidRPr="00E47472">
        <w:rPr>
          <w:sz w:val="20"/>
          <w:szCs w:val="20"/>
        </w:rPr>
        <w:t xml:space="preserve"> places illustrate what he delivers by similitudes or examples, taken from mathematics or </w:t>
      </w:r>
      <w:proofErr w:type="spellStart"/>
      <w:r w:rsidR="005C6DD3" w:rsidRPr="00E47472">
        <w:rPr>
          <w:sz w:val="20"/>
          <w:szCs w:val="20"/>
        </w:rPr>
        <w:t>naturall</w:t>
      </w:r>
      <w:proofErr w:type="spellEnd"/>
      <w:r w:rsidR="005C6DD3" w:rsidRPr="00E47472">
        <w:rPr>
          <w:sz w:val="20"/>
          <w:szCs w:val="20"/>
        </w:rPr>
        <w:t xml:space="preserve"> philosophy; which resemblances, </w:t>
      </w:r>
      <w:proofErr w:type="spellStart"/>
      <w:r w:rsidR="005C6DD3" w:rsidRPr="00E47472">
        <w:rPr>
          <w:sz w:val="20"/>
          <w:szCs w:val="20"/>
        </w:rPr>
        <w:t>tho</w:t>
      </w:r>
      <w:proofErr w:type="spellEnd"/>
      <w:r w:rsidR="005C6DD3" w:rsidRPr="00E47472">
        <w:rPr>
          <w:sz w:val="20"/>
          <w:szCs w:val="20"/>
        </w:rPr>
        <w:t xml:space="preserve">’ to persons </w:t>
      </w:r>
      <w:proofErr w:type="spellStart"/>
      <w:r w:rsidR="005C6DD3" w:rsidRPr="00E47472">
        <w:rPr>
          <w:sz w:val="20"/>
          <w:szCs w:val="20"/>
        </w:rPr>
        <w:t>skill’d</w:t>
      </w:r>
      <w:proofErr w:type="spellEnd"/>
      <w:r w:rsidR="005C6DD3" w:rsidRPr="00E47472">
        <w:rPr>
          <w:sz w:val="20"/>
          <w:szCs w:val="20"/>
        </w:rPr>
        <w:t xml:space="preserve"> in those sciences they may make the matters treated of clearer, yet to others unacquainted with those parts of learning, or who have not </w:t>
      </w:r>
      <w:proofErr w:type="spellStart"/>
      <w:r w:rsidR="005C6DD3" w:rsidRPr="00E47472">
        <w:rPr>
          <w:sz w:val="20"/>
          <w:szCs w:val="20"/>
        </w:rPr>
        <w:t>searcht</w:t>
      </w:r>
      <w:proofErr w:type="spellEnd"/>
      <w:r w:rsidR="005C6DD3" w:rsidRPr="00E47472">
        <w:rPr>
          <w:sz w:val="20"/>
          <w:szCs w:val="20"/>
        </w:rPr>
        <w:t xml:space="preserve"> into the depths of them, they must necessarily render what is said rather more, than less, obscure</w:t>
      </w:r>
      <w:r w:rsidR="005C6DD3" w:rsidRPr="00E47472">
        <w:rPr>
          <w:rStyle w:val="FootnoteReference"/>
          <w:sz w:val="20"/>
          <w:szCs w:val="20"/>
        </w:rPr>
        <w:footnoteReference w:id="70"/>
      </w:r>
      <w:r>
        <w:rPr>
          <w:sz w:val="20"/>
          <w:szCs w:val="20"/>
        </w:rPr>
        <w:t>”</w:t>
      </w:r>
      <w:r w:rsidR="0072219E" w:rsidRPr="00E47472">
        <w:rPr>
          <w:sz w:val="20"/>
          <w:szCs w:val="20"/>
        </w:rPr>
        <w:t>.</w:t>
      </w:r>
    </w:p>
    <w:p w:rsidR="005C6DD3" w:rsidRDefault="005C6DD3" w:rsidP="00594E81">
      <w:pPr>
        <w:spacing w:line="480" w:lineRule="auto"/>
      </w:pPr>
    </w:p>
    <w:p w:rsidR="00B819AB" w:rsidRDefault="00B819AB" w:rsidP="00594E81">
      <w:pPr>
        <w:spacing w:line="480" w:lineRule="auto"/>
        <w:ind w:firstLine="720"/>
      </w:pPr>
      <w:proofErr w:type="spellStart"/>
      <w:r>
        <w:t>Smalridge’s</w:t>
      </w:r>
      <w:proofErr w:type="spellEnd"/>
      <w:r>
        <w:t xml:space="preserve"> </w:t>
      </w:r>
      <w:r w:rsidR="005C6DD3">
        <w:t>fourth</w:t>
      </w:r>
      <w:r>
        <w:t xml:space="preserve"> complaint </w:t>
      </w:r>
      <w:r w:rsidR="005C6DD3">
        <w:t xml:space="preserve">about the </w:t>
      </w:r>
      <w:r w:rsidR="005C6DD3" w:rsidRPr="005C6DD3">
        <w:rPr>
          <w:i/>
        </w:rPr>
        <w:t>Theodicy</w:t>
      </w:r>
      <w:r w:rsidR="005C6DD3">
        <w:t xml:space="preserve"> </w:t>
      </w:r>
      <w:r>
        <w:t xml:space="preserve">is that Leibniz </w:t>
      </w:r>
      <w:r w:rsidR="00E56EA8">
        <w:t>apparently expects</w:t>
      </w:r>
      <w:r>
        <w:t xml:space="preserve"> the reader </w:t>
      </w:r>
      <w:r w:rsidR="00E56EA8">
        <w:t>to be familiar with, and have</w:t>
      </w:r>
      <w:r>
        <w:t xml:space="preserve"> access to, his past output, as he often alludes to </w:t>
      </w:r>
      <w:r w:rsidR="00841A15">
        <w:t xml:space="preserve">his </w:t>
      </w:r>
      <w:r>
        <w:t>previously-published works:</w:t>
      </w:r>
    </w:p>
    <w:p w:rsidR="00B819AB" w:rsidRDefault="00B819AB" w:rsidP="00594E81">
      <w:pPr>
        <w:spacing w:line="480" w:lineRule="auto"/>
      </w:pPr>
    </w:p>
    <w:p w:rsidR="00B819AB" w:rsidRPr="00E47472" w:rsidRDefault="00E47472" w:rsidP="00594E81">
      <w:pPr>
        <w:spacing w:line="480" w:lineRule="auto"/>
        <w:rPr>
          <w:sz w:val="20"/>
          <w:szCs w:val="20"/>
        </w:rPr>
      </w:pPr>
      <w:r>
        <w:rPr>
          <w:sz w:val="20"/>
          <w:szCs w:val="20"/>
        </w:rPr>
        <w:lastRenderedPageBreak/>
        <w:t>“</w:t>
      </w:r>
      <w:r w:rsidR="00B819AB" w:rsidRPr="00E47472">
        <w:rPr>
          <w:sz w:val="20"/>
          <w:szCs w:val="20"/>
        </w:rPr>
        <w:t xml:space="preserve">The author doth in </w:t>
      </w:r>
      <w:proofErr w:type="spellStart"/>
      <w:r w:rsidR="00B819AB" w:rsidRPr="00E47472">
        <w:rPr>
          <w:sz w:val="20"/>
          <w:szCs w:val="20"/>
        </w:rPr>
        <w:t>severall</w:t>
      </w:r>
      <w:proofErr w:type="spellEnd"/>
      <w:r w:rsidR="00B819AB" w:rsidRPr="00E47472">
        <w:rPr>
          <w:sz w:val="20"/>
          <w:szCs w:val="20"/>
        </w:rPr>
        <w:t xml:space="preserve"> places allude to books, which he had before </w:t>
      </w:r>
      <w:proofErr w:type="spellStart"/>
      <w:r w:rsidR="00B819AB" w:rsidRPr="00E47472">
        <w:rPr>
          <w:sz w:val="20"/>
          <w:szCs w:val="20"/>
        </w:rPr>
        <w:t>publish’d</w:t>
      </w:r>
      <w:proofErr w:type="spellEnd"/>
      <w:r w:rsidR="00B819AB" w:rsidRPr="00E47472">
        <w:rPr>
          <w:sz w:val="20"/>
          <w:szCs w:val="20"/>
        </w:rPr>
        <w:t xml:space="preserve">, &amp; which he supposes the reader of this to be well acquainted with; but it may happen that some readers may have never seen, or never </w:t>
      </w:r>
      <w:proofErr w:type="spellStart"/>
      <w:r w:rsidR="00B819AB" w:rsidRPr="00E47472">
        <w:rPr>
          <w:sz w:val="20"/>
          <w:szCs w:val="20"/>
        </w:rPr>
        <w:t>consider’d</w:t>
      </w:r>
      <w:proofErr w:type="spellEnd"/>
      <w:r w:rsidR="00B819AB" w:rsidRPr="00E47472">
        <w:rPr>
          <w:sz w:val="20"/>
          <w:szCs w:val="20"/>
        </w:rPr>
        <w:t xml:space="preserve"> those former discourses of his, &amp; therefore may be the less </w:t>
      </w:r>
      <w:proofErr w:type="spellStart"/>
      <w:r w:rsidR="00B819AB" w:rsidRPr="00E47472">
        <w:rPr>
          <w:sz w:val="20"/>
          <w:szCs w:val="20"/>
        </w:rPr>
        <w:t>prepar’d</w:t>
      </w:r>
      <w:proofErr w:type="spellEnd"/>
      <w:r w:rsidR="00B819AB" w:rsidRPr="00E47472">
        <w:rPr>
          <w:sz w:val="20"/>
          <w:szCs w:val="20"/>
        </w:rPr>
        <w:t>, &amp; the less able to understand what is advanced in this</w:t>
      </w:r>
      <w:r w:rsidR="00B819AB" w:rsidRPr="00E47472">
        <w:rPr>
          <w:rStyle w:val="FootnoteReference"/>
          <w:sz w:val="20"/>
          <w:szCs w:val="20"/>
        </w:rPr>
        <w:footnoteReference w:id="71"/>
      </w:r>
      <w:r>
        <w:rPr>
          <w:sz w:val="20"/>
          <w:szCs w:val="20"/>
        </w:rPr>
        <w:t>”</w:t>
      </w:r>
      <w:r w:rsidR="0072219E" w:rsidRPr="00E47472">
        <w:rPr>
          <w:sz w:val="20"/>
          <w:szCs w:val="20"/>
        </w:rPr>
        <w:t>.</w:t>
      </w:r>
    </w:p>
    <w:p w:rsidR="00EB7390" w:rsidRDefault="00EB7390" w:rsidP="00594E81">
      <w:pPr>
        <w:spacing w:line="480" w:lineRule="auto"/>
      </w:pPr>
    </w:p>
    <w:p w:rsidR="00BC4CA3" w:rsidRPr="00BC4CA3" w:rsidRDefault="00BC4CA3" w:rsidP="00594E81">
      <w:pPr>
        <w:spacing w:line="480" w:lineRule="auto"/>
        <w:ind w:firstLine="720"/>
      </w:pPr>
      <w:r>
        <w:t xml:space="preserve">The suggestion that Leibniz alludes in the </w:t>
      </w:r>
      <w:r w:rsidRPr="00BC4CA3">
        <w:rPr>
          <w:i/>
        </w:rPr>
        <w:t>Theodicy</w:t>
      </w:r>
      <w:r>
        <w:t xml:space="preserve"> to </w:t>
      </w:r>
      <w:r w:rsidR="00841A15">
        <w:t xml:space="preserve">his </w:t>
      </w:r>
      <w:r>
        <w:t xml:space="preserve">previously-published </w:t>
      </w:r>
      <w:r>
        <w:rPr>
          <w:i/>
        </w:rPr>
        <w:t>books</w:t>
      </w:r>
      <w:r>
        <w:t xml:space="preserve"> is clearly overdrawn, but he certainly does refer to a number of his journal articles.</w:t>
      </w:r>
    </w:p>
    <w:p w:rsidR="0016588D" w:rsidRDefault="00BC4CA3" w:rsidP="00594E81">
      <w:pPr>
        <w:spacing w:line="480" w:lineRule="auto"/>
        <w:ind w:firstLine="720"/>
      </w:pPr>
      <w:proofErr w:type="spellStart"/>
      <w:r>
        <w:t>Smalridge’s</w:t>
      </w:r>
      <w:proofErr w:type="spellEnd"/>
      <w:r w:rsidR="0016588D">
        <w:t xml:space="preserve"> </w:t>
      </w:r>
      <w:r w:rsidR="00E56EA8">
        <w:t>fifth</w:t>
      </w:r>
      <w:r w:rsidR="0016588D">
        <w:t xml:space="preserve"> complaint is that the </w:t>
      </w:r>
      <w:r w:rsidR="0016588D">
        <w:rPr>
          <w:i/>
        </w:rPr>
        <w:t>Theodicy</w:t>
      </w:r>
      <w:r w:rsidR="0016588D">
        <w:t xml:space="preserve"> suffers from too many digressions:</w:t>
      </w:r>
    </w:p>
    <w:p w:rsidR="0016588D" w:rsidRDefault="0016588D" w:rsidP="00594E81">
      <w:pPr>
        <w:spacing w:line="480" w:lineRule="auto"/>
      </w:pPr>
    </w:p>
    <w:p w:rsidR="0016588D" w:rsidRPr="00E47472" w:rsidRDefault="00E47472" w:rsidP="00594E81">
      <w:pPr>
        <w:spacing w:line="480" w:lineRule="auto"/>
        <w:rPr>
          <w:sz w:val="20"/>
          <w:szCs w:val="20"/>
        </w:rPr>
      </w:pPr>
      <w:r>
        <w:rPr>
          <w:sz w:val="20"/>
          <w:szCs w:val="20"/>
        </w:rPr>
        <w:t>“</w:t>
      </w:r>
      <w:r w:rsidR="0016588D" w:rsidRPr="00E47472">
        <w:rPr>
          <w:sz w:val="20"/>
          <w:szCs w:val="20"/>
        </w:rPr>
        <w:t xml:space="preserve">The author hath in the prosecution of this subject made many, &amp; sometimes very long digressions, which </w:t>
      </w:r>
      <w:proofErr w:type="spellStart"/>
      <w:r w:rsidR="0016588D" w:rsidRPr="00E47472">
        <w:rPr>
          <w:sz w:val="20"/>
          <w:szCs w:val="20"/>
        </w:rPr>
        <w:t>tho</w:t>
      </w:r>
      <w:proofErr w:type="spellEnd"/>
      <w:r w:rsidR="0016588D" w:rsidRPr="00E47472">
        <w:rPr>
          <w:sz w:val="20"/>
          <w:szCs w:val="20"/>
        </w:rPr>
        <w:t xml:space="preserve">’ in themselves perhaps very </w:t>
      </w:r>
      <w:proofErr w:type="spellStart"/>
      <w:r w:rsidR="0016588D" w:rsidRPr="00E47472">
        <w:rPr>
          <w:sz w:val="20"/>
          <w:szCs w:val="20"/>
        </w:rPr>
        <w:t>usefull</w:t>
      </w:r>
      <w:proofErr w:type="spellEnd"/>
      <w:r w:rsidR="0016588D" w:rsidRPr="00E47472">
        <w:rPr>
          <w:sz w:val="20"/>
          <w:szCs w:val="20"/>
        </w:rPr>
        <w:t xml:space="preserve"> &amp; instructive, yet, as they are brought in here, do interrupt the thread of the discourse, &amp; thereby make it more difficult for the reader to carry on the pursuit of the </w:t>
      </w:r>
      <w:proofErr w:type="spellStart"/>
      <w:r w:rsidR="0016588D" w:rsidRPr="00E47472">
        <w:rPr>
          <w:sz w:val="20"/>
          <w:szCs w:val="20"/>
        </w:rPr>
        <w:t>principall</w:t>
      </w:r>
      <w:proofErr w:type="spellEnd"/>
      <w:r w:rsidR="0016588D" w:rsidRPr="00E47472">
        <w:rPr>
          <w:sz w:val="20"/>
          <w:szCs w:val="20"/>
        </w:rPr>
        <w:t xml:space="preserve"> subject in his thoughts</w:t>
      </w:r>
      <w:r w:rsidR="0016588D" w:rsidRPr="00E47472">
        <w:rPr>
          <w:rStyle w:val="FootnoteReference"/>
          <w:sz w:val="20"/>
          <w:szCs w:val="20"/>
        </w:rPr>
        <w:footnoteReference w:id="72"/>
      </w:r>
      <w:r>
        <w:rPr>
          <w:sz w:val="20"/>
          <w:szCs w:val="20"/>
        </w:rPr>
        <w:t>”</w:t>
      </w:r>
      <w:r w:rsidR="0072219E" w:rsidRPr="00E47472">
        <w:rPr>
          <w:sz w:val="20"/>
          <w:szCs w:val="20"/>
        </w:rPr>
        <w:t>.</w:t>
      </w:r>
      <w:r w:rsidR="0016588D" w:rsidRPr="00E47472">
        <w:rPr>
          <w:sz w:val="20"/>
          <w:szCs w:val="20"/>
        </w:rPr>
        <w:t xml:space="preserve"> </w:t>
      </w:r>
    </w:p>
    <w:p w:rsidR="0016588D" w:rsidRDefault="0016588D" w:rsidP="00594E81">
      <w:pPr>
        <w:spacing w:line="480" w:lineRule="auto"/>
      </w:pPr>
    </w:p>
    <w:p w:rsidR="0016588D" w:rsidRPr="00666553" w:rsidRDefault="0016588D" w:rsidP="00594E81">
      <w:pPr>
        <w:spacing w:line="480" w:lineRule="auto"/>
        <w:ind w:firstLine="720"/>
      </w:pPr>
      <w:r>
        <w:t xml:space="preserve">For all </w:t>
      </w:r>
      <w:r w:rsidR="006B3959">
        <w:t xml:space="preserve">five </w:t>
      </w:r>
      <w:r>
        <w:t xml:space="preserve">of these reasons, </w:t>
      </w:r>
      <w:r w:rsidR="006B3959">
        <w:t xml:space="preserve">according to </w:t>
      </w:r>
      <w:proofErr w:type="spellStart"/>
      <w:r>
        <w:t>Smalridge</w:t>
      </w:r>
      <w:proofErr w:type="spellEnd"/>
      <w:r>
        <w:t xml:space="preserve">, the </w:t>
      </w:r>
      <w:r>
        <w:rPr>
          <w:i/>
        </w:rPr>
        <w:t>Theodicy</w:t>
      </w:r>
      <w:r>
        <w:t xml:space="preserve">, or at least great parts of it, will appear </w:t>
      </w:r>
      <w:proofErr w:type="gramStart"/>
      <w:r>
        <w:t>to</w:t>
      </w:r>
      <w:proofErr w:type="gramEnd"/>
      <w:r>
        <w:t xml:space="preserve"> many readers as “difficult and obscure”</w:t>
      </w:r>
      <w:r>
        <w:rPr>
          <w:rStyle w:val="FootnoteReference"/>
        </w:rPr>
        <w:footnoteReference w:id="73"/>
      </w:r>
      <w:r w:rsidR="0072219E">
        <w:t>.</w:t>
      </w:r>
      <w:r w:rsidR="00CB32FE">
        <w:t xml:space="preserve"> </w:t>
      </w:r>
      <w:r w:rsidR="00EE3D09">
        <w:t xml:space="preserve">It is unclear whether </w:t>
      </w:r>
      <w:r w:rsidR="00CB32FE">
        <w:t xml:space="preserve">this is how </w:t>
      </w:r>
      <w:proofErr w:type="spellStart"/>
      <w:r w:rsidR="00CB32FE">
        <w:t>Smalridge</w:t>
      </w:r>
      <w:proofErr w:type="spellEnd"/>
      <w:r w:rsidR="00CB32FE">
        <w:t xml:space="preserve"> </w:t>
      </w:r>
      <w:r w:rsidR="00EE3D09">
        <w:t xml:space="preserve">himself </w:t>
      </w:r>
      <w:r w:rsidR="00CB32FE">
        <w:t>sees the book</w:t>
      </w:r>
      <w:r w:rsidR="00EE3D09">
        <w:t>, or whether he is just seeking to support Caroline’s assessment that the book is obscure.</w:t>
      </w:r>
      <w:r w:rsidR="00604DA9">
        <w:t xml:space="preserve"> Nevertheless</w:t>
      </w:r>
      <w:r w:rsidR="00CB32FE">
        <w:t xml:space="preserve">, he goes on to say that readers who pay </w:t>
      </w:r>
      <w:r w:rsidR="00841A15">
        <w:t xml:space="preserve">careful </w:t>
      </w:r>
      <w:r w:rsidR="00CB32FE">
        <w:t xml:space="preserve">attention – and presumably that </w:t>
      </w:r>
      <w:proofErr w:type="gramStart"/>
      <w:r w:rsidR="00CB32FE">
        <w:t>includes</w:t>
      </w:r>
      <w:proofErr w:type="gramEnd"/>
      <w:r w:rsidR="00CB32FE">
        <w:t xml:space="preserve"> him</w:t>
      </w:r>
      <w:r w:rsidR="00EE3D09">
        <w:t xml:space="preserve"> (and Caroline!)</w:t>
      </w:r>
      <w:r w:rsidR="00CB32FE">
        <w:t xml:space="preserve"> – will find in the </w:t>
      </w:r>
      <w:r w:rsidR="00CB32FE">
        <w:rPr>
          <w:i/>
        </w:rPr>
        <w:t>Theodicy</w:t>
      </w:r>
      <w:r w:rsidR="00CB32FE">
        <w:t xml:space="preserve"> many excellent thoughts, great erudition, solid reasoning and judgement, and a true spirit of piety.</w:t>
      </w:r>
      <w:r w:rsidR="000960CF">
        <w:t xml:space="preserve"> </w:t>
      </w:r>
      <w:proofErr w:type="spellStart"/>
      <w:r w:rsidR="00604DA9">
        <w:t>Smalridge</w:t>
      </w:r>
      <w:proofErr w:type="spellEnd"/>
      <w:r w:rsidR="00604DA9">
        <w:t xml:space="preserve"> is short on specifics here; of all the issues Leibniz addresses in the </w:t>
      </w:r>
      <w:r w:rsidR="00604DA9">
        <w:rPr>
          <w:i/>
        </w:rPr>
        <w:t>Theodicy</w:t>
      </w:r>
      <w:r w:rsidR="00604DA9">
        <w:t xml:space="preserve">, </w:t>
      </w:r>
      <w:proofErr w:type="spellStart"/>
      <w:r w:rsidR="00604DA9">
        <w:t>Smalridge</w:t>
      </w:r>
      <w:proofErr w:type="spellEnd"/>
      <w:r w:rsidR="00604DA9">
        <w:t xml:space="preserve"> mentions only that of</w:t>
      </w:r>
      <w:r w:rsidR="006B3959">
        <w:t xml:space="preserve"> </w:t>
      </w:r>
      <w:r w:rsidR="00513A09">
        <w:t>whether</w:t>
      </w:r>
      <w:r w:rsidR="000960CF">
        <w:t xml:space="preserve"> evil </w:t>
      </w:r>
      <w:r w:rsidR="00604DA9">
        <w:t xml:space="preserve">can be </w:t>
      </w:r>
      <w:r w:rsidR="00513A09">
        <w:t>an objection to</w:t>
      </w:r>
      <w:r w:rsidR="00604DA9">
        <w:t xml:space="preserve"> </w:t>
      </w:r>
      <w:r w:rsidR="000960CF">
        <w:t xml:space="preserve">God’s </w:t>
      </w:r>
      <w:r w:rsidR="00513A09">
        <w:t>goodness and holiness</w:t>
      </w:r>
      <w:r w:rsidR="00604DA9">
        <w:t xml:space="preserve">. </w:t>
      </w:r>
      <w:r w:rsidR="00A127D5">
        <w:t xml:space="preserve">On this matter, </w:t>
      </w:r>
      <w:proofErr w:type="spellStart"/>
      <w:r w:rsidR="00513A09">
        <w:t>Smalridge</w:t>
      </w:r>
      <w:proofErr w:type="spellEnd"/>
      <w:r w:rsidR="00513A09">
        <w:t xml:space="preserve"> claims that </w:t>
      </w:r>
      <w:r w:rsidR="00604DA9">
        <w:t xml:space="preserve">Leibniz’s </w:t>
      </w:r>
      <w:r w:rsidR="00A05AA2">
        <w:t>assertions</w:t>
      </w:r>
      <w:r w:rsidR="00A83AC7">
        <w:t xml:space="preserve"> </w:t>
      </w:r>
      <w:r w:rsidR="000960CF">
        <w:t xml:space="preserve">will </w:t>
      </w:r>
      <w:r w:rsidR="000960CF">
        <w:lastRenderedPageBreak/>
        <w:t xml:space="preserve">“appear satisfactory to all </w:t>
      </w:r>
      <w:proofErr w:type="spellStart"/>
      <w:r w:rsidR="000960CF">
        <w:t>unpre</w:t>
      </w:r>
      <w:r w:rsidR="0072219E">
        <w:t>judic’d</w:t>
      </w:r>
      <w:proofErr w:type="spellEnd"/>
      <w:r w:rsidR="0072219E">
        <w:t xml:space="preserve"> and well-disposed minds</w:t>
      </w:r>
      <w:r w:rsidR="000960CF">
        <w:t>”</w:t>
      </w:r>
      <w:r w:rsidR="000960CF">
        <w:rPr>
          <w:rStyle w:val="FootnoteReference"/>
        </w:rPr>
        <w:footnoteReference w:id="74"/>
      </w:r>
      <w:r w:rsidR="0072219E">
        <w:t>,</w:t>
      </w:r>
      <w:r w:rsidR="000960CF">
        <w:t xml:space="preserve"> </w:t>
      </w:r>
      <w:r w:rsidR="00AF0D81">
        <w:t>although he also notes</w:t>
      </w:r>
      <w:r w:rsidR="000960CF">
        <w:t xml:space="preserve"> that there may </w:t>
      </w:r>
      <w:r w:rsidR="00AF0D81">
        <w:t xml:space="preserve">still </w:t>
      </w:r>
      <w:r w:rsidR="000960CF">
        <w:t xml:space="preserve">be objections </w:t>
      </w:r>
      <w:r w:rsidR="00A05AA2">
        <w:t xml:space="preserve">that can be </w:t>
      </w:r>
      <w:r w:rsidR="000960CF">
        <w:t>raised to which Leibniz has no adequate response.</w:t>
      </w:r>
      <w:r w:rsidR="00462529">
        <w:t xml:space="preserve"> </w:t>
      </w:r>
      <w:r w:rsidR="00EE3D09">
        <w:t>He explains that t</w:t>
      </w:r>
      <w:r w:rsidR="00AF0D81">
        <w:t xml:space="preserve">his is not </w:t>
      </w:r>
      <w:r w:rsidR="00EE3D09">
        <w:t>because</w:t>
      </w:r>
      <w:r w:rsidR="00AF0D81">
        <w:t xml:space="preserve"> </w:t>
      </w:r>
      <w:r w:rsidR="00494D7D">
        <w:t>opponents</w:t>
      </w:r>
      <w:r w:rsidR="00AF0D81">
        <w:t xml:space="preserve"> have the better </w:t>
      </w:r>
      <w:proofErr w:type="gramStart"/>
      <w:r w:rsidR="00AF0D81">
        <w:t>arguments, merely that</w:t>
      </w:r>
      <w:proofErr w:type="gramEnd"/>
      <w:r w:rsidR="00AF0D81">
        <w:t xml:space="preserve"> </w:t>
      </w:r>
      <w:r w:rsidR="00F25FF0">
        <w:t xml:space="preserve">in our current state of imperfection </w:t>
      </w:r>
      <w:r w:rsidR="00AF0D81">
        <w:t xml:space="preserve">it is impossible to clear away all conceivable doubts that may be raised in the matter. </w:t>
      </w:r>
      <w:r w:rsidR="00A05AA2">
        <w:t xml:space="preserve">However, </w:t>
      </w:r>
      <w:proofErr w:type="spellStart"/>
      <w:r w:rsidR="00462529">
        <w:t>Smalridge</w:t>
      </w:r>
      <w:proofErr w:type="spellEnd"/>
      <w:r w:rsidR="00462529">
        <w:t xml:space="preserve"> </w:t>
      </w:r>
      <w:r w:rsidR="00A05AA2">
        <w:t>does state</w:t>
      </w:r>
      <w:r w:rsidR="00462529">
        <w:t xml:space="preserve"> that “the objection against the goodness of God drawn from the permission of evil</w:t>
      </w:r>
      <w:r w:rsidR="00A05AA2">
        <w:t>” has been</w:t>
      </w:r>
      <w:r w:rsidR="00462529">
        <w:t xml:space="preserve"> </w:t>
      </w:r>
      <w:r w:rsidR="00A05AA2">
        <w:t>“</w:t>
      </w:r>
      <w:proofErr w:type="spellStart"/>
      <w:r w:rsidR="00462529">
        <w:t>consider’d</w:t>
      </w:r>
      <w:proofErr w:type="spellEnd"/>
      <w:r w:rsidR="00462529">
        <w:t xml:space="preserve">, and </w:t>
      </w:r>
      <w:proofErr w:type="spellStart"/>
      <w:r w:rsidR="00462529">
        <w:t>answer’d</w:t>
      </w:r>
      <w:proofErr w:type="spellEnd"/>
      <w:r w:rsidR="00462529">
        <w:t xml:space="preserve"> by Archbishop </w:t>
      </w:r>
      <w:proofErr w:type="spellStart"/>
      <w:r w:rsidR="00462529">
        <w:t>Tillotson</w:t>
      </w:r>
      <w:proofErr w:type="spellEnd"/>
      <w:r w:rsidR="00BA1258">
        <w:t xml:space="preserve">” in </w:t>
      </w:r>
      <w:r w:rsidR="00255924">
        <w:t xml:space="preserve">one of </w:t>
      </w:r>
      <w:r w:rsidR="00BA1258">
        <w:t>his sermon</w:t>
      </w:r>
      <w:r w:rsidR="00255924">
        <w:t>s (namely that on “The goodness of God</w:t>
      </w:r>
      <w:r w:rsidR="00BA1258">
        <w:t>”</w:t>
      </w:r>
      <w:r w:rsidR="00462529">
        <w:rPr>
          <w:rStyle w:val="FootnoteReference"/>
        </w:rPr>
        <w:footnoteReference w:id="75"/>
      </w:r>
      <w:r w:rsidR="0072219E">
        <w:t>).</w:t>
      </w:r>
      <w:r w:rsidR="00462529">
        <w:t xml:space="preserve"> Although he does not say it outright, </w:t>
      </w:r>
      <w:proofErr w:type="spellStart"/>
      <w:r w:rsidR="00462529">
        <w:t>Smalridge</w:t>
      </w:r>
      <w:proofErr w:type="spellEnd"/>
      <w:r w:rsidR="00462529">
        <w:t xml:space="preserve"> is clearly comparing </w:t>
      </w:r>
      <w:r w:rsidR="0039216A">
        <w:t>Leibniz’s</w:t>
      </w:r>
      <w:r w:rsidR="00462529">
        <w:t xml:space="preserve"> </w:t>
      </w:r>
      <w:r w:rsidR="00666553">
        <w:t>treatment of evil in</w:t>
      </w:r>
      <w:r w:rsidR="00462529">
        <w:t xml:space="preserve"> the </w:t>
      </w:r>
      <w:r w:rsidR="00462529">
        <w:rPr>
          <w:i/>
        </w:rPr>
        <w:t>Theodicy</w:t>
      </w:r>
      <w:r w:rsidR="00462529">
        <w:t xml:space="preserve"> with th</w:t>
      </w:r>
      <w:r w:rsidR="00666553">
        <w:t xml:space="preserve">at </w:t>
      </w:r>
      <w:r w:rsidR="00462529">
        <w:t xml:space="preserve">of </w:t>
      </w:r>
      <w:proofErr w:type="spellStart"/>
      <w:r w:rsidR="00462529">
        <w:t>Tillotson</w:t>
      </w:r>
      <w:proofErr w:type="spellEnd"/>
      <w:r w:rsidR="00462529">
        <w:t xml:space="preserve"> in his sermon, and intimating that</w:t>
      </w:r>
      <w:r w:rsidR="0096700A">
        <w:t>, of the two,</w:t>
      </w:r>
      <w:r w:rsidR="00462529">
        <w:t xml:space="preserve"> </w:t>
      </w:r>
      <w:proofErr w:type="spellStart"/>
      <w:r w:rsidR="00462529">
        <w:t>Tillotson’s</w:t>
      </w:r>
      <w:proofErr w:type="spellEnd"/>
      <w:r w:rsidR="00462529">
        <w:t xml:space="preserve"> </w:t>
      </w:r>
      <w:r w:rsidR="00666553">
        <w:t>is</w:t>
      </w:r>
      <w:r w:rsidR="00462529">
        <w:t xml:space="preserve"> </w:t>
      </w:r>
      <w:r w:rsidR="00730A21">
        <w:t>the stronger</w:t>
      </w:r>
      <w:r w:rsidR="00462529">
        <w:t>.</w:t>
      </w:r>
      <w:r w:rsidR="002800AA">
        <w:t xml:space="preserve"> The comparison </w:t>
      </w:r>
      <w:r w:rsidR="00964DFD">
        <w:t xml:space="preserve">is </w:t>
      </w:r>
      <w:r w:rsidR="002800AA">
        <w:t xml:space="preserve">certainly </w:t>
      </w:r>
      <w:r w:rsidR="00964DFD">
        <w:t>not unreasonable</w:t>
      </w:r>
      <w:r w:rsidR="002800AA">
        <w:t xml:space="preserve">; indeed, there is much overlap between </w:t>
      </w:r>
      <w:proofErr w:type="spellStart"/>
      <w:r w:rsidR="002800AA">
        <w:t>Tillotson’s</w:t>
      </w:r>
      <w:proofErr w:type="spellEnd"/>
      <w:r w:rsidR="002800AA">
        <w:t xml:space="preserve"> explanation for evil and Leibniz’s. </w:t>
      </w:r>
      <w:proofErr w:type="spellStart"/>
      <w:r w:rsidR="002800AA">
        <w:t>Tillotson</w:t>
      </w:r>
      <w:proofErr w:type="spellEnd"/>
      <w:r w:rsidR="002800AA">
        <w:t xml:space="preserve"> claims, for example, that all created things are necessarily imperfect, but that it is good that there be a </w:t>
      </w:r>
      <w:r w:rsidR="00012A1C">
        <w:t xml:space="preserve">great </w:t>
      </w:r>
      <w:r w:rsidR="002800AA">
        <w:t>variety of them</w:t>
      </w:r>
      <w:r w:rsidR="00A90E15">
        <w:rPr>
          <w:rStyle w:val="FootnoteReference"/>
        </w:rPr>
        <w:footnoteReference w:id="76"/>
      </w:r>
      <w:r w:rsidR="0072219E">
        <w:t>;</w:t>
      </w:r>
      <w:r w:rsidR="00A90E15">
        <w:t xml:space="preserve"> he says also that </w:t>
      </w:r>
      <w:r w:rsidR="00487CCC">
        <w:t>our sufferings are either the effects of our own sin, or are divine punishments for them</w:t>
      </w:r>
      <w:r w:rsidR="00A90E15">
        <w:rPr>
          <w:rStyle w:val="FootnoteReference"/>
        </w:rPr>
        <w:footnoteReference w:id="77"/>
      </w:r>
      <w:r w:rsidR="0072219E">
        <w:t>,</w:t>
      </w:r>
      <w:r w:rsidR="00487CCC">
        <w:t xml:space="preserve"> </w:t>
      </w:r>
      <w:r w:rsidR="00D20E2C">
        <w:t xml:space="preserve">and </w:t>
      </w:r>
      <w:r w:rsidR="00487CCC">
        <w:t>that nevertheless, sufferings contribute to the increase of our happiness</w:t>
      </w:r>
      <w:r w:rsidR="00487CCC">
        <w:rPr>
          <w:rStyle w:val="FootnoteReference"/>
        </w:rPr>
        <w:footnoteReference w:id="78"/>
      </w:r>
      <w:r w:rsidR="0072219E">
        <w:t>.</w:t>
      </w:r>
      <w:r w:rsidR="00BB4C95">
        <w:t xml:space="preserve"> All these are doctrines one can also find in the </w:t>
      </w:r>
      <w:r w:rsidR="00BB4C95">
        <w:rPr>
          <w:i/>
        </w:rPr>
        <w:t>Theodicy</w:t>
      </w:r>
      <w:r w:rsidR="00BB4C95">
        <w:t>.</w:t>
      </w:r>
      <w:r w:rsidR="00666553">
        <w:t xml:space="preserve"> Yet </w:t>
      </w:r>
      <w:r w:rsidR="00964DFD">
        <w:t xml:space="preserve">as befits a churchman, </w:t>
      </w:r>
      <w:proofErr w:type="spellStart"/>
      <w:r w:rsidR="00666553">
        <w:t>Tillotson</w:t>
      </w:r>
      <w:proofErr w:type="spellEnd"/>
      <w:r w:rsidR="00666553">
        <w:t xml:space="preserve"> spends most of his time not with theoretical explanations of why God would allow evil, as Leibniz arguably does; instead, </w:t>
      </w:r>
      <w:proofErr w:type="spellStart"/>
      <w:r w:rsidR="00666553">
        <w:t>Tillotson</w:t>
      </w:r>
      <w:proofErr w:type="spellEnd"/>
      <w:r w:rsidR="00666553">
        <w:t xml:space="preserve"> is especially concerned to show that certain events recorded in the Bible, such as the universal deluge, the destruction of Sodom and Gomorrah, </w:t>
      </w:r>
      <w:r w:rsidR="00964DFD">
        <w:t xml:space="preserve">the extermination of Canaanites and the destruction of </w:t>
      </w:r>
      <w:r w:rsidR="00964DFD">
        <w:lastRenderedPageBreak/>
        <w:t xml:space="preserve">Rome, </w:t>
      </w:r>
      <w:r w:rsidR="00666553">
        <w:t xml:space="preserve">are </w:t>
      </w:r>
      <w:r w:rsidR="00964DFD">
        <w:t>no</w:t>
      </w:r>
      <w:r w:rsidR="00012A1C">
        <w:t>t</w:t>
      </w:r>
      <w:r w:rsidR="00964DFD">
        <w:t xml:space="preserve"> </w:t>
      </w:r>
      <w:r w:rsidR="00666553">
        <w:t>objections to God’s goodness (as they might initially appear to be)</w:t>
      </w:r>
      <w:r w:rsidR="00012A1C">
        <w:t xml:space="preserve"> so much as</w:t>
      </w:r>
      <w:r w:rsidR="00666553">
        <w:t xml:space="preserve"> evidence of </w:t>
      </w:r>
      <w:r w:rsidR="00012A1C">
        <w:t>that goodness</w:t>
      </w:r>
      <w:r w:rsidR="00666553">
        <w:t xml:space="preserve"> in action</w:t>
      </w:r>
      <w:r w:rsidR="00BA1258">
        <w:rPr>
          <w:rStyle w:val="FootnoteReference"/>
        </w:rPr>
        <w:footnoteReference w:id="79"/>
      </w:r>
      <w:r w:rsidR="0072219E">
        <w:t>.</w:t>
      </w:r>
      <w:r w:rsidR="00666553">
        <w:t xml:space="preserve"> Leibniz does</w:t>
      </w:r>
      <w:r w:rsidR="003E2A99">
        <w:t xml:space="preserve"> </w:t>
      </w:r>
      <w:r w:rsidR="00666553">
        <w:t>no</w:t>
      </w:r>
      <w:r w:rsidR="00012A1C">
        <w:t xml:space="preserve"> such thing in the </w:t>
      </w:r>
      <w:r w:rsidR="00012A1C">
        <w:rPr>
          <w:i/>
        </w:rPr>
        <w:t>Theodicy</w:t>
      </w:r>
      <w:r w:rsidR="00012A1C">
        <w:t>: he is concerned</w:t>
      </w:r>
      <w:r w:rsidR="0039216A">
        <w:t xml:space="preserve"> with the more abstract question of</w:t>
      </w:r>
      <w:r w:rsidR="00012A1C">
        <w:t xml:space="preserve"> why God would have permitted evil </w:t>
      </w:r>
      <w:r w:rsidR="0039216A">
        <w:t xml:space="preserve">at all </w:t>
      </w:r>
      <w:r w:rsidR="00012A1C">
        <w:t xml:space="preserve">rather than </w:t>
      </w:r>
      <w:r w:rsidR="0039216A">
        <w:t xml:space="preserve">the more concrete one of </w:t>
      </w:r>
      <w:r w:rsidR="00012A1C">
        <w:t xml:space="preserve">why the Christian God would have carried out </w:t>
      </w:r>
      <w:r w:rsidR="0039216A">
        <w:t xml:space="preserve">specific </w:t>
      </w:r>
      <w:r w:rsidR="00012A1C">
        <w:t>actions</w:t>
      </w:r>
      <w:r w:rsidR="0039216A">
        <w:t xml:space="preserve"> which superficially look to be evil in nature</w:t>
      </w:r>
      <w:r w:rsidR="00964DFD">
        <w:rPr>
          <w:rStyle w:val="FootnoteReference"/>
          <w:rFonts w:cs="Times New Roman"/>
        </w:rPr>
        <w:footnoteReference w:id="80"/>
      </w:r>
      <w:r w:rsidR="0072219E">
        <w:t>.</w:t>
      </w:r>
      <w:r w:rsidR="00666553">
        <w:rPr>
          <w:rFonts w:cs="Times New Roman"/>
        </w:rPr>
        <w:t xml:space="preserve"> </w:t>
      </w:r>
      <w:r w:rsidR="0014538C">
        <w:rPr>
          <w:rFonts w:cs="Times New Roman"/>
        </w:rPr>
        <w:t xml:space="preserve">Possibly this is why </w:t>
      </w:r>
      <w:proofErr w:type="spellStart"/>
      <w:r w:rsidR="0014538C">
        <w:rPr>
          <w:rFonts w:cs="Times New Roman"/>
        </w:rPr>
        <w:t>Smalridge</w:t>
      </w:r>
      <w:proofErr w:type="spellEnd"/>
      <w:r w:rsidR="0014538C">
        <w:rPr>
          <w:rFonts w:cs="Times New Roman"/>
        </w:rPr>
        <w:t xml:space="preserve"> – </w:t>
      </w:r>
      <w:r w:rsidR="00BA1258">
        <w:rPr>
          <w:rFonts w:cs="Times New Roman"/>
        </w:rPr>
        <w:t>no doubt approaching</w:t>
      </w:r>
      <w:r w:rsidR="0014538C">
        <w:rPr>
          <w:rFonts w:cs="Times New Roman"/>
        </w:rPr>
        <w:t xml:space="preserve"> </w:t>
      </w:r>
      <w:r w:rsidR="00BA1258">
        <w:rPr>
          <w:rFonts w:cs="Times New Roman"/>
        </w:rPr>
        <w:t xml:space="preserve">the issue from </w:t>
      </w:r>
      <w:r w:rsidR="0014538C">
        <w:rPr>
          <w:rFonts w:cs="Times New Roman"/>
        </w:rPr>
        <w:t>a churchman</w:t>
      </w:r>
      <w:r w:rsidR="00BA1258">
        <w:rPr>
          <w:rFonts w:cs="Times New Roman"/>
        </w:rPr>
        <w:t>’s perspective rather than a metaphysician’s</w:t>
      </w:r>
      <w:r w:rsidR="0014538C">
        <w:rPr>
          <w:rFonts w:cs="Times New Roman"/>
        </w:rPr>
        <w:t xml:space="preserve"> – </w:t>
      </w:r>
      <w:r w:rsidR="00617DCF">
        <w:rPr>
          <w:rFonts w:cs="Times New Roman"/>
        </w:rPr>
        <w:t xml:space="preserve">offers Leibniz only guarded praise, and </w:t>
      </w:r>
      <w:r w:rsidR="0014538C">
        <w:rPr>
          <w:rFonts w:cs="Times New Roman"/>
        </w:rPr>
        <w:t xml:space="preserve">shows a </w:t>
      </w:r>
      <w:r w:rsidR="00617DCF">
        <w:rPr>
          <w:rFonts w:cs="Times New Roman"/>
        </w:rPr>
        <w:t xml:space="preserve">marked </w:t>
      </w:r>
      <w:r w:rsidR="0014538C">
        <w:rPr>
          <w:rFonts w:cs="Times New Roman"/>
        </w:rPr>
        <w:t xml:space="preserve">preference for </w:t>
      </w:r>
      <w:proofErr w:type="spellStart"/>
      <w:r w:rsidR="0014538C">
        <w:rPr>
          <w:rFonts w:cs="Times New Roman"/>
        </w:rPr>
        <w:t>Tillotson</w:t>
      </w:r>
      <w:proofErr w:type="spellEnd"/>
      <w:r w:rsidR="0014538C">
        <w:rPr>
          <w:rFonts w:cs="Times New Roman"/>
        </w:rPr>
        <w:t xml:space="preserve"> over Leibniz in </w:t>
      </w:r>
      <w:r w:rsidR="00617DCF">
        <w:rPr>
          <w:rFonts w:cs="Times New Roman"/>
        </w:rPr>
        <w:t>the matter</w:t>
      </w:r>
      <w:r w:rsidR="0014538C">
        <w:rPr>
          <w:rFonts w:cs="Times New Roman"/>
        </w:rPr>
        <w:t xml:space="preserve"> of God’s goodness</w:t>
      </w:r>
      <w:r w:rsidR="00BA1258">
        <w:rPr>
          <w:rFonts w:cs="Times New Roman"/>
        </w:rPr>
        <w:t xml:space="preserve"> in the face of evil</w:t>
      </w:r>
      <w:r w:rsidR="0014538C">
        <w:rPr>
          <w:rFonts w:cs="Times New Roman"/>
        </w:rPr>
        <w:t>.</w:t>
      </w:r>
    </w:p>
    <w:p w:rsidR="001B2C19" w:rsidRDefault="00BB4C95" w:rsidP="00594E81">
      <w:pPr>
        <w:spacing w:line="480" w:lineRule="auto"/>
      </w:pPr>
      <w:r>
        <w:tab/>
      </w:r>
      <w:r w:rsidR="0096700A">
        <w:t xml:space="preserve">Following his praise for </w:t>
      </w:r>
      <w:proofErr w:type="spellStart"/>
      <w:r w:rsidR="0096700A">
        <w:t>Tillotson</w:t>
      </w:r>
      <w:proofErr w:type="spellEnd"/>
      <w:r w:rsidR="0096700A">
        <w:t xml:space="preserve">, </w:t>
      </w:r>
      <w:proofErr w:type="spellStart"/>
      <w:r w:rsidR="0096700A">
        <w:t>Smalridge</w:t>
      </w:r>
      <w:proofErr w:type="spellEnd"/>
      <w:r w:rsidR="0096700A">
        <w:t xml:space="preserve"> indicates some disapproval of the efforts of Leibniz (and others) to show how God and evil could co-exist, which we might take to be his </w:t>
      </w:r>
      <w:r w:rsidR="006B3959">
        <w:t>sixth and final</w:t>
      </w:r>
      <w:r w:rsidR="0096700A">
        <w:t xml:space="preserve"> complaint about the </w:t>
      </w:r>
      <w:r w:rsidR="0096700A">
        <w:rPr>
          <w:i/>
        </w:rPr>
        <w:t>Theodicy</w:t>
      </w:r>
      <w:r w:rsidR="0096700A">
        <w:t>.</w:t>
      </w:r>
      <w:r w:rsidR="001B2C19">
        <w:t xml:space="preserve"> </w:t>
      </w:r>
      <w:proofErr w:type="spellStart"/>
      <w:r w:rsidR="001B2C19">
        <w:t>Smalridge</w:t>
      </w:r>
      <w:proofErr w:type="spellEnd"/>
      <w:r w:rsidR="001B2C19">
        <w:t xml:space="preserve"> claims that even though Leibniz and others have some measure of success in showing how </w:t>
      </w:r>
      <w:r w:rsidR="00BA1258">
        <w:t xml:space="preserve">the existence of evil may be consistent with </w:t>
      </w:r>
      <w:r w:rsidR="001B2C19">
        <w:t>God</w:t>
      </w:r>
      <w:r w:rsidR="00BA1258">
        <w:t>’s goodness and holiness</w:t>
      </w:r>
      <w:r w:rsidR="001B2C19">
        <w:t>,</w:t>
      </w:r>
    </w:p>
    <w:p w:rsidR="001B2C19" w:rsidRDefault="001B2C19" w:rsidP="00594E81">
      <w:pPr>
        <w:spacing w:line="480" w:lineRule="auto"/>
      </w:pPr>
    </w:p>
    <w:p w:rsidR="001B2C19" w:rsidRPr="00E47472" w:rsidRDefault="00E47472" w:rsidP="00594E81">
      <w:pPr>
        <w:spacing w:line="480" w:lineRule="auto"/>
        <w:rPr>
          <w:sz w:val="20"/>
          <w:szCs w:val="20"/>
        </w:rPr>
      </w:pPr>
      <w:r w:rsidRPr="00E47472">
        <w:rPr>
          <w:sz w:val="20"/>
          <w:szCs w:val="20"/>
        </w:rPr>
        <w:t xml:space="preserve">“[...] </w:t>
      </w:r>
      <w:r w:rsidR="001B2C19" w:rsidRPr="00E47472">
        <w:rPr>
          <w:sz w:val="20"/>
          <w:szCs w:val="20"/>
        </w:rPr>
        <w:t xml:space="preserve">still there may remain some difficulties not to be </w:t>
      </w:r>
      <w:proofErr w:type="spellStart"/>
      <w:r w:rsidR="001B2C19" w:rsidRPr="00E47472">
        <w:rPr>
          <w:sz w:val="20"/>
          <w:szCs w:val="20"/>
        </w:rPr>
        <w:t>solv’d</w:t>
      </w:r>
      <w:proofErr w:type="spellEnd"/>
      <w:r w:rsidR="001B2C19" w:rsidRPr="00E47472">
        <w:rPr>
          <w:sz w:val="20"/>
          <w:szCs w:val="20"/>
        </w:rPr>
        <w:t xml:space="preserve"> whilst we are in this state of imperfection, but </w:t>
      </w:r>
      <w:proofErr w:type="spellStart"/>
      <w:r w:rsidR="001B2C19" w:rsidRPr="00E47472">
        <w:rPr>
          <w:sz w:val="20"/>
          <w:szCs w:val="20"/>
        </w:rPr>
        <w:t>reserv’d</w:t>
      </w:r>
      <w:proofErr w:type="spellEnd"/>
      <w:r w:rsidR="001B2C19" w:rsidRPr="00E47472">
        <w:rPr>
          <w:sz w:val="20"/>
          <w:szCs w:val="20"/>
        </w:rPr>
        <w:t>, till we are translated to a state of greater illumination.</w:t>
      </w:r>
    </w:p>
    <w:p w:rsidR="001B2C19" w:rsidRPr="00E47472" w:rsidRDefault="001B2C19" w:rsidP="00594E81">
      <w:pPr>
        <w:spacing w:line="480" w:lineRule="auto"/>
        <w:rPr>
          <w:sz w:val="20"/>
          <w:szCs w:val="20"/>
        </w:rPr>
      </w:pPr>
      <w:r w:rsidRPr="00E47472">
        <w:rPr>
          <w:sz w:val="20"/>
          <w:szCs w:val="20"/>
        </w:rPr>
        <w:t>In the mean-time it will become all humble, serious, &amp; sober-minded Christians, rather to apply themselves to the diligent &amp; conscientious practise of known duties, than to perplex their minds with an over-curious search into hidden &amp; mysterious truths</w:t>
      </w:r>
      <w:r w:rsidRPr="00E47472">
        <w:rPr>
          <w:rStyle w:val="FootnoteReference"/>
          <w:sz w:val="20"/>
          <w:szCs w:val="20"/>
        </w:rPr>
        <w:footnoteReference w:id="81"/>
      </w:r>
      <w:r w:rsidR="00E47472" w:rsidRPr="00E47472">
        <w:rPr>
          <w:sz w:val="20"/>
          <w:szCs w:val="20"/>
        </w:rPr>
        <w:t>”</w:t>
      </w:r>
      <w:r w:rsidR="0072219E" w:rsidRPr="00E47472">
        <w:rPr>
          <w:sz w:val="20"/>
          <w:szCs w:val="20"/>
        </w:rPr>
        <w:t>.</w:t>
      </w:r>
    </w:p>
    <w:p w:rsidR="001B2C19" w:rsidRDefault="001B2C19" w:rsidP="00594E81">
      <w:pPr>
        <w:spacing w:line="480" w:lineRule="auto"/>
      </w:pPr>
    </w:p>
    <w:p w:rsidR="001B2C19" w:rsidRDefault="001B2C19" w:rsidP="00594E81">
      <w:pPr>
        <w:spacing w:line="480" w:lineRule="auto"/>
        <w:ind w:firstLine="720"/>
      </w:pPr>
      <w:r>
        <w:lastRenderedPageBreak/>
        <w:t xml:space="preserve">In other words, one’s energies should be directed into one’s Christian duties rather than the sort of metaphysical speculation </w:t>
      </w:r>
      <w:r w:rsidR="00BA1258">
        <w:t xml:space="preserve">found throughout the </w:t>
      </w:r>
      <w:r w:rsidR="00BA1258" w:rsidRPr="00BA1258">
        <w:rPr>
          <w:i/>
        </w:rPr>
        <w:t>Theodicy</w:t>
      </w:r>
      <w:r w:rsidR="00BA1258">
        <w:t xml:space="preserve"> (and to a lesser extent, in </w:t>
      </w:r>
      <w:proofErr w:type="spellStart"/>
      <w:r w:rsidR="00BA1258">
        <w:t>Tillotson’s</w:t>
      </w:r>
      <w:proofErr w:type="spellEnd"/>
      <w:r w:rsidR="00BA1258">
        <w:t xml:space="preserve"> sermon on God’s goodness)</w:t>
      </w:r>
      <w:r>
        <w:t>.</w:t>
      </w:r>
      <w:r w:rsidR="0061164F">
        <w:t xml:space="preserve"> Of course, Leibniz would not have seen his metaphysical speculations as separate from his Christian duties, one of which is to seek out and spread the truth</w:t>
      </w:r>
      <w:r w:rsidR="00BB4C95">
        <w:t>, especially edifying truths about God’s conduct</w:t>
      </w:r>
      <w:r w:rsidR="0061164F">
        <w:t>.</w:t>
      </w:r>
      <w:r w:rsidR="00BB0EC0">
        <w:t xml:space="preserve"> </w:t>
      </w:r>
      <w:proofErr w:type="spellStart"/>
      <w:r w:rsidR="00BB0EC0">
        <w:t>Smalridge</w:t>
      </w:r>
      <w:proofErr w:type="spellEnd"/>
      <w:r w:rsidR="00BB0EC0">
        <w:t xml:space="preserve">, however, had a very marked preference for sticking to the word of Scripture, </w:t>
      </w:r>
      <w:r w:rsidR="00F1721C">
        <w:t>and</w:t>
      </w:r>
      <w:r w:rsidR="00BB0EC0">
        <w:t xml:space="preserve"> for what could be easily (and hence safely) inferred from it</w:t>
      </w:r>
      <w:r w:rsidR="00BB0EC0">
        <w:rPr>
          <w:rStyle w:val="FootnoteReference"/>
        </w:rPr>
        <w:footnoteReference w:id="82"/>
      </w:r>
      <w:r w:rsidR="0072219E">
        <w:t>.</w:t>
      </w:r>
      <w:r w:rsidR="00BB0EC0">
        <w:t xml:space="preserve"> </w:t>
      </w:r>
      <w:r w:rsidR="00F1721C">
        <w:t>He did not general</w:t>
      </w:r>
      <w:r w:rsidR="00BB4C95">
        <w:t>ly</w:t>
      </w:r>
      <w:r w:rsidR="00F1721C">
        <w:t xml:space="preserve"> attempt</w:t>
      </w:r>
      <w:r w:rsidR="00BB0EC0">
        <w:t xml:space="preserve"> to draw inferences from the nature of God, as Leibniz frequently did</w:t>
      </w:r>
      <w:r w:rsidR="00BB4C95">
        <w:t xml:space="preserve">, and was clearly wary of </w:t>
      </w:r>
      <w:r w:rsidR="006D01FB">
        <w:t>such an approach</w:t>
      </w:r>
      <w:r w:rsidR="009E3FB3">
        <w:rPr>
          <w:rStyle w:val="FootnoteReference"/>
        </w:rPr>
        <w:footnoteReference w:id="83"/>
      </w:r>
      <w:r w:rsidR="0072219E">
        <w:t>.</w:t>
      </w:r>
    </w:p>
    <w:p w:rsidR="00ED3A45" w:rsidRPr="007500E5" w:rsidRDefault="00ED3A45" w:rsidP="00594E81">
      <w:pPr>
        <w:spacing w:line="480" w:lineRule="auto"/>
      </w:pPr>
      <w:r>
        <w:tab/>
        <w:t xml:space="preserve">All in all, </w:t>
      </w:r>
      <w:proofErr w:type="spellStart"/>
      <w:r>
        <w:t>Smalridge’s</w:t>
      </w:r>
      <w:proofErr w:type="spellEnd"/>
      <w:r>
        <w:t xml:space="preserve"> </w:t>
      </w:r>
      <w:r w:rsidR="006D01FB">
        <w:t>assessment of</w:t>
      </w:r>
      <w:r>
        <w:t xml:space="preserve"> the </w:t>
      </w:r>
      <w:r>
        <w:rPr>
          <w:i/>
        </w:rPr>
        <w:t>Theodicy</w:t>
      </w:r>
      <w:r>
        <w:t xml:space="preserve"> is rather disappointing</w:t>
      </w:r>
      <w:r w:rsidR="00C40561">
        <w:t xml:space="preserve"> given that</w:t>
      </w:r>
      <w:r>
        <w:t xml:space="preserve"> there is minimal engagement with the philosoph</w:t>
      </w:r>
      <w:r w:rsidR="006D01FB">
        <w:t>ical content of the book</w:t>
      </w:r>
      <w:r w:rsidR="00C40561">
        <w:t xml:space="preserve">. </w:t>
      </w:r>
      <w:r w:rsidR="00E359DE">
        <w:t xml:space="preserve">This in itself is unsurprising, as </w:t>
      </w:r>
      <w:proofErr w:type="spellStart"/>
      <w:r w:rsidR="00E359DE">
        <w:t>Smalridge’s</w:t>
      </w:r>
      <w:proofErr w:type="spellEnd"/>
      <w:r w:rsidR="00E359DE">
        <w:t xml:space="preserve"> works </w:t>
      </w:r>
      <w:r w:rsidR="00F25FF0">
        <w:t xml:space="preserve">(which are mostly in the form of sermons) </w:t>
      </w:r>
      <w:r w:rsidR="00E359DE">
        <w:t>suggest he had little to no interest in philosophical issues and questions: his focus was instead on theology and the governance of the church.</w:t>
      </w:r>
      <w:r w:rsidR="007500E5">
        <w:t xml:space="preserve"> He therefore would probably have felt out of his depth having to </w:t>
      </w:r>
      <w:r w:rsidR="00052096">
        <w:t>give</w:t>
      </w:r>
      <w:r w:rsidR="007500E5">
        <w:t xml:space="preserve"> his opinion on a book like the </w:t>
      </w:r>
      <w:r w:rsidR="007500E5">
        <w:rPr>
          <w:i/>
        </w:rPr>
        <w:t>Theodicy</w:t>
      </w:r>
      <w:r w:rsidR="007500E5">
        <w:t>.</w:t>
      </w:r>
    </w:p>
    <w:p w:rsidR="00EB7390" w:rsidRDefault="003B0A52" w:rsidP="00594E81">
      <w:pPr>
        <w:spacing w:line="480" w:lineRule="auto"/>
        <w:ind w:firstLine="720"/>
      </w:pPr>
      <w:r>
        <w:t>Caroline</w:t>
      </w:r>
      <w:r w:rsidR="00EB7390">
        <w:t xml:space="preserve"> subsequently </w:t>
      </w:r>
      <w:r w:rsidR="009663AA">
        <w:t>forwarded</w:t>
      </w:r>
      <w:r w:rsidR="00EB7390">
        <w:t xml:space="preserve"> </w:t>
      </w:r>
      <w:proofErr w:type="spellStart"/>
      <w:r w:rsidR="00EB7390">
        <w:t>Smalridge’s</w:t>
      </w:r>
      <w:proofErr w:type="spellEnd"/>
      <w:r w:rsidR="00EB7390">
        <w:t xml:space="preserve"> </w:t>
      </w:r>
      <w:r w:rsidR="00841A15">
        <w:t>letter</w:t>
      </w:r>
      <w:r w:rsidR="00EB7390">
        <w:t xml:space="preserve"> </w:t>
      </w:r>
      <w:r w:rsidR="009663AA">
        <w:t xml:space="preserve">on </w:t>
      </w:r>
      <w:r w:rsidR="00EB7390">
        <w:t xml:space="preserve">to Leibniz, </w:t>
      </w:r>
      <w:r w:rsidR="007500E5">
        <w:t>who very quickly</w:t>
      </w:r>
      <w:r w:rsidR="00EB7390">
        <w:t xml:space="preserve"> prepared a rebuttal</w:t>
      </w:r>
      <w:r w:rsidR="00841A15">
        <w:t>,</w:t>
      </w:r>
      <w:r w:rsidR="00EB7390">
        <w:t xml:space="preserve"> </w:t>
      </w:r>
      <w:r w:rsidR="004779D8">
        <w:t>which</w:t>
      </w:r>
      <w:r w:rsidR="00EB7390">
        <w:t xml:space="preserve"> he sent to Caroline in a later dated </w:t>
      </w:r>
      <w:r w:rsidR="00052096">
        <w:t>29</w:t>
      </w:r>
      <w:r w:rsidR="00EB7390">
        <w:t xml:space="preserve"> March 171</w:t>
      </w:r>
      <w:r w:rsidR="00787047">
        <w:t>5</w:t>
      </w:r>
      <w:r w:rsidR="00EB7390">
        <w:t xml:space="preserve">. </w:t>
      </w:r>
      <w:r w:rsidR="00B1799B">
        <w:t xml:space="preserve">In his response, Leibniz addresses </w:t>
      </w:r>
      <w:proofErr w:type="spellStart"/>
      <w:r w:rsidR="00B1799B">
        <w:t>Smalridge’s</w:t>
      </w:r>
      <w:proofErr w:type="spellEnd"/>
      <w:r w:rsidR="00B1799B">
        <w:t xml:space="preserve"> concerns one by one. It is clear that he was stung by the charge of obscurity, and </w:t>
      </w:r>
      <w:r w:rsidR="00494D7D">
        <w:t xml:space="preserve">he </w:t>
      </w:r>
      <w:r w:rsidR="00B1799B">
        <w:t xml:space="preserve">does his utmost to show </w:t>
      </w:r>
      <w:r w:rsidR="00BE25D5">
        <w:t>that it has no basis</w:t>
      </w:r>
      <w:r w:rsidR="00B1799B">
        <w:t xml:space="preserve">. </w:t>
      </w:r>
      <w:r w:rsidR="00022FA5">
        <w:t>This is a summary of</w:t>
      </w:r>
      <w:r w:rsidR="00AF5F44">
        <w:t xml:space="preserve"> how he deals with the five complaints that together ground </w:t>
      </w:r>
      <w:proofErr w:type="spellStart"/>
      <w:r w:rsidR="00AF5F44">
        <w:t>Smalridge’s</w:t>
      </w:r>
      <w:proofErr w:type="spellEnd"/>
      <w:r w:rsidR="00AF5F44">
        <w:t xml:space="preserve"> charge of obscurity:</w:t>
      </w:r>
    </w:p>
    <w:p w:rsidR="00CF247F" w:rsidRDefault="00CF247F" w:rsidP="00594E81">
      <w:pPr>
        <w:spacing w:line="480" w:lineRule="auto"/>
      </w:pPr>
    </w:p>
    <w:tbl>
      <w:tblPr>
        <w:tblStyle w:val="LightList-Accent2"/>
        <w:tblW w:w="0" w:type="auto"/>
        <w:tblLook w:val="04A0"/>
      </w:tblPr>
      <w:tblGrid>
        <w:gridCol w:w="4361"/>
        <w:gridCol w:w="4536"/>
      </w:tblGrid>
      <w:tr w:rsidR="00841A15" w:rsidTr="00841A15">
        <w:trPr>
          <w:cnfStyle w:val="100000000000"/>
        </w:trPr>
        <w:tc>
          <w:tcPr>
            <w:cnfStyle w:val="001000000000"/>
            <w:tcW w:w="4361" w:type="dxa"/>
          </w:tcPr>
          <w:p w:rsidR="00841A15" w:rsidRDefault="00841A15" w:rsidP="00594E81">
            <w:pPr>
              <w:spacing w:line="480" w:lineRule="auto"/>
            </w:pPr>
            <w:proofErr w:type="spellStart"/>
            <w:r>
              <w:lastRenderedPageBreak/>
              <w:t>Smalridge’s</w:t>
            </w:r>
            <w:proofErr w:type="spellEnd"/>
            <w:r>
              <w:t xml:space="preserve"> complaint</w:t>
            </w:r>
          </w:p>
        </w:tc>
        <w:tc>
          <w:tcPr>
            <w:tcW w:w="4536" w:type="dxa"/>
          </w:tcPr>
          <w:p w:rsidR="00841A15" w:rsidRPr="00841A15" w:rsidRDefault="00841A15" w:rsidP="00594E81">
            <w:pPr>
              <w:spacing w:line="480" w:lineRule="auto"/>
              <w:cnfStyle w:val="100000000000"/>
              <w:rPr>
                <w:b w:val="0"/>
              </w:rPr>
            </w:pPr>
            <w:r w:rsidRPr="00841A15">
              <w:rPr>
                <w:b w:val="0"/>
              </w:rPr>
              <w:t xml:space="preserve">Leibniz’s response </w:t>
            </w:r>
            <w:r w:rsidR="00B01A34">
              <w:rPr>
                <w:b w:val="0"/>
              </w:rPr>
              <w:t>29</w:t>
            </w:r>
            <w:r w:rsidRPr="00841A15">
              <w:rPr>
                <w:b w:val="0"/>
              </w:rPr>
              <w:t>.iii.1715</w:t>
            </w:r>
          </w:p>
        </w:tc>
      </w:tr>
      <w:tr w:rsidR="00841A15" w:rsidTr="00841A15">
        <w:trPr>
          <w:cnfStyle w:val="000000100000"/>
        </w:trPr>
        <w:tc>
          <w:tcPr>
            <w:cnfStyle w:val="001000000000"/>
            <w:tcW w:w="4361" w:type="dxa"/>
          </w:tcPr>
          <w:p w:rsidR="00841A15" w:rsidRPr="00606248" w:rsidRDefault="00841A15" w:rsidP="00594E81">
            <w:pPr>
              <w:spacing w:line="480" w:lineRule="auto"/>
              <w:rPr>
                <w:b w:val="0"/>
              </w:rPr>
            </w:pPr>
            <w:r w:rsidRPr="00606248">
              <w:rPr>
                <w:b w:val="0"/>
              </w:rPr>
              <w:t>Leibniz uses too many Scholastic terms which are devoid of sense</w:t>
            </w:r>
          </w:p>
        </w:tc>
        <w:tc>
          <w:tcPr>
            <w:tcW w:w="4536" w:type="dxa"/>
          </w:tcPr>
          <w:p w:rsidR="00841A15" w:rsidRDefault="00841A15" w:rsidP="00594E81">
            <w:pPr>
              <w:spacing w:line="480" w:lineRule="auto"/>
              <w:cnfStyle w:val="000000100000"/>
            </w:pPr>
            <w:r w:rsidRPr="00CF247F">
              <w:t xml:space="preserve">The </w:t>
            </w:r>
            <w:r>
              <w:t>terms</w:t>
            </w:r>
            <w:r w:rsidRPr="00CF247F">
              <w:t xml:space="preserve"> are not devoid of sense </w:t>
            </w:r>
            <w:r>
              <w:t xml:space="preserve">at all, </w:t>
            </w:r>
            <w:r w:rsidRPr="00CF247F">
              <w:t>since they are given intelligible definitions.</w:t>
            </w:r>
          </w:p>
        </w:tc>
      </w:tr>
      <w:tr w:rsidR="00841A15" w:rsidTr="00841A15">
        <w:tc>
          <w:tcPr>
            <w:cnfStyle w:val="001000000000"/>
            <w:tcW w:w="4361" w:type="dxa"/>
          </w:tcPr>
          <w:p w:rsidR="00841A15" w:rsidRPr="00606248" w:rsidRDefault="00841A15" w:rsidP="00594E81">
            <w:pPr>
              <w:spacing w:line="480" w:lineRule="auto"/>
              <w:rPr>
                <w:b w:val="0"/>
              </w:rPr>
            </w:pPr>
            <w:r w:rsidRPr="00606248">
              <w:rPr>
                <w:b w:val="0"/>
              </w:rPr>
              <w:t>Leibniz quotes Latin and Greek but does not translate them.</w:t>
            </w:r>
          </w:p>
        </w:tc>
        <w:tc>
          <w:tcPr>
            <w:tcW w:w="4536" w:type="dxa"/>
          </w:tcPr>
          <w:p w:rsidR="00841A15" w:rsidRDefault="00841A15" w:rsidP="00594E81">
            <w:pPr>
              <w:spacing w:line="480" w:lineRule="auto"/>
              <w:cnfStyle w:val="000000000000"/>
            </w:pPr>
            <w:r>
              <w:t>Admits to being “guilty” of this.</w:t>
            </w:r>
          </w:p>
        </w:tc>
      </w:tr>
      <w:tr w:rsidR="00841A15" w:rsidTr="00841A15">
        <w:trPr>
          <w:cnfStyle w:val="000000100000"/>
        </w:trPr>
        <w:tc>
          <w:tcPr>
            <w:cnfStyle w:val="001000000000"/>
            <w:tcW w:w="4361" w:type="dxa"/>
          </w:tcPr>
          <w:p w:rsidR="00841A15" w:rsidRPr="00606248" w:rsidRDefault="00841A15" w:rsidP="00594E81">
            <w:pPr>
              <w:spacing w:line="480" w:lineRule="auto"/>
              <w:rPr>
                <w:b w:val="0"/>
              </w:rPr>
            </w:pPr>
            <w:r w:rsidRPr="00606248">
              <w:rPr>
                <w:b w:val="0"/>
              </w:rPr>
              <w:t>Leibniz uses too many examples from mathematics and physics.</w:t>
            </w:r>
          </w:p>
        </w:tc>
        <w:tc>
          <w:tcPr>
            <w:tcW w:w="4536" w:type="dxa"/>
          </w:tcPr>
          <w:p w:rsidR="00841A15" w:rsidRDefault="00841A15" w:rsidP="00594E81">
            <w:pPr>
              <w:spacing w:line="480" w:lineRule="auto"/>
              <w:cnfStyle w:val="000000100000"/>
            </w:pPr>
            <w:r>
              <w:t>The examples are useful to those who understand these disciplines; those who do not may pass over the examples without detriment. (Also, such people may benefit from meditating on the examples.)</w:t>
            </w:r>
          </w:p>
        </w:tc>
      </w:tr>
      <w:tr w:rsidR="00841A15" w:rsidTr="00841A15">
        <w:tc>
          <w:tcPr>
            <w:cnfStyle w:val="001000000000"/>
            <w:tcW w:w="4361" w:type="dxa"/>
          </w:tcPr>
          <w:p w:rsidR="00841A15" w:rsidRPr="00606248" w:rsidRDefault="00841A15" w:rsidP="00594E81">
            <w:pPr>
              <w:spacing w:line="480" w:lineRule="auto"/>
              <w:rPr>
                <w:b w:val="0"/>
              </w:rPr>
            </w:pPr>
            <w:r w:rsidRPr="00606248">
              <w:rPr>
                <w:b w:val="0"/>
              </w:rPr>
              <w:t>Leibniz often refers to previously-published work which a reader may not have access to.</w:t>
            </w:r>
          </w:p>
        </w:tc>
        <w:tc>
          <w:tcPr>
            <w:tcW w:w="4536" w:type="dxa"/>
          </w:tcPr>
          <w:p w:rsidR="00841A15" w:rsidRDefault="00841A15" w:rsidP="00594E81">
            <w:pPr>
              <w:spacing w:line="480" w:lineRule="auto"/>
              <w:cnfStyle w:val="000000000000"/>
            </w:pPr>
            <w:r>
              <w:t>N/A</w:t>
            </w:r>
            <w:r w:rsidR="00022FA5">
              <w:t xml:space="preserve"> [no response made]</w:t>
            </w:r>
          </w:p>
        </w:tc>
      </w:tr>
      <w:tr w:rsidR="00841A15" w:rsidTr="00841A15">
        <w:trPr>
          <w:cnfStyle w:val="000000100000"/>
        </w:trPr>
        <w:tc>
          <w:tcPr>
            <w:cnfStyle w:val="001000000000"/>
            <w:tcW w:w="4361" w:type="dxa"/>
          </w:tcPr>
          <w:p w:rsidR="00841A15" w:rsidRPr="00606248" w:rsidRDefault="00841A15" w:rsidP="00594E81">
            <w:pPr>
              <w:spacing w:line="480" w:lineRule="auto"/>
              <w:rPr>
                <w:b w:val="0"/>
              </w:rPr>
            </w:pPr>
            <w:r w:rsidRPr="00606248">
              <w:rPr>
                <w:b w:val="0"/>
              </w:rPr>
              <w:t>Leibniz often digresses.</w:t>
            </w:r>
          </w:p>
        </w:tc>
        <w:tc>
          <w:tcPr>
            <w:tcW w:w="4536" w:type="dxa"/>
          </w:tcPr>
          <w:p w:rsidR="00841A15" w:rsidRDefault="00841A15" w:rsidP="00594E81">
            <w:pPr>
              <w:spacing w:line="480" w:lineRule="auto"/>
              <w:cnfStyle w:val="000000100000"/>
            </w:pPr>
            <w:r>
              <w:t>The digressions are not so long that the reader loses the thread. Besides, others find the digressions a pleasing feature of the book, in that they enliven the discussion.</w:t>
            </w:r>
          </w:p>
        </w:tc>
      </w:tr>
    </w:tbl>
    <w:p w:rsidR="00CF247F" w:rsidRDefault="00CF247F" w:rsidP="00594E81">
      <w:pPr>
        <w:spacing w:line="480" w:lineRule="auto"/>
      </w:pPr>
    </w:p>
    <w:p w:rsidR="004D17F2" w:rsidRDefault="00AF5F44" w:rsidP="00594E81">
      <w:pPr>
        <w:spacing w:line="480" w:lineRule="auto"/>
        <w:ind w:firstLine="720"/>
      </w:pPr>
      <w:r>
        <w:t xml:space="preserve">In addition, Leibniz </w:t>
      </w:r>
      <w:r w:rsidR="00284371">
        <w:t>reminds</w:t>
      </w:r>
      <w:r>
        <w:t xml:space="preserve"> Caroline </w:t>
      </w:r>
      <w:r w:rsidR="00284371">
        <w:t xml:space="preserve">that she </w:t>
      </w:r>
      <w:r>
        <w:t>herself does not find the</w:t>
      </w:r>
      <w:r w:rsidR="00606248">
        <w:t xml:space="preserve"> obscurity of the</w:t>
      </w:r>
      <w:r>
        <w:t xml:space="preserve"> </w:t>
      </w:r>
      <w:r>
        <w:rPr>
          <w:i/>
        </w:rPr>
        <w:t>Theodicy</w:t>
      </w:r>
      <w:r>
        <w:t xml:space="preserve"> </w:t>
      </w:r>
      <w:r w:rsidR="00606248">
        <w:t>to be too great</w:t>
      </w:r>
      <w:r>
        <w:t xml:space="preserve">, and he also notes that none of those who have reviewed the book in the various European journals and broadsheets have complained </w:t>
      </w:r>
      <w:r w:rsidR="00284371">
        <w:t>of its</w:t>
      </w:r>
      <w:r>
        <w:t xml:space="preserve"> obscurity</w:t>
      </w:r>
      <w:r w:rsidR="001A70BE">
        <w:rPr>
          <w:rStyle w:val="FootnoteReference"/>
        </w:rPr>
        <w:footnoteReference w:id="84"/>
      </w:r>
      <w:r w:rsidR="0072219E">
        <w:t>.</w:t>
      </w:r>
      <w:r>
        <w:t xml:space="preserve"> On </w:t>
      </w:r>
      <w:r>
        <w:lastRenderedPageBreak/>
        <w:t xml:space="preserve">the contrary; Leibniz insists that the </w:t>
      </w:r>
      <w:r>
        <w:rPr>
          <w:i/>
        </w:rPr>
        <w:t xml:space="preserve">Theodicy </w:t>
      </w:r>
      <w:r>
        <w:t xml:space="preserve">has in fact been </w:t>
      </w:r>
      <w:r w:rsidRPr="00284371">
        <w:t>praised</w:t>
      </w:r>
      <w:r>
        <w:t xml:space="preserve"> for bringing clarity to obscure matters.</w:t>
      </w:r>
      <w:r w:rsidR="00606248">
        <w:t xml:space="preserve"> </w:t>
      </w:r>
      <w:r w:rsidR="00022FA5">
        <w:t>In other words,</w:t>
      </w:r>
      <w:r w:rsidR="00841A15">
        <w:t xml:space="preserve"> </w:t>
      </w:r>
      <w:proofErr w:type="spellStart"/>
      <w:r w:rsidR="00841A15">
        <w:t>Smalridge</w:t>
      </w:r>
      <w:proofErr w:type="spellEnd"/>
      <w:r w:rsidR="00841A15">
        <w:t xml:space="preserve"> is in a minority of one. </w:t>
      </w:r>
      <w:r w:rsidR="00606248">
        <w:t xml:space="preserve">Leibniz </w:t>
      </w:r>
      <w:r w:rsidR="00A067EF">
        <w:t xml:space="preserve">also </w:t>
      </w:r>
      <w:r w:rsidR="00606248">
        <w:t xml:space="preserve">tells Caroline that he hopes an expanded version of the </w:t>
      </w:r>
      <w:r w:rsidR="00606248">
        <w:rPr>
          <w:i/>
        </w:rPr>
        <w:t>Theodicy</w:t>
      </w:r>
      <w:r w:rsidR="00606248">
        <w:t xml:space="preserve"> will be produced</w:t>
      </w:r>
      <w:r w:rsidR="004D17F2">
        <w:t>, which would allow him to clarify whatever obscurities are brought to his attention</w:t>
      </w:r>
      <w:r w:rsidR="00841A15">
        <w:t>, as well as give him space to explain the Latin and Greek quotations.</w:t>
      </w:r>
      <w:r w:rsidR="004D17F2">
        <w:t xml:space="preserve"> (Such an edition did not, of course, </w:t>
      </w:r>
      <w:r w:rsidR="00D0742A">
        <w:t xml:space="preserve">ever </w:t>
      </w:r>
      <w:r w:rsidR="004D17F2">
        <w:t>appear.)</w:t>
      </w:r>
    </w:p>
    <w:p w:rsidR="0041249D" w:rsidRDefault="004D17F2" w:rsidP="00594E81">
      <w:pPr>
        <w:spacing w:line="480" w:lineRule="auto"/>
      </w:pPr>
      <w:r>
        <w:tab/>
      </w:r>
      <w:r w:rsidR="00A067EF">
        <w:t>In his</w:t>
      </w:r>
      <w:r>
        <w:t xml:space="preserve"> letter of </w:t>
      </w:r>
      <w:r w:rsidR="00BE25D5">
        <w:t>29</w:t>
      </w:r>
      <w:r>
        <w:t xml:space="preserve"> March, </w:t>
      </w:r>
      <w:r w:rsidR="00A067EF">
        <w:t>Leibniz</w:t>
      </w:r>
      <w:r w:rsidR="0090300B">
        <w:t xml:space="preserve"> responds also to what he takes </w:t>
      </w:r>
      <w:r w:rsidR="00216431">
        <w:t xml:space="preserve">to be </w:t>
      </w:r>
      <w:proofErr w:type="spellStart"/>
      <w:r w:rsidR="0090300B">
        <w:t>Smalridge’s</w:t>
      </w:r>
      <w:proofErr w:type="spellEnd"/>
      <w:r w:rsidR="0090300B">
        <w:t xml:space="preserve"> final complaint</w:t>
      </w:r>
      <w:r w:rsidR="009663AA">
        <w:t xml:space="preserve">, which is that in our present state of imperfection </w:t>
      </w:r>
      <w:r w:rsidR="0090300B">
        <w:t>some objections about Go</w:t>
      </w:r>
      <w:r w:rsidR="009663AA">
        <w:t>d’s goodness will always remain</w:t>
      </w:r>
      <w:r w:rsidR="0090300B">
        <w:t xml:space="preserve">. However Leibniz construes </w:t>
      </w:r>
      <w:proofErr w:type="spellStart"/>
      <w:r w:rsidR="0090300B">
        <w:t>Smalridge’s</w:t>
      </w:r>
      <w:proofErr w:type="spellEnd"/>
      <w:r w:rsidR="0090300B">
        <w:t xml:space="preserve"> complaint as being simply that he [Leibniz] does not resolve all the objections. This leads him to say in response that </w:t>
      </w:r>
      <w:r w:rsidR="006A7D88">
        <w:t xml:space="preserve">while </w:t>
      </w:r>
      <w:r w:rsidR="0090300B">
        <w:t xml:space="preserve">he has tried to be thorough, </w:t>
      </w:r>
      <w:r w:rsidR="006A7D88">
        <w:t>he</w:t>
      </w:r>
      <w:r w:rsidR="0090300B">
        <w:t xml:space="preserve"> would welcome being informed about </w:t>
      </w:r>
      <w:r w:rsidR="00BE25D5">
        <w:t xml:space="preserve">any </w:t>
      </w:r>
      <w:r w:rsidR="0090300B">
        <w:t xml:space="preserve">objections he has </w:t>
      </w:r>
      <w:r w:rsidR="00BE25D5">
        <w:t>overlooked</w:t>
      </w:r>
      <w:r w:rsidR="0090300B">
        <w:t>. But it is</w:t>
      </w:r>
      <w:r w:rsidR="006A7D88">
        <w:t>, he says,</w:t>
      </w:r>
      <w:r w:rsidR="0090300B">
        <w:t xml:space="preserve"> no objection that he cannot go into great detail about </w:t>
      </w:r>
      <w:r w:rsidR="00EE3D09">
        <w:t>the reasons for permitting evil</w:t>
      </w:r>
      <w:r w:rsidR="0090300B">
        <w:t>.</w:t>
      </w:r>
      <w:r w:rsidR="0090300B" w:rsidRPr="00EB7390">
        <w:t xml:space="preserve"> </w:t>
      </w:r>
      <w:r w:rsidR="0041249D">
        <w:t>In Leibniz’s own words:</w:t>
      </w:r>
    </w:p>
    <w:p w:rsidR="0041249D" w:rsidRDefault="0041249D" w:rsidP="00594E81">
      <w:pPr>
        <w:spacing w:line="480" w:lineRule="auto"/>
      </w:pPr>
    </w:p>
    <w:p w:rsidR="0041249D" w:rsidRPr="00E47472" w:rsidRDefault="00E47472" w:rsidP="00594E81">
      <w:pPr>
        <w:spacing w:line="480" w:lineRule="auto"/>
        <w:rPr>
          <w:sz w:val="20"/>
          <w:szCs w:val="20"/>
        </w:rPr>
      </w:pPr>
      <w:r>
        <w:rPr>
          <w:sz w:val="20"/>
          <w:szCs w:val="20"/>
        </w:rPr>
        <w:t>“</w:t>
      </w:r>
      <w:r w:rsidR="00DD079D" w:rsidRPr="00E47472">
        <w:rPr>
          <w:sz w:val="20"/>
          <w:szCs w:val="20"/>
        </w:rPr>
        <w:t>It seems he [</w:t>
      </w:r>
      <w:proofErr w:type="spellStart"/>
      <w:r w:rsidR="00DD079D" w:rsidRPr="00E47472">
        <w:rPr>
          <w:sz w:val="20"/>
          <w:szCs w:val="20"/>
        </w:rPr>
        <w:t>Smalridge</w:t>
      </w:r>
      <w:proofErr w:type="spellEnd"/>
      <w:r w:rsidR="00DD079D" w:rsidRPr="00E47472">
        <w:rPr>
          <w:sz w:val="20"/>
          <w:szCs w:val="20"/>
        </w:rPr>
        <w:t xml:space="preserve">] believes there are objections I have still not resolved. I have endeavoured not to leave any out, and I will always be obliged to those who advise me of new ones. But one should not count as objections the oft-made complaints about the obscurity of the interior of things. For example, when reducing the objection against the permission of evil into form and responding to it, it is enough to show that God can have, and even does have, just reasons to permit it, but it is not necessary to explain these reasons in detail; and to exaggerate the extent of its impenetrability is not to make an objection. Every objection can be reduced into good form, and to give a form to this so-called objection, one would have to start with this false maxim: everything I cannot </w:t>
      </w:r>
      <w:proofErr w:type="gramStart"/>
      <w:r w:rsidR="00DD079D" w:rsidRPr="00E47472">
        <w:rPr>
          <w:sz w:val="20"/>
          <w:szCs w:val="20"/>
        </w:rPr>
        <w:t>know,</w:t>
      </w:r>
      <w:proofErr w:type="gramEnd"/>
      <w:r w:rsidR="00DD079D" w:rsidRPr="00E47472">
        <w:rPr>
          <w:sz w:val="20"/>
          <w:szCs w:val="20"/>
        </w:rPr>
        <w:t xml:space="preserve"> is not</w:t>
      </w:r>
      <w:r w:rsidR="00DD079D" w:rsidRPr="00E47472">
        <w:rPr>
          <w:rStyle w:val="FootnoteReference"/>
          <w:sz w:val="20"/>
          <w:szCs w:val="20"/>
        </w:rPr>
        <w:footnoteReference w:id="85"/>
      </w:r>
      <w:r>
        <w:rPr>
          <w:sz w:val="20"/>
          <w:szCs w:val="20"/>
        </w:rPr>
        <w:t>”</w:t>
      </w:r>
      <w:r w:rsidR="0072219E" w:rsidRPr="00E47472">
        <w:rPr>
          <w:sz w:val="20"/>
          <w:szCs w:val="20"/>
        </w:rPr>
        <w:t>.</w:t>
      </w:r>
    </w:p>
    <w:p w:rsidR="0041249D" w:rsidRDefault="0041249D" w:rsidP="00594E81">
      <w:pPr>
        <w:spacing w:line="480" w:lineRule="auto"/>
      </w:pPr>
    </w:p>
    <w:p w:rsidR="009A5CEE" w:rsidRDefault="00F67D6A" w:rsidP="00594E81">
      <w:pPr>
        <w:spacing w:line="480" w:lineRule="auto"/>
        <w:ind w:firstLine="720"/>
      </w:pPr>
      <w:r>
        <w:t xml:space="preserve">There are parallels here with Leibniz’s attitude towards </w:t>
      </w:r>
      <w:r w:rsidR="00546A6A">
        <w:t xml:space="preserve">the Christian mysteries, </w:t>
      </w:r>
      <w:r>
        <w:t xml:space="preserve">namely the doctrines of the Trinity and the Incarnation, </w:t>
      </w:r>
      <w:r w:rsidR="00546A6A">
        <w:t xml:space="preserve">which </w:t>
      </w:r>
      <w:r>
        <w:t xml:space="preserve">he holds cannot be </w:t>
      </w:r>
      <w:r w:rsidR="009731F8">
        <w:t xml:space="preserve">rationally </w:t>
      </w:r>
      <w:r w:rsidR="009731F8">
        <w:lastRenderedPageBreak/>
        <w:t>demonstrated</w:t>
      </w:r>
      <w:r>
        <w:t xml:space="preserve"> but can be shown to be coherent and defended against objections. Reason thus goes some way towards defending the Mysteries, and that is all that </w:t>
      </w:r>
      <w:r w:rsidR="00BE25D5">
        <w:t>can be asked</w:t>
      </w:r>
      <w:r>
        <w:t xml:space="preserve"> of it</w:t>
      </w:r>
      <w:r w:rsidR="00577404">
        <w:t xml:space="preserve">: it is no objection that </w:t>
      </w:r>
      <w:r w:rsidR="00BE25D5">
        <w:t>reason</w:t>
      </w:r>
      <w:r w:rsidR="00577404">
        <w:t xml:space="preserve"> cannot </w:t>
      </w:r>
      <w:r w:rsidR="00BE25D5">
        <w:t xml:space="preserve">actually </w:t>
      </w:r>
      <w:r w:rsidR="00577404">
        <w:t>demonstrate the</w:t>
      </w:r>
      <w:r w:rsidR="00BE25D5">
        <w:t xml:space="preserve"> Mysteries</w:t>
      </w:r>
      <w:r>
        <w:t xml:space="preserve">. To Caroline, Leibniz </w:t>
      </w:r>
      <w:r w:rsidR="00BE25D5">
        <w:t>suggests</w:t>
      </w:r>
      <w:r>
        <w:t xml:space="preserve"> that much the same applies with evil as well: reason cannot </w:t>
      </w:r>
      <w:r w:rsidR="00577404">
        <w:t>furnish the explanation for</w:t>
      </w:r>
      <w:r>
        <w:t xml:space="preserve"> God’s permission of it in any given case, but it is capable of removing the objections to God’s goodness drawn from the permission of evil, and this should be sufficient for our purposes</w:t>
      </w:r>
      <w:r w:rsidR="00577404">
        <w:rPr>
          <w:rStyle w:val="FootnoteReference"/>
        </w:rPr>
        <w:footnoteReference w:id="86"/>
      </w:r>
      <w:r w:rsidR="0072219E">
        <w:t>.</w:t>
      </w:r>
      <w:r w:rsidR="009A5CEE">
        <w:t xml:space="preserve"> As interesting a response as this is, </w:t>
      </w:r>
      <w:r w:rsidR="006A7D88">
        <w:t>I think</w:t>
      </w:r>
      <w:r w:rsidR="009A5CEE">
        <w:t xml:space="preserve"> it</w:t>
      </w:r>
      <w:r w:rsidR="006A7D88">
        <w:t xml:space="preserve"> misses </w:t>
      </w:r>
      <w:proofErr w:type="spellStart"/>
      <w:r w:rsidR="006A7D88">
        <w:t>Smalridge’s</w:t>
      </w:r>
      <w:proofErr w:type="spellEnd"/>
      <w:r w:rsidR="006A7D88">
        <w:t xml:space="preserve"> point entirely; his complaint is not that the </w:t>
      </w:r>
      <w:r w:rsidR="006A7D88" w:rsidRPr="006A7D88">
        <w:rPr>
          <w:i/>
        </w:rPr>
        <w:t>Theodicy</w:t>
      </w:r>
      <w:r w:rsidR="006A7D88">
        <w:t xml:space="preserve"> fails to provide great detail about God’s reasons for permitting evil, but that </w:t>
      </w:r>
      <w:r w:rsidR="00DD079D">
        <w:t xml:space="preserve">there are objections that simply cannot be resolved while we are in our present state, and given that, the sort of </w:t>
      </w:r>
      <w:r w:rsidR="006A7D88">
        <w:t xml:space="preserve">metaphysical speculation </w:t>
      </w:r>
      <w:r w:rsidR="00DD079D">
        <w:t xml:space="preserve">Leibniz engages in is </w:t>
      </w:r>
      <w:r w:rsidR="00D43BC9">
        <w:t>pointless</w:t>
      </w:r>
      <w:r w:rsidR="006A7D88">
        <w:t>.</w:t>
      </w:r>
      <w:r w:rsidR="00DD079D">
        <w:t xml:space="preserve"> It is unfortunate that Leibniz did not respond to this charge, though </w:t>
      </w:r>
      <w:r w:rsidR="000D2760">
        <w:t xml:space="preserve">if he had </w:t>
      </w:r>
      <w:r w:rsidR="00DD079D">
        <w:t xml:space="preserve">I </w:t>
      </w:r>
      <w:r w:rsidR="009A5CEE">
        <w:t xml:space="preserve">suspect he would simply have denied </w:t>
      </w:r>
      <w:proofErr w:type="spellStart"/>
      <w:r w:rsidR="009A5CEE">
        <w:t>Smalridge’s</w:t>
      </w:r>
      <w:proofErr w:type="spellEnd"/>
      <w:r w:rsidR="009A5CEE">
        <w:t xml:space="preserve"> assumption that there are objections we cannot resolve while we are in our present state.</w:t>
      </w:r>
    </w:p>
    <w:p w:rsidR="002774B4" w:rsidRDefault="002774B4" w:rsidP="00594E81">
      <w:pPr>
        <w:spacing w:line="480" w:lineRule="auto"/>
      </w:pPr>
    </w:p>
    <w:p w:rsidR="00F33818" w:rsidRDefault="00F33818" w:rsidP="00594E81">
      <w:pPr>
        <w:spacing w:line="480" w:lineRule="auto"/>
      </w:pPr>
    </w:p>
    <w:p w:rsidR="002774B4" w:rsidRPr="00F33818" w:rsidRDefault="002774B4" w:rsidP="00594E81">
      <w:pPr>
        <w:spacing w:line="480" w:lineRule="auto"/>
        <w:jc w:val="center"/>
      </w:pPr>
      <w:r w:rsidRPr="00F33818">
        <w:t>Conclusion</w:t>
      </w:r>
    </w:p>
    <w:p w:rsidR="00F33818" w:rsidRDefault="00F33818" w:rsidP="00594E81">
      <w:pPr>
        <w:spacing w:line="480" w:lineRule="auto"/>
      </w:pPr>
    </w:p>
    <w:p w:rsidR="007B6560" w:rsidRDefault="007B6560" w:rsidP="00594E81">
      <w:pPr>
        <w:spacing w:line="480" w:lineRule="auto"/>
        <w:ind w:firstLine="720"/>
      </w:pPr>
      <w:r>
        <w:t xml:space="preserve">By way of bringing our study to a close, </w:t>
      </w:r>
      <w:r w:rsidR="00932E2C">
        <w:t xml:space="preserve">I would </w:t>
      </w:r>
      <w:r w:rsidR="004F750A">
        <w:t xml:space="preserve">briefly </w:t>
      </w:r>
      <w:r w:rsidR="00932E2C">
        <w:t>like to</w:t>
      </w:r>
      <w:r>
        <w:t xml:space="preserve"> speculate on what Leibniz himself would have thought about the reception of the </w:t>
      </w:r>
      <w:r>
        <w:rPr>
          <w:i/>
        </w:rPr>
        <w:t>Theodicy</w:t>
      </w:r>
      <w:r>
        <w:t xml:space="preserve"> in England</w:t>
      </w:r>
      <w:r w:rsidR="00932E2C">
        <w:t xml:space="preserve"> in the years leading up to his death</w:t>
      </w:r>
      <w:r>
        <w:t xml:space="preserve">. I think he would have been generally disappointed about its reception among the sort of key individuals </w:t>
      </w:r>
      <w:r w:rsidR="00932E2C">
        <w:t>whose approval he sought</w:t>
      </w:r>
      <w:r>
        <w:t xml:space="preserve">. While the book was received well by some of these </w:t>
      </w:r>
      <w:r w:rsidR="00932E2C">
        <w:t xml:space="preserve">individuals </w:t>
      </w:r>
      <w:r>
        <w:t>(Sharp</w:t>
      </w:r>
      <w:r w:rsidR="003A366D">
        <w:t>, Wake</w:t>
      </w:r>
      <w:r>
        <w:t xml:space="preserve">), others appear not to have read it </w:t>
      </w:r>
      <w:r w:rsidR="003A366D">
        <w:t xml:space="preserve">at all </w:t>
      </w:r>
      <w:r w:rsidR="00932E2C">
        <w:t>(</w:t>
      </w:r>
      <w:r>
        <w:t xml:space="preserve">Burnet, Trotter), and some of those who had read it said little to nothing about it (Clarke). As a result, detailed studies of the book were few and far between, and </w:t>
      </w:r>
      <w:r w:rsidR="00932E2C">
        <w:t xml:space="preserve">when one was made it </w:t>
      </w:r>
      <w:r w:rsidR="00932E2C">
        <w:lastRenderedPageBreak/>
        <w:t>was</w:t>
      </w:r>
      <w:r>
        <w:t xml:space="preserve"> philosophically insubstantial (</w:t>
      </w:r>
      <w:proofErr w:type="spellStart"/>
      <w:r>
        <w:t>Smalridge</w:t>
      </w:r>
      <w:proofErr w:type="spellEnd"/>
      <w:r>
        <w:t xml:space="preserve">). </w:t>
      </w:r>
      <w:r w:rsidR="003F7EAA">
        <w:t>But w</w:t>
      </w:r>
      <w:r w:rsidR="00DC2755">
        <w:t xml:space="preserve">hile the </w:t>
      </w:r>
      <w:r w:rsidR="00DC2755" w:rsidRPr="00DC2755">
        <w:rPr>
          <w:i/>
        </w:rPr>
        <w:t>Theodicy</w:t>
      </w:r>
      <w:r w:rsidR="00DC2755">
        <w:t xml:space="preserve">’s reception among key individuals was not what Leibniz would have wanted it to be, </w:t>
      </w:r>
      <w:r w:rsidR="003A366D">
        <w:t xml:space="preserve">we may suppose that </w:t>
      </w:r>
      <w:r w:rsidR="00DC2755">
        <w:t xml:space="preserve">he would have been happier with the response it got from the journals, or rather from the </w:t>
      </w:r>
      <w:r w:rsidR="00DC2755">
        <w:rPr>
          <w:i/>
        </w:rPr>
        <w:t>Memoirs of Literature</w:t>
      </w:r>
      <w:r w:rsidR="00DC2755">
        <w:t xml:space="preserve">, which was at the time the only English journal that would have reported on it. There it was subject to no fewer than four reports across four different issues, and it got several other mentions as well. </w:t>
      </w:r>
      <w:r w:rsidR="002761BC">
        <w:t xml:space="preserve">The </w:t>
      </w:r>
      <w:r w:rsidR="009064B4">
        <w:t xml:space="preserve">reports were clear and accurate, </w:t>
      </w:r>
      <w:r w:rsidR="00BC6B37">
        <w:t xml:space="preserve">and above all positive, </w:t>
      </w:r>
      <w:r w:rsidR="009064B4">
        <w:t>and the</w:t>
      </w:r>
      <w:r w:rsidR="00BC6B37">
        <w:t>ir</w:t>
      </w:r>
      <w:r w:rsidR="009064B4">
        <w:t xml:space="preserve"> tone always </w:t>
      </w:r>
      <w:r w:rsidR="002761BC">
        <w:t>respectful</w:t>
      </w:r>
      <w:r w:rsidR="00BC6B37">
        <w:t>.</w:t>
      </w:r>
      <w:r w:rsidR="002761BC">
        <w:t xml:space="preserve"> </w:t>
      </w:r>
      <w:r>
        <w:t xml:space="preserve">It is just a shame that Leibniz probably </w:t>
      </w:r>
      <w:r w:rsidR="00EF2640">
        <w:t xml:space="preserve">only knew of them second-hand, and </w:t>
      </w:r>
      <w:r>
        <w:t xml:space="preserve">never </w:t>
      </w:r>
      <w:r w:rsidR="00EF2640">
        <w:t>got to read them himself</w:t>
      </w:r>
      <w:r>
        <w:t>.</w:t>
      </w:r>
    </w:p>
    <w:p w:rsidR="004F6D16" w:rsidRDefault="004F6D16" w:rsidP="00594E81">
      <w:pPr>
        <w:spacing w:line="480" w:lineRule="auto"/>
      </w:pPr>
    </w:p>
    <w:p w:rsidR="004F6D16" w:rsidRDefault="004F6D16" w:rsidP="00594E81">
      <w:pPr>
        <w:spacing w:line="480" w:lineRule="auto"/>
      </w:pPr>
    </w:p>
    <w:p w:rsidR="004F6D16" w:rsidRDefault="004F6D16" w:rsidP="00594E81">
      <w:pPr>
        <w:spacing w:line="480" w:lineRule="auto"/>
      </w:pPr>
    </w:p>
    <w:p w:rsidR="004F6D16" w:rsidRPr="00F943AE" w:rsidRDefault="004F6D16" w:rsidP="00594E81">
      <w:pPr>
        <w:spacing w:line="480" w:lineRule="auto"/>
        <w:jc w:val="center"/>
        <w:rPr>
          <w:szCs w:val="24"/>
        </w:rPr>
      </w:pPr>
      <w:r w:rsidRPr="00F943AE">
        <w:rPr>
          <w:szCs w:val="24"/>
        </w:rPr>
        <w:t xml:space="preserve">Appendix: George </w:t>
      </w:r>
      <w:proofErr w:type="spellStart"/>
      <w:r w:rsidRPr="00F943AE">
        <w:rPr>
          <w:szCs w:val="24"/>
        </w:rPr>
        <w:t>Smalridge</w:t>
      </w:r>
      <w:proofErr w:type="spellEnd"/>
      <w:r w:rsidRPr="00F943AE">
        <w:rPr>
          <w:szCs w:val="24"/>
        </w:rPr>
        <w:t>, Bishop of Bristol to Caroline (4 March 1715)</w:t>
      </w:r>
    </w:p>
    <w:p w:rsidR="004F6D16" w:rsidRDefault="004F6D16" w:rsidP="00594E81">
      <w:pPr>
        <w:spacing w:line="480" w:lineRule="auto"/>
      </w:pPr>
    </w:p>
    <w:p w:rsidR="004F6D16" w:rsidRDefault="004F6D16" w:rsidP="00594E81">
      <w:pPr>
        <w:spacing w:line="480" w:lineRule="auto"/>
      </w:pPr>
      <w:r>
        <w:t xml:space="preserve">Manuscript: </w:t>
      </w:r>
      <w:r w:rsidRPr="00EA4B7F">
        <w:t>LH 4, 4, 1 Bl.</w:t>
      </w:r>
      <w:r>
        <w:t xml:space="preserve"> 1r</w:t>
      </w:r>
    </w:p>
    <w:p w:rsidR="004F6D16" w:rsidRDefault="004F6D16" w:rsidP="00594E81">
      <w:pPr>
        <w:spacing w:line="480" w:lineRule="auto"/>
      </w:pPr>
    </w:p>
    <w:p w:rsidR="004F6D16" w:rsidRDefault="004F6D16" w:rsidP="00594E81">
      <w:pPr>
        <w:spacing w:line="480" w:lineRule="auto"/>
      </w:pPr>
    </w:p>
    <w:p w:rsidR="004F6D16" w:rsidRDefault="004F6D16" w:rsidP="00594E81">
      <w:pPr>
        <w:spacing w:line="480" w:lineRule="auto"/>
        <w:ind w:firstLine="720"/>
      </w:pPr>
      <w:r>
        <w:t>Madam,</w:t>
      </w:r>
    </w:p>
    <w:p w:rsidR="004F6D16" w:rsidRDefault="004F6D16" w:rsidP="00594E81">
      <w:pPr>
        <w:spacing w:line="480" w:lineRule="auto"/>
      </w:pPr>
    </w:p>
    <w:p w:rsidR="004F6D16" w:rsidRDefault="004F6D16" w:rsidP="00594E81">
      <w:pPr>
        <w:spacing w:line="480" w:lineRule="auto"/>
        <w:ind w:firstLine="720"/>
      </w:pPr>
      <w:r w:rsidRPr="00C202F7">
        <w:t xml:space="preserve">The </w:t>
      </w:r>
      <w:r>
        <w:t>b</w:t>
      </w:r>
      <w:r w:rsidRPr="00C202F7">
        <w:t>ook, which</w:t>
      </w:r>
      <w:r>
        <w:t xml:space="preserve"> Your Royall Highness was </w:t>
      </w:r>
      <w:proofErr w:type="spellStart"/>
      <w:r>
        <w:t>pleas’</w:t>
      </w:r>
      <w:r w:rsidRPr="00C202F7">
        <w:t>d</w:t>
      </w:r>
      <w:proofErr w:type="spellEnd"/>
      <w:r w:rsidRPr="00C202F7">
        <w:t xml:space="preserve"> to put into my </w:t>
      </w:r>
      <w:r>
        <w:t>h</w:t>
      </w:r>
      <w:r w:rsidRPr="00C202F7">
        <w:t xml:space="preserve">ands, when I was in </w:t>
      </w:r>
      <w:r>
        <w:t>t</w:t>
      </w:r>
      <w:r w:rsidRPr="00C202F7">
        <w:t xml:space="preserve">own, I did, soon after my return to this place, peruse &amp; consider with the best </w:t>
      </w:r>
      <w:r>
        <w:t>a</w:t>
      </w:r>
      <w:r w:rsidRPr="00C202F7">
        <w:t xml:space="preserve">ttention &amp; </w:t>
      </w:r>
      <w:r>
        <w:t>the best</w:t>
      </w:r>
      <w:r w:rsidRPr="00C202F7">
        <w:t xml:space="preserve"> </w:t>
      </w:r>
      <w:r>
        <w:t>a</w:t>
      </w:r>
      <w:r w:rsidRPr="00C202F7">
        <w:t xml:space="preserve">pplication I could; and when I had gone through it, I did intend in </w:t>
      </w:r>
      <w:r>
        <w:t>o</w:t>
      </w:r>
      <w:r w:rsidRPr="00C202F7">
        <w:t xml:space="preserve">bedience to Your Highnesses Commands to do my self the </w:t>
      </w:r>
      <w:r>
        <w:t>h</w:t>
      </w:r>
      <w:r w:rsidRPr="00C202F7">
        <w:t>onour of giving You</w:t>
      </w:r>
      <w:r>
        <w:t xml:space="preserve"> my thoughts concerning It. But I was taken with first a great heaviness, and afterwards an acute pain in my head, which hath for some weeks </w:t>
      </w:r>
      <w:proofErr w:type="spellStart"/>
      <w:r>
        <w:t>indespos’d</w:t>
      </w:r>
      <w:proofErr w:type="spellEnd"/>
      <w:r>
        <w:t xml:space="preserve"> me for writing, &amp; which is not yet quite </w:t>
      </w:r>
      <w:proofErr w:type="spellStart"/>
      <w:r>
        <w:t>remov’d</w:t>
      </w:r>
      <w:proofErr w:type="spellEnd"/>
      <w:r>
        <w:t xml:space="preserve">, </w:t>
      </w:r>
      <w:proofErr w:type="spellStart"/>
      <w:r>
        <w:t>tho</w:t>
      </w:r>
      <w:proofErr w:type="spellEnd"/>
      <w:r>
        <w:t xml:space="preserve">’ I thank God it is in great measure abated. Were my head never so clear, I should not hope to </w:t>
      </w:r>
      <w:r>
        <w:lastRenderedPageBreak/>
        <w:t xml:space="preserve">write </w:t>
      </w:r>
      <w:proofErr w:type="spellStart"/>
      <w:r>
        <w:t>any thing</w:t>
      </w:r>
      <w:proofErr w:type="spellEnd"/>
      <w:r>
        <w:t xml:space="preserve"> worthy of Your Highnesses view; as it is now more than ordinarily weak and </w:t>
      </w:r>
      <w:proofErr w:type="spellStart"/>
      <w:r>
        <w:t>confus’d</w:t>
      </w:r>
      <w:proofErr w:type="spellEnd"/>
      <w:r>
        <w:t xml:space="preserve">, I should be unpardonable in preferring to trouble Your Highness with my crude thoughts, if it were not still more inexcusable not to write at all, after Your Highness had condescended both to permit me so to do, &amp; to </w:t>
      </w:r>
      <w:proofErr w:type="spellStart"/>
      <w:r>
        <w:t>signifie</w:t>
      </w:r>
      <w:proofErr w:type="spellEnd"/>
      <w:r>
        <w:t>, that you expected to have heard from me.</w:t>
      </w:r>
    </w:p>
    <w:p w:rsidR="004F6D16" w:rsidRDefault="004F6D16" w:rsidP="00594E81">
      <w:pPr>
        <w:spacing w:line="480" w:lineRule="auto"/>
      </w:pPr>
      <w:r>
        <w:tab/>
        <w:t xml:space="preserve">My Lady Nottingham, when she first </w:t>
      </w:r>
      <w:proofErr w:type="spellStart"/>
      <w:r>
        <w:t>mention’d</w:t>
      </w:r>
      <w:proofErr w:type="spellEnd"/>
      <w:r>
        <w:t xml:space="preserve"> this book to me from Your Royal Highness, told me that you </w:t>
      </w:r>
      <w:proofErr w:type="spellStart"/>
      <w:r>
        <w:t>complain’d</w:t>
      </w:r>
      <w:proofErr w:type="spellEnd"/>
      <w:r>
        <w:t xml:space="preserve"> of the obscurity of it. I cannot but think that there is great reason for that complaint, for though it doth not become me to measure the extent of Your Highnesses abilities by the common standard, yet I believe I may, without too much presumption, say, that there is scarce any other person of your sex, who can thoroughly understand all the parts of this book.</w:t>
      </w:r>
    </w:p>
    <w:p w:rsidR="004F6D16" w:rsidRDefault="004F6D16" w:rsidP="00594E81">
      <w:pPr>
        <w:spacing w:line="480" w:lineRule="auto"/>
      </w:pPr>
      <w:r>
        <w:t xml:space="preserve">The subject </w:t>
      </w:r>
      <w:proofErr w:type="spellStart"/>
      <w:r>
        <w:t>it self</w:t>
      </w:r>
      <w:proofErr w:type="spellEnd"/>
      <w:r>
        <w:t xml:space="preserve">, of which the learned author treats is very nice &amp; intricate, such as hath puzzled the wisest and ablest heads in all ages, and such as those who have most maturely </w:t>
      </w:r>
      <w:proofErr w:type="spellStart"/>
      <w:r>
        <w:t>weigh’d</w:t>
      </w:r>
      <w:proofErr w:type="spellEnd"/>
      <w:r>
        <w:t xml:space="preserve"> &amp; </w:t>
      </w:r>
      <w:proofErr w:type="spellStart"/>
      <w:r>
        <w:t>consider’d</w:t>
      </w:r>
      <w:proofErr w:type="spellEnd"/>
      <w:r>
        <w:t xml:space="preserve">, have most readily </w:t>
      </w:r>
      <w:proofErr w:type="spellStart"/>
      <w:r>
        <w:t>acknowledg’d</w:t>
      </w:r>
      <w:proofErr w:type="spellEnd"/>
      <w:r>
        <w:t xml:space="preserve"> to be attended with great, if not insuperable, difficulties. The author in treating of this subject hath </w:t>
      </w:r>
      <w:proofErr w:type="spellStart"/>
      <w:r>
        <w:t>employ’d</w:t>
      </w:r>
      <w:proofErr w:type="spellEnd"/>
      <w:r>
        <w:t xml:space="preserve"> many school-Forms, &amp; metaphysical distinctions (such as </w:t>
      </w:r>
      <w:r w:rsidRPr="00EF1F97">
        <w:rPr>
          <w:i/>
        </w:rPr>
        <w:t>absolute</w:t>
      </w:r>
      <w:r>
        <w:t xml:space="preserve"> and </w:t>
      </w:r>
      <w:proofErr w:type="spellStart"/>
      <w:r w:rsidRPr="00EF1F97">
        <w:rPr>
          <w:i/>
        </w:rPr>
        <w:t>hypotheticall</w:t>
      </w:r>
      <w:proofErr w:type="spellEnd"/>
      <w:r>
        <w:t xml:space="preserve"> necessity; the necessity of </w:t>
      </w:r>
      <w:r w:rsidRPr="00EF1F97">
        <w:rPr>
          <w:i/>
        </w:rPr>
        <w:t>consequence</w:t>
      </w:r>
      <w:r>
        <w:t xml:space="preserve">, &amp; of the </w:t>
      </w:r>
      <w:r w:rsidRPr="00EF1F97">
        <w:rPr>
          <w:i/>
        </w:rPr>
        <w:t>consequent</w:t>
      </w:r>
      <w:r>
        <w:t xml:space="preserve">; the </w:t>
      </w:r>
      <w:r w:rsidRPr="00EF1F97">
        <w:rPr>
          <w:i/>
        </w:rPr>
        <w:t>antecedent</w:t>
      </w:r>
      <w:r>
        <w:t xml:space="preserve"> &amp; </w:t>
      </w:r>
      <w:r w:rsidRPr="00EF1F97">
        <w:rPr>
          <w:i/>
        </w:rPr>
        <w:t>consequent</w:t>
      </w:r>
      <w:r>
        <w:t xml:space="preserve"> will of God; science of </w:t>
      </w:r>
      <w:r w:rsidRPr="00EF1F97">
        <w:rPr>
          <w:i/>
        </w:rPr>
        <w:t>simple intelligence</w:t>
      </w:r>
      <w:r>
        <w:t xml:space="preserve">, of </w:t>
      </w:r>
      <w:r w:rsidRPr="00EF1F97">
        <w:rPr>
          <w:i/>
        </w:rPr>
        <w:t>vision</w:t>
      </w:r>
      <w:r>
        <w:t xml:space="preserve">, &amp; a </w:t>
      </w:r>
      <w:r w:rsidRPr="00EF1F97">
        <w:rPr>
          <w:i/>
        </w:rPr>
        <w:t>middle</w:t>
      </w:r>
      <w:r>
        <w:t xml:space="preserve"> science between these two; the </w:t>
      </w:r>
      <w:proofErr w:type="spellStart"/>
      <w:r w:rsidRPr="00EF1F97">
        <w:rPr>
          <w:i/>
        </w:rPr>
        <w:t>physicall</w:t>
      </w:r>
      <w:proofErr w:type="spellEnd"/>
      <w:r>
        <w:t xml:space="preserve"> &amp; </w:t>
      </w:r>
      <w:proofErr w:type="spellStart"/>
      <w:r w:rsidRPr="00EF1F97">
        <w:rPr>
          <w:i/>
        </w:rPr>
        <w:t>metaphysicall</w:t>
      </w:r>
      <w:proofErr w:type="spellEnd"/>
      <w:r>
        <w:t xml:space="preserve"> communication of the soul with the body; and the like) which terms to persons not </w:t>
      </w:r>
      <w:proofErr w:type="spellStart"/>
      <w:r>
        <w:t>vers’d</w:t>
      </w:r>
      <w:proofErr w:type="spellEnd"/>
      <w:r>
        <w:t xml:space="preserve"> in the peculiar idiom &amp; language of the Schools must of necessity be, </w:t>
      </w:r>
      <w:proofErr w:type="spellStart"/>
      <w:r>
        <w:t>what ever</w:t>
      </w:r>
      <w:proofErr w:type="spellEnd"/>
      <w:r>
        <w:t xml:space="preserve"> by some, who have been sufficiently </w:t>
      </w:r>
      <w:proofErr w:type="spellStart"/>
      <w:r>
        <w:t>skill’d</w:t>
      </w:r>
      <w:proofErr w:type="spellEnd"/>
      <w:r>
        <w:t xml:space="preserve"> in this sort of learning, they have been </w:t>
      </w:r>
      <w:proofErr w:type="spellStart"/>
      <w:r>
        <w:t>declar’d</w:t>
      </w:r>
      <w:proofErr w:type="spellEnd"/>
      <w:r>
        <w:t xml:space="preserve"> to be, mere jargon, empty words without any meaning, and utterly unintelligible.</w:t>
      </w:r>
    </w:p>
    <w:p w:rsidR="004F6D16" w:rsidRDefault="004F6D16" w:rsidP="00594E81">
      <w:pPr>
        <w:spacing w:line="480" w:lineRule="auto"/>
      </w:pPr>
      <w:r>
        <w:t xml:space="preserve">The author hath also inserted several citations, from Greek &amp; Latin authors, which he hath not translated into the language in which he writes, &amp; which therefore a reader, who is not acquainted with Greek &amp; Latin, can make nothing of, &amp; you ought to know, not merely for </w:t>
      </w:r>
      <w:r>
        <w:lastRenderedPageBreak/>
        <w:t>the sake of the citations themselves, but also because without the understanding of these, what goes before or follows after cannot be well understood.</w:t>
      </w:r>
    </w:p>
    <w:p w:rsidR="004F6D16" w:rsidRDefault="004F6D16" w:rsidP="00594E81">
      <w:pPr>
        <w:spacing w:line="480" w:lineRule="auto"/>
      </w:pPr>
      <w:r>
        <w:t xml:space="preserve">The author doth in </w:t>
      </w:r>
      <w:proofErr w:type="spellStart"/>
      <w:r>
        <w:t>severall</w:t>
      </w:r>
      <w:proofErr w:type="spellEnd"/>
      <w:r>
        <w:t xml:space="preserve"> places illustrate what he delivers by similitudes or examples, taken from mathematics or </w:t>
      </w:r>
      <w:proofErr w:type="spellStart"/>
      <w:r>
        <w:t>naturall</w:t>
      </w:r>
      <w:proofErr w:type="spellEnd"/>
      <w:r>
        <w:t xml:space="preserve"> philosophy; which resemblances, </w:t>
      </w:r>
      <w:proofErr w:type="spellStart"/>
      <w:r>
        <w:t>tho</w:t>
      </w:r>
      <w:proofErr w:type="spellEnd"/>
      <w:r>
        <w:t xml:space="preserve">’ to persons </w:t>
      </w:r>
      <w:proofErr w:type="spellStart"/>
      <w:r>
        <w:t>skill’d</w:t>
      </w:r>
      <w:proofErr w:type="spellEnd"/>
      <w:r>
        <w:t xml:space="preserve"> in those sciences they may make the matters treated of clearer, yet to others unacquainted with those parts of learning, or who have not </w:t>
      </w:r>
      <w:proofErr w:type="spellStart"/>
      <w:r>
        <w:t>searcht</w:t>
      </w:r>
      <w:proofErr w:type="spellEnd"/>
      <w:r>
        <w:t xml:space="preserve"> into the depths of them, they must necessarily render what is said rather more, than less, obscure.</w:t>
      </w:r>
    </w:p>
    <w:p w:rsidR="004F6D16" w:rsidRDefault="004F6D16" w:rsidP="00594E81">
      <w:pPr>
        <w:spacing w:line="480" w:lineRule="auto"/>
      </w:pPr>
      <w:r>
        <w:t xml:space="preserve">The author doth in </w:t>
      </w:r>
      <w:proofErr w:type="spellStart"/>
      <w:r>
        <w:t>severall</w:t>
      </w:r>
      <w:proofErr w:type="spellEnd"/>
      <w:r>
        <w:t xml:space="preserve"> places allude to books, which he had before </w:t>
      </w:r>
      <w:proofErr w:type="spellStart"/>
      <w:r>
        <w:t>publish’d</w:t>
      </w:r>
      <w:proofErr w:type="spellEnd"/>
      <w:r>
        <w:t xml:space="preserve">, &amp; which he supposes the reader of this to be well acquainted with; but it may happen that some readers may have never seen, or never </w:t>
      </w:r>
      <w:proofErr w:type="spellStart"/>
      <w:r>
        <w:t>consider’d</w:t>
      </w:r>
      <w:proofErr w:type="spellEnd"/>
      <w:r>
        <w:t xml:space="preserve"> those former discourses of his, &amp; therefore may be the less </w:t>
      </w:r>
      <w:proofErr w:type="spellStart"/>
      <w:r>
        <w:t>prepar’d</w:t>
      </w:r>
      <w:proofErr w:type="spellEnd"/>
      <w:r>
        <w:t>, &amp; the less able to understand what is advanced in this.</w:t>
      </w:r>
    </w:p>
    <w:p w:rsidR="004F6D16" w:rsidRDefault="004F6D16" w:rsidP="00594E81">
      <w:pPr>
        <w:spacing w:line="480" w:lineRule="auto"/>
      </w:pPr>
      <w:r>
        <w:t xml:space="preserve">The author hath in the prosecution of this subject made many, &amp; sometimes very long digressions, which </w:t>
      </w:r>
      <w:proofErr w:type="spellStart"/>
      <w:r>
        <w:t>tho</w:t>
      </w:r>
      <w:proofErr w:type="spellEnd"/>
      <w:r>
        <w:t xml:space="preserve">’ in themselves perhaps very </w:t>
      </w:r>
      <w:proofErr w:type="spellStart"/>
      <w:r>
        <w:t>usefull</w:t>
      </w:r>
      <w:proofErr w:type="spellEnd"/>
      <w:r>
        <w:t xml:space="preserve"> &amp; instructive, yet, as they are brought in here, do interrupt the thread of the discourse, &amp; thereby make it more difficult for the reader to carry on the pursuit of the </w:t>
      </w:r>
      <w:proofErr w:type="spellStart"/>
      <w:r>
        <w:t>principall</w:t>
      </w:r>
      <w:proofErr w:type="spellEnd"/>
      <w:r>
        <w:t xml:space="preserve"> subject in his thoughts.</w:t>
      </w:r>
    </w:p>
    <w:p w:rsidR="004F6D16" w:rsidRDefault="004F6D16" w:rsidP="00594E81">
      <w:pPr>
        <w:spacing w:line="480" w:lineRule="auto"/>
      </w:pPr>
      <w:r>
        <w:t xml:space="preserve">For the reasons which have been </w:t>
      </w:r>
      <w:proofErr w:type="spellStart"/>
      <w:r>
        <w:t>alledg’d</w:t>
      </w:r>
      <w:proofErr w:type="spellEnd"/>
      <w:r>
        <w:t xml:space="preserve">, &amp; for many others, which might be </w:t>
      </w:r>
      <w:proofErr w:type="spellStart"/>
      <w:r>
        <w:t>offer’d</w:t>
      </w:r>
      <w:proofErr w:type="spellEnd"/>
      <w:r>
        <w:t>, this book must to the generality of readers, at least in some parts of it, appear difficult and obscure.</w:t>
      </w:r>
    </w:p>
    <w:p w:rsidR="004F6D16" w:rsidRDefault="004F6D16" w:rsidP="00594E81">
      <w:pPr>
        <w:spacing w:line="480" w:lineRule="auto"/>
      </w:pPr>
      <w:r>
        <w:t xml:space="preserve">But however, it is very </w:t>
      </w:r>
      <w:proofErr w:type="spellStart"/>
      <w:r>
        <w:t>easie</w:t>
      </w:r>
      <w:proofErr w:type="spellEnd"/>
      <w:r>
        <w:t xml:space="preserve"> for any intelligent reader with the least degree of attention to discover in it many excellent thoughts, a great compass of knowledge and learning, a close way of reasoning, a solidity of judgment, much candour towards those from whom the author differs &amp; against whom he writes, &amp; which must render it still more valuable to all serious and devout Christians, a true spirit of piety, an ardent zeal for the glory of God, for the vindicating his attributes, for inspiring the reader with a Love of Him, &amp; for rectifying those </w:t>
      </w:r>
      <w:r>
        <w:lastRenderedPageBreak/>
        <w:t xml:space="preserve">falser notions of reason or about religion, which must have a very bad influence upon </w:t>
      </w:r>
      <w:proofErr w:type="spellStart"/>
      <w:r>
        <w:t>mens</w:t>
      </w:r>
      <w:proofErr w:type="spellEnd"/>
      <w:r>
        <w:t xml:space="preserve"> practise.</w:t>
      </w:r>
    </w:p>
    <w:p w:rsidR="004F6D16" w:rsidRDefault="004F6D16" w:rsidP="00594E81">
      <w:pPr>
        <w:spacing w:line="480" w:lineRule="auto"/>
      </w:pPr>
      <w:r>
        <w:t xml:space="preserve">What this author hath at large </w:t>
      </w:r>
      <w:proofErr w:type="spellStart"/>
      <w:r>
        <w:t>alleg’d</w:t>
      </w:r>
      <w:proofErr w:type="spellEnd"/>
      <w:r>
        <w:t xml:space="preserve"> to prove that the permission of evil, &amp; even of sin, is consistent with the goodness, wisdom, &amp; holiness of God, will, I believe, appear satisfactory to all </w:t>
      </w:r>
      <w:proofErr w:type="spellStart"/>
      <w:r>
        <w:t>unprejudic’d</w:t>
      </w:r>
      <w:proofErr w:type="spellEnd"/>
      <w:r>
        <w:t xml:space="preserve"> and well-disposed minds; but still there will be room for cavils from those who are irreligiously </w:t>
      </w:r>
      <w:proofErr w:type="spellStart"/>
      <w:r>
        <w:t>inclin’d</w:t>
      </w:r>
      <w:proofErr w:type="spellEnd"/>
      <w:r>
        <w:t>; &amp; even sober, and pious persons, who are firmly persuaded of the divine attributes, may not be able fully &amp; clearly to answer all the objections which may be brought against them.</w:t>
      </w:r>
    </w:p>
    <w:p w:rsidR="004F6D16" w:rsidRDefault="004F6D16" w:rsidP="00594E81">
      <w:pPr>
        <w:spacing w:line="480" w:lineRule="auto"/>
      </w:pPr>
      <w:r>
        <w:t xml:space="preserve">Your Royal Highness will find the objection against the goodness of God drawn from the permission of evil </w:t>
      </w:r>
      <w:proofErr w:type="spellStart"/>
      <w:r>
        <w:t>consider’d</w:t>
      </w:r>
      <w:proofErr w:type="spellEnd"/>
      <w:r>
        <w:t xml:space="preserve">, and </w:t>
      </w:r>
      <w:proofErr w:type="spellStart"/>
      <w:r>
        <w:t>answer’d</w:t>
      </w:r>
      <w:proofErr w:type="spellEnd"/>
      <w:r>
        <w:t xml:space="preserve"> by Archbishop </w:t>
      </w:r>
      <w:proofErr w:type="spellStart"/>
      <w:r>
        <w:t>Tillotson</w:t>
      </w:r>
      <w:proofErr w:type="spellEnd"/>
      <w:r>
        <w:t xml:space="preserve"> in the 3rd sermon of the 7th volume of the sermons </w:t>
      </w:r>
      <w:proofErr w:type="spellStart"/>
      <w:r>
        <w:t>publish’d</w:t>
      </w:r>
      <w:proofErr w:type="spellEnd"/>
      <w:r>
        <w:t xml:space="preserve"> after his death</w:t>
      </w:r>
      <w:r>
        <w:rPr>
          <w:rStyle w:val="FootnoteReference"/>
        </w:rPr>
        <w:footnoteReference w:id="87"/>
      </w:r>
      <w:r w:rsidR="0072219E">
        <w:t>.</w:t>
      </w:r>
    </w:p>
    <w:p w:rsidR="004F6D16" w:rsidRDefault="004F6D16" w:rsidP="00594E81">
      <w:pPr>
        <w:spacing w:line="480" w:lineRule="auto"/>
      </w:pPr>
      <w:r>
        <w:t xml:space="preserve">The answers given there by the Archbishop, &amp; more at large by the author of the learned book, which Your Royal Highness put into my hands, appear to me very solid, but were they less satisfactory than they are, I should not at all be </w:t>
      </w:r>
      <w:proofErr w:type="spellStart"/>
      <w:r>
        <w:t>stagger’d</w:t>
      </w:r>
      <w:proofErr w:type="spellEnd"/>
      <w:r>
        <w:t xml:space="preserve"> in my firm belief of the divine wisdom and goodness, </w:t>
      </w:r>
      <w:proofErr w:type="spellStart"/>
      <w:r>
        <w:t>tho</w:t>
      </w:r>
      <w:proofErr w:type="spellEnd"/>
      <w:r>
        <w:t>’ I were not able to reconcile these with the sufferance of evil.</w:t>
      </w:r>
    </w:p>
    <w:p w:rsidR="004F6D16" w:rsidRDefault="004F6D16" w:rsidP="00594E81">
      <w:pPr>
        <w:spacing w:line="480" w:lineRule="auto"/>
      </w:pPr>
      <w:r>
        <w:t>For since it is evident from experience, that God doth permit evil; &amp; since it is demonstrable by reason &amp; by revelation, that God is holy &amp; good, these truths must be consistent one with the other, whether I by my shallow reasoning can make out their consistency or not.</w:t>
      </w:r>
    </w:p>
    <w:p w:rsidR="004F6D16" w:rsidRDefault="004F6D16" w:rsidP="00594E81">
      <w:pPr>
        <w:spacing w:line="480" w:lineRule="auto"/>
      </w:pPr>
      <w:r>
        <w:t xml:space="preserve">The attempt of learned men to reconcile all appearances of repugnancy between such undoubted truths, as do seem to interfere with each other, is extremely laudable; and the reasons which they have </w:t>
      </w:r>
      <w:proofErr w:type="spellStart"/>
      <w:r>
        <w:t>offer’d</w:t>
      </w:r>
      <w:proofErr w:type="spellEnd"/>
      <w:r>
        <w:t xml:space="preserve"> to prove the permission of evil &amp; the goodness of God to be fairly consistent, are much stronger than any which are brought to prove them repugnant; but </w:t>
      </w:r>
      <w:r>
        <w:lastRenderedPageBreak/>
        <w:t xml:space="preserve">still there may remain some difficulties not to be </w:t>
      </w:r>
      <w:proofErr w:type="spellStart"/>
      <w:r>
        <w:t>solv’d</w:t>
      </w:r>
      <w:proofErr w:type="spellEnd"/>
      <w:r>
        <w:t xml:space="preserve"> whilst we are in this state of imperfection, but </w:t>
      </w:r>
      <w:proofErr w:type="spellStart"/>
      <w:r>
        <w:t>reserv’d</w:t>
      </w:r>
      <w:proofErr w:type="spellEnd"/>
      <w:r>
        <w:t>, till we are translated to a state of greater illumination.</w:t>
      </w:r>
    </w:p>
    <w:p w:rsidR="004F6D16" w:rsidRDefault="004F6D16" w:rsidP="00594E81">
      <w:pPr>
        <w:spacing w:line="480" w:lineRule="auto"/>
      </w:pPr>
      <w:r>
        <w:t xml:space="preserve">In the mean-time it will become all humble, serious, &amp; sober-minded Christians, rather to apply themselves to the diligent &amp; conscientious practise of known duties, than to perplex their minds with an over-curious search into hidden &amp; mysterious truths; as considering, that </w:t>
      </w:r>
      <w:r w:rsidRPr="005156D1">
        <w:rPr>
          <w:i/>
        </w:rPr>
        <w:t>secret things belong to the Lord our God; but tha</w:t>
      </w:r>
      <w:r>
        <w:rPr>
          <w:i/>
        </w:rPr>
        <w:t xml:space="preserve">t those things which are </w:t>
      </w:r>
      <w:proofErr w:type="spellStart"/>
      <w:r>
        <w:rPr>
          <w:i/>
        </w:rPr>
        <w:t>reveal’</w:t>
      </w:r>
      <w:r w:rsidRPr="005156D1">
        <w:rPr>
          <w:i/>
        </w:rPr>
        <w:t>d</w:t>
      </w:r>
      <w:proofErr w:type="spellEnd"/>
      <w:r w:rsidRPr="005156D1">
        <w:rPr>
          <w:i/>
        </w:rPr>
        <w:t>, belong to us, that we may do all the words of the law</w:t>
      </w:r>
      <w:r>
        <w:t>.</w:t>
      </w:r>
    </w:p>
    <w:p w:rsidR="004F6D16" w:rsidRDefault="004F6D16" w:rsidP="00594E81">
      <w:pPr>
        <w:spacing w:line="480" w:lineRule="auto"/>
      </w:pPr>
      <w:r>
        <w:t xml:space="preserve">That God would direct Your Royal Highness by his Holy Spirit in the true knowledge of Him &amp; of his Word; that He would confirm &amp; strengthen you in all goodness, &amp; pour down upon Your Regal Person &amp; Family the </w:t>
      </w:r>
      <w:proofErr w:type="spellStart"/>
      <w:r>
        <w:t>choisest</w:t>
      </w:r>
      <w:proofErr w:type="spellEnd"/>
      <w:r>
        <w:t xml:space="preserve"> of his blessings, is the earnest prayer of,</w:t>
      </w:r>
    </w:p>
    <w:p w:rsidR="004F6D16" w:rsidRDefault="004F6D16" w:rsidP="00594E81">
      <w:pPr>
        <w:spacing w:line="480" w:lineRule="auto"/>
      </w:pPr>
      <w:r>
        <w:tab/>
      </w:r>
      <w:r>
        <w:tab/>
      </w:r>
      <w:r>
        <w:tab/>
        <w:t>Madam,</w:t>
      </w:r>
    </w:p>
    <w:p w:rsidR="004F6D16" w:rsidRDefault="004F6D16" w:rsidP="00594E81">
      <w:pPr>
        <w:spacing w:line="480" w:lineRule="auto"/>
      </w:pPr>
      <w:r>
        <w:tab/>
      </w:r>
      <w:r>
        <w:tab/>
        <w:t xml:space="preserve">Your most </w:t>
      </w:r>
      <w:proofErr w:type="spellStart"/>
      <w:r>
        <w:t>dutifull</w:t>
      </w:r>
      <w:proofErr w:type="spellEnd"/>
      <w:r>
        <w:t>, most obedient, &amp;</w:t>
      </w:r>
    </w:p>
    <w:p w:rsidR="004F6D16" w:rsidRDefault="004F6D16" w:rsidP="00594E81">
      <w:pPr>
        <w:spacing w:line="480" w:lineRule="auto"/>
      </w:pPr>
      <w:r>
        <w:tab/>
      </w:r>
      <w:r>
        <w:tab/>
      </w:r>
      <w:r>
        <w:tab/>
      </w:r>
      <w:proofErr w:type="gramStart"/>
      <w:r>
        <w:t>most</w:t>
      </w:r>
      <w:proofErr w:type="gramEnd"/>
      <w:r>
        <w:t xml:space="preserve"> obliged servant</w:t>
      </w:r>
    </w:p>
    <w:p w:rsidR="004F6D16" w:rsidRDefault="004F6D16" w:rsidP="00594E81">
      <w:pPr>
        <w:spacing w:line="480" w:lineRule="auto"/>
      </w:pPr>
    </w:p>
    <w:p w:rsidR="004F6D16" w:rsidRDefault="004F6D16" w:rsidP="00594E81">
      <w:pPr>
        <w:spacing w:line="480" w:lineRule="auto"/>
      </w:pPr>
      <w:r>
        <w:t>Christ-Church, Oxford</w:t>
      </w:r>
    </w:p>
    <w:p w:rsidR="004F6D16" w:rsidRPr="007B6560" w:rsidRDefault="004F6D16" w:rsidP="00594E81">
      <w:pPr>
        <w:spacing w:line="480" w:lineRule="auto"/>
      </w:pPr>
      <w:r>
        <w:t>Mar. 4th 1714</w:t>
      </w:r>
      <w:r w:rsidR="007461E0">
        <w:rPr>
          <w:rStyle w:val="FootnoteReference"/>
        </w:rPr>
        <w:footnoteReference w:id="88"/>
      </w:r>
      <w:r>
        <w:tab/>
      </w:r>
      <w:r>
        <w:tab/>
      </w:r>
      <w:r>
        <w:tab/>
        <w:t>George Bristol</w:t>
      </w:r>
    </w:p>
    <w:sectPr w:rsidR="004F6D16" w:rsidRPr="007B6560" w:rsidSect="008000CE">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DCC" w:rsidRDefault="00E77DCC" w:rsidP="00C25A7A">
      <w:r>
        <w:separator/>
      </w:r>
    </w:p>
  </w:endnote>
  <w:endnote w:type="continuationSeparator" w:id="0">
    <w:p w:rsidR="00E77DCC" w:rsidRDefault="00E77DCC" w:rsidP="00C25A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panose1 w:val="02040503050201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48258"/>
      <w:docPartObj>
        <w:docPartGallery w:val="Page Numbers (Bottom of Page)"/>
        <w:docPartUnique/>
      </w:docPartObj>
    </w:sdtPr>
    <w:sdtContent>
      <w:p w:rsidR="0077041C" w:rsidRDefault="00A96B2B">
        <w:pPr>
          <w:pStyle w:val="Footer"/>
          <w:jc w:val="center"/>
        </w:pPr>
        <w:fldSimple w:instr=" PAGE   \* MERGEFORMAT ">
          <w:r w:rsidR="00594E81">
            <w:rPr>
              <w:noProof/>
            </w:rPr>
            <w:t>1</w:t>
          </w:r>
        </w:fldSimple>
      </w:p>
    </w:sdtContent>
  </w:sdt>
  <w:p w:rsidR="0077041C" w:rsidRDefault="007704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DCC" w:rsidRDefault="00E77DCC" w:rsidP="00C25A7A">
      <w:r>
        <w:separator/>
      </w:r>
    </w:p>
  </w:footnote>
  <w:footnote w:type="continuationSeparator" w:id="0">
    <w:p w:rsidR="00E77DCC" w:rsidRDefault="00E77DCC" w:rsidP="00C25A7A">
      <w:r>
        <w:continuationSeparator/>
      </w:r>
    </w:p>
  </w:footnote>
  <w:footnote w:id="1">
    <w:p w:rsidR="0077041C" w:rsidRPr="00C106F2" w:rsidRDefault="0077041C" w:rsidP="00594E81">
      <w:pPr>
        <w:pStyle w:val="FootnoteText"/>
        <w:spacing w:line="480" w:lineRule="auto"/>
      </w:pPr>
      <w:r w:rsidRPr="00C106F2">
        <w:t xml:space="preserve">* This paper was originally written for delivery at the </w:t>
      </w:r>
      <w:r w:rsidRPr="00C106F2">
        <w:rPr>
          <w:i/>
        </w:rPr>
        <w:t xml:space="preserve">Caroline </w:t>
      </w:r>
      <w:proofErr w:type="spellStart"/>
      <w:r w:rsidRPr="00C106F2">
        <w:rPr>
          <w:i/>
        </w:rPr>
        <w:t>bringt</w:t>
      </w:r>
      <w:proofErr w:type="spellEnd"/>
      <w:r w:rsidRPr="00C106F2">
        <w:rPr>
          <w:i/>
        </w:rPr>
        <w:t xml:space="preserve"> Leibniz </w:t>
      </w:r>
      <w:proofErr w:type="spellStart"/>
      <w:r w:rsidRPr="00C106F2">
        <w:rPr>
          <w:i/>
        </w:rPr>
        <w:t>nach</w:t>
      </w:r>
      <w:proofErr w:type="spellEnd"/>
      <w:r w:rsidRPr="00C106F2">
        <w:rPr>
          <w:i/>
        </w:rPr>
        <w:t xml:space="preserve"> London</w:t>
      </w:r>
      <w:r w:rsidRPr="00C106F2">
        <w:t xml:space="preserve"> workshop of 24/25 July </w:t>
      </w:r>
      <w:proofErr w:type="gramStart"/>
      <w:r w:rsidRPr="00C106F2">
        <w:t>2014,</w:t>
      </w:r>
      <w:proofErr w:type="gramEnd"/>
      <w:r w:rsidRPr="00C106F2">
        <w:t xml:space="preserve"> and benefitted greatly from the comments of those present. I would also like to thank Daniel J. Cook, Nora Gaedeke, Pauline </w:t>
      </w:r>
      <w:proofErr w:type="spellStart"/>
      <w:r w:rsidRPr="00C106F2">
        <w:t>Phemister</w:t>
      </w:r>
      <w:proofErr w:type="spellEnd"/>
      <w:r w:rsidRPr="00C106F2">
        <w:t>, Julia Weckend, and the for their helpful comments on an earlier draft of this paper.</w:t>
      </w:r>
    </w:p>
    <w:p w:rsidR="0077041C" w:rsidRPr="00C106F2" w:rsidRDefault="0077041C" w:rsidP="00594E81">
      <w:pPr>
        <w:pStyle w:val="FootnoteText"/>
        <w:spacing w:line="480" w:lineRule="auto"/>
      </w:pPr>
      <w:r w:rsidRPr="00C106F2">
        <w:rPr>
          <w:rStyle w:val="FootnoteReference"/>
          <w:vertAlign w:val="baseline"/>
        </w:rPr>
        <w:footnoteRef/>
      </w:r>
      <w:r w:rsidRPr="00C106F2">
        <w:t xml:space="preserve"> </w:t>
      </w:r>
      <w:proofErr w:type="spellStart"/>
      <w:r w:rsidRPr="00C106F2">
        <w:rPr>
          <w:rFonts w:cs="Times New Roman"/>
          <w:i/>
        </w:rPr>
        <w:t>Nouvelles</w:t>
      </w:r>
      <w:proofErr w:type="spellEnd"/>
      <w:r w:rsidRPr="00C106F2">
        <w:rPr>
          <w:rFonts w:cs="Times New Roman"/>
          <w:i/>
        </w:rPr>
        <w:t xml:space="preserve"> de la </w:t>
      </w:r>
      <w:proofErr w:type="spellStart"/>
      <w:r w:rsidRPr="00C106F2">
        <w:rPr>
          <w:rFonts w:cs="Times New Roman"/>
          <w:i/>
        </w:rPr>
        <w:t>Republique</w:t>
      </w:r>
      <w:proofErr w:type="spellEnd"/>
      <w:r w:rsidRPr="00C106F2">
        <w:rPr>
          <w:rFonts w:cs="Times New Roman"/>
          <w:i/>
        </w:rPr>
        <w:t xml:space="preserve"> des </w:t>
      </w:r>
      <w:proofErr w:type="spellStart"/>
      <w:r w:rsidRPr="00C106F2">
        <w:rPr>
          <w:rFonts w:cs="Times New Roman"/>
          <w:i/>
        </w:rPr>
        <w:t>lettres</w:t>
      </w:r>
      <w:proofErr w:type="spellEnd"/>
      <w:r w:rsidRPr="00C106F2">
        <w:rPr>
          <w:rFonts w:cs="Times New Roman"/>
        </w:rPr>
        <w:t xml:space="preserve"> (September 1710), </w:t>
      </w:r>
      <w:r>
        <w:rPr>
          <w:rFonts w:cs="Times New Roman"/>
        </w:rPr>
        <w:t xml:space="preserve">pp. </w:t>
      </w:r>
      <w:r w:rsidRPr="00C106F2">
        <w:rPr>
          <w:rFonts w:cs="Times New Roman"/>
        </w:rPr>
        <w:t>314-</w:t>
      </w:r>
      <w:r>
        <w:rPr>
          <w:rFonts w:cs="Times New Roman"/>
        </w:rPr>
        <w:t>3</w:t>
      </w:r>
      <w:r w:rsidRPr="00C106F2">
        <w:rPr>
          <w:rFonts w:cs="Times New Roman"/>
        </w:rPr>
        <w:t>42.</w:t>
      </w:r>
    </w:p>
  </w:footnote>
  <w:footnote w:id="2">
    <w:p w:rsidR="0077041C" w:rsidRPr="00C106F2" w:rsidRDefault="0077041C" w:rsidP="00594E81">
      <w:pPr>
        <w:pStyle w:val="FootnoteText"/>
        <w:spacing w:line="480" w:lineRule="auto"/>
      </w:pPr>
      <w:r w:rsidRPr="00C106F2">
        <w:rPr>
          <w:rStyle w:val="FootnoteReference"/>
          <w:vertAlign w:val="baseline"/>
        </w:rPr>
        <w:footnoteRef/>
      </w:r>
      <w:r w:rsidRPr="00C106F2">
        <w:t xml:space="preserve"> </w:t>
      </w:r>
      <w:proofErr w:type="spellStart"/>
      <w:r w:rsidRPr="00C106F2">
        <w:rPr>
          <w:i/>
        </w:rPr>
        <w:t>Mémoires</w:t>
      </w:r>
      <w:proofErr w:type="spellEnd"/>
      <w:r w:rsidRPr="00C106F2">
        <w:rPr>
          <w:i/>
        </w:rPr>
        <w:t xml:space="preserve"> pour </w:t>
      </w:r>
      <w:proofErr w:type="spellStart"/>
      <w:r w:rsidRPr="00C106F2">
        <w:rPr>
          <w:i/>
        </w:rPr>
        <w:t>l'histoire</w:t>
      </w:r>
      <w:proofErr w:type="spellEnd"/>
      <w:r w:rsidRPr="00C106F2">
        <w:rPr>
          <w:i/>
        </w:rPr>
        <w:t xml:space="preserve"> des sciences &amp; des beaux-</w:t>
      </w:r>
      <w:proofErr w:type="gramStart"/>
      <w:r w:rsidRPr="00C106F2">
        <w:rPr>
          <w:i/>
        </w:rPr>
        <w:t>arts</w:t>
      </w:r>
      <w:proofErr w:type="gramEnd"/>
      <w:r w:rsidRPr="00C106F2">
        <w:rPr>
          <w:rStyle w:val="FootnoteReference"/>
          <w:vertAlign w:val="baseline"/>
        </w:rPr>
        <w:t xml:space="preserve"> </w:t>
      </w:r>
      <w:r w:rsidRPr="00C106F2">
        <w:t xml:space="preserve">(July 1713), </w:t>
      </w:r>
      <w:r>
        <w:rPr>
          <w:rFonts w:cs="Times New Roman"/>
        </w:rPr>
        <w:t xml:space="preserve">pp. </w:t>
      </w:r>
      <w:r w:rsidRPr="00C106F2">
        <w:t>1178-1199.</w:t>
      </w:r>
    </w:p>
  </w:footnote>
  <w:footnote w:id="3">
    <w:p w:rsidR="0077041C" w:rsidRPr="00C106F2" w:rsidRDefault="0077041C" w:rsidP="00594E81">
      <w:pPr>
        <w:pStyle w:val="FootnoteText"/>
        <w:spacing w:line="480" w:lineRule="auto"/>
      </w:pPr>
      <w:r w:rsidRPr="00C106F2">
        <w:rPr>
          <w:rStyle w:val="FootnoteReference"/>
          <w:vertAlign w:val="baseline"/>
        </w:rPr>
        <w:footnoteRef/>
      </w:r>
      <w:r w:rsidRPr="00C106F2">
        <w:t xml:space="preserve"> </w:t>
      </w:r>
      <w:proofErr w:type="spellStart"/>
      <w:r w:rsidRPr="00C106F2">
        <w:rPr>
          <w:i/>
        </w:rPr>
        <w:t>Acta</w:t>
      </w:r>
      <w:proofErr w:type="spellEnd"/>
      <w:r w:rsidRPr="00C106F2">
        <w:rPr>
          <w:i/>
        </w:rPr>
        <w:t xml:space="preserve"> </w:t>
      </w:r>
      <w:proofErr w:type="spellStart"/>
      <w:r w:rsidRPr="00C106F2">
        <w:rPr>
          <w:i/>
        </w:rPr>
        <w:t>Eruditorum</w:t>
      </w:r>
      <w:proofErr w:type="spellEnd"/>
      <w:r w:rsidRPr="00C106F2">
        <w:t xml:space="preserve"> (March 1711), 110-21, and (April 1711), </w:t>
      </w:r>
      <w:r>
        <w:rPr>
          <w:rFonts w:cs="Times New Roman"/>
        </w:rPr>
        <w:t xml:space="preserve">pp. </w:t>
      </w:r>
      <w:r w:rsidRPr="00C106F2">
        <w:t>159-</w:t>
      </w:r>
      <w:r>
        <w:t>1</w:t>
      </w:r>
      <w:r w:rsidRPr="00C106F2">
        <w:t>68.</w:t>
      </w:r>
    </w:p>
  </w:footnote>
  <w:footnote w:id="4">
    <w:p w:rsidR="0077041C" w:rsidRPr="00C106F2" w:rsidRDefault="0077041C" w:rsidP="00594E81">
      <w:pPr>
        <w:pStyle w:val="FootnoteText"/>
        <w:spacing w:line="480" w:lineRule="auto"/>
      </w:pPr>
      <w:r w:rsidRPr="00C106F2">
        <w:rPr>
          <w:rStyle w:val="FootnoteReference"/>
          <w:vertAlign w:val="baseline"/>
        </w:rPr>
        <w:footnoteRef/>
      </w:r>
      <w:r w:rsidRPr="00C106F2">
        <w:t xml:space="preserve"> See </w:t>
      </w:r>
      <w:proofErr w:type="spellStart"/>
      <w:r w:rsidRPr="00C106F2">
        <w:t>Bourguet</w:t>
      </w:r>
      <w:proofErr w:type="spellEnd"/>
      <w:r w:rsidRPr="00C106F2">
        <w:t xml:space="preserve"> to Leibniz, 20 October 1712, G</w:t>
      </w:r>
      <w:r>
        <w:t>P</w:t>
      </w:r>
      <w:r w:rsidRPr="00C106F2">
        <w:t xml:space="preserve"> III 556.</w:t>
      </w:r>
    </w:p>
  </w:footnote>
  <w:footnote w:id="5">
    <w:p w:rsidR="0077041C" w:rsidRPr="00C106F2" w:rsidRDefault="0077041C" w:rsidP="00594E81">
      <w:pPr>
        <w:pStyle w:val="FootnoteText"/>
        <w:spacing w:line="480" w:lineRule="auto"/>
      </w:pPr>
      <w:r w:rsidRPr="00C106F2">
        <w:rPr>
          <w:rStyle w:val="FootnoteReference"/>
          <w:vertAlign w:val="baseline"/>
        </w:rPr>
        <w:footnoteRef/>
      </w:r>
      <w:r w:rsidRPr="00C106F2">
        <w:t xml:space="preserve"> See Malebranche to Leibniz, 14 December 1711, G</w:t>
      </w:r>
      <w:r>
        <w:t>P</w:t>
      </w:r>
      <w:r w:rsidRPr="00C106F2">
        <w:t xml:space="preserve"> I 358-9.</w:t>
      </w:r>
    </w:p>
  </w:footnote>
  <w:footnote w:id="6">
    <w:p w:rsidR="0077041C" w:rsidRPr="00C106F2" w:rsidRDefault="0077041C" w:rsidP="00594E81">
      <w:pPr>
        <w:pStyle w:val="FootnoteText"/>
        <w:spacing w:line="480" w:lineRule="auto"/>
      </w:pPr>
      <w:r w:rsidRPr="00C106F2">
        <w:rPr>
          <w:rStyle w:val="FootnoteReference"/>
          <w:vertAlign w:val="baseline"/>
        </w:rPr>
        <w:footnoteRef/>
      </w:r>
      <w:r w:rsidRPr="00C106F2">
        <w:t xml:space="preserve"> See des Bosses to Leibniz, 6 January 1711, G</w:t>
      </w:r>
      <w:r>
        <w:t>P</w:t>
      </w:r>
      <w:r w:rsidRPr="00C106F2">
        <w:t xml:space="preserve"> II 414f. English translation: </w:t>
      </w:r>
      <w:r w:rsidRPr="00C106F2">
        <w:rPr>
          <w:i/>
        </w:rPr>
        <w:t>The Leibniz-Des Bosses Correspondence</w:t>
      </w:r>
      <w:r w:rsidRPr="00C106F2">
        <w:t>, trans. and ed. B</w:t>
      </w:r>
      <w:r w:rsidR="006270A8">
        <w:t>.</w:t>
      </w:r>
      <w:r w:rsidRPr="00C106F2">
        <w:t xml:space="preserve"> C. Look and D</w:t>
      </w:r>
      <w:r w:rsidR="006270A8">
        <w:t>.</w:t>
      </w:r>
      <w:r>
        <w:t xml:space="preserve"> Rutherford (New Haven</w:t>
      </w:r>
      <w:r w:rsidRPr="00C106F2">
        <w:t>, 2007), 191.</w:t>
      </w:r>
    </w:p>
  </w:footnote>
  <w:footnote w:id="7">
    <w:p w:rsidR="0077041C" w:rsidRPr="00C106F2" w:rsidRDefault="0077041C" w:rsidP="00594E81">
      <w:pPr>
        <w:pStyle w:val="FootnoteText"/>
        <w:spacing w:line="480" w:lineRule="auto"/>
        <w:rPr>
          <w:rFonts w:cs="Times New Roman"/>
        </w:rPr>
      </w:pPr>
      <w:r w:rsidRPr="00C106F2">
        <w:rPr>
          <w:rStyle w:val="FootnoteReference"/>
          <w:vertAlign w:val="baseline"/>
        </w:rPr>
        <w:footnoteRef/>
      </w:r>
      <w:r w:rsidRPr="00C106F2">
        <w:t xml:space="preserve"> </w:t>
      </w:r>
      <w:proofErr w:type="gramStart"/>
      <w:r w:rsidRPr="00C106F2">
        <w:rPr>
          <w:rFonts w:cs="Times New Roman"/>
        </w:rPr>
        <w:t xml:space="preserve">Leibniz to Friedrich Wilhelm </w:t>
      </w:r>
      <w:proofErr w:type="spellStart"/>
      <w:r w:rsidRPr="00C106F2">
        <w:rPr>
          <w:rFonts w:cs="Times New Roman"/>
        </w:rPr>
        <w:t>Bierling</w:t>
      </w:r>
      <w:proofErr w:type="spellEnd"/>
      <w:r w:rsidRPr="00C106F2">
        <w:rPr>
          <w:rFonts w:cs="Times New Roman"/>
        </w:rPr>
        <w:t>, 14 January 1712, G</w:t>
      </w:r>
      <w:r>
        <w:rPr>
          <w:rFonts w:cs="Times New Roman"/>
        </w:rPr>
        <w:t>P</w:t>
      </w:r>
      <w:r w:rsidRPr="00C106F2">
        <w:rPr>
          <w:rFonts w:cs="Times New Roman"/>
        </w:rPr>
        <w:t xml:space="preserve"> VII, 503.</w:t>
      </w:r>
      <w:proofErr w:type="gramEnd"/>
      <w:r w:rsidRPr="00C106F2">
        <w:rPr>
          <w:rFonts w:cs="Times New Roman"/>
        </w:rPr>
        <w:t xml:space="preserve"> See also Leibniz to </w:t>
      </w:r>
      <w:proofErr w:type="spellStart"/>
      <w:r w:rsidRPr="00C106F2">
        <w:rPr>
          <w:rFonts w:cs="Times New Roman"/>
        </w:rPr>
        <w:t>Christoph</w:t>
      </w:r>
      <w:proofErr w:type="spellEnd"/>
      <w:r w:rsidRPr="00C106F2">
        <w:rPr>
          <w:rFonts w:cs="Times New Roman"/>
        </w:rPr>
        <w:t xml:space="preserve"> Joachim Nicolai von </w:t>
      </w:r>
      <w:proofErr w:type="spellStart"/>
      <w:r w:rsidRPr="00C106F2">
        <w:rPr>
          <w:rFonts w:cs="Times New Roman"/>
        </w:rPr>
        <w:t>Greiffencrantz</w:t>
      </w:r>
      <w:proofErr w:type="spellEnd"/>
      <w:r w:rsidRPr="00C106F2">
        <w:rPr>
          <w:rFonts w:cs="Times New Roman"/>
        </w:rPr>
        <w:t>, 2 May 1715, G</w:t>
      </w:r>
      <w:r>
        <w:rPr>
          <w:rFonts w:cs="Times New Roman"/>
        </w:rPr>
        <w:t>P</w:t>
      </w:r>
      <w:r w:rsidRPr="00C106F2">
        <w:rPr>
          <w:rFonts w:cs="Times New Roman"/>
        </w:rPr>
        <w:t xml:space="preserve"> VI, 12-13, and Leibniz to Philip Muller, 1711, </w:t>
      </w:r>
      <w:proofErr w:type="spellStart"/>
      <w:r w:rsidRPr="00C106F2">
        <w:rPr>
          <w:rFonts w:cs="Times New Roman"/>
        </w:rPr>
        <w:t>durchgesehene</w:t>
      </w:r>
      <w:proofErr w:type="spellEnd"/>
      <w:r w:rsidRPr="00C106F2">
        <w:rPr>
          <w:rFonts w:cs="Times New Roman"/>
        </w:rPr>
        <w:t xml:space="preserve"> </w:t>
      </w:r>
      <w:proofErr w:type="spellStart"/>
      <w:r w:rsidRPr="00C106F2">
        <w:rPr>
          <w:rFonts w:cs="Times New Roman"/>
        </w:rPr>
        <w:t>Transkription</w:t>
      </w:r>
      <w:proofErr w:type="spellEnd"/>
      <w:r w:rsidRPr="00C106F2">
        <w:rPr>
          <w:rFonts w:cs="Times New Roman"/>
        </w:rPr>
        <w:t xml:space="preserve">, </w:t>
      </w:r>
      <w:proofErr w:type="spellStart"/>
      <w:r w:rsidRPr="00C106F2">
        <w:rPr>
          <w:rFonts w:cs="Times New Roman"/>
        </w:rPr>
        <w:t>Akademie-Ausgabe</w:t>
      </w:r>
      <w:proofErr w:type="spellEnd"/>
      <w:r w:rsidRPr="00C106F2">
        <w:rPr>
          <w:rFonts w:cs="Times New Roman"/>
        </w:rPr>
        <w:t xml:space="preserve"> Leibniz-Edition, Leibniz-</w:t>
      </w:r>
      <w:proofErr w:type="spellStart"/>
      <w:r w:rsidRPr="00C106F2">
        <w:rPr>
          <w:rFonts w:cs="Times New Roman"/>
        </w:rPr>
        <w:t>Archiv</w:t>
      </w:r>
      <w:proofErr w:type="spellEnd"/>
      <w:r w:rsidRPr="00C106F2">
        <w:rPr>
          <w:rFonts w:cs="Times New Roman"/>
        </w:rPr>
        <w:t xml:space="preserve"> / Leibniz-</w:t>
      </w:r>
      <w:proofErr w:type="spellStart"/>
      <w:r w:rsidRPr="00C106F2">
        <w:rPr>
          <w:rFonts w:cs="Times New Roman"/>
        </w:rPr>
        <w:t>Forschungsstelle</w:t>
      </w:r>
      <w:proofErr w:type="spellEnd"/>
      <w:r w:rsidRPr="00C106F2">
        <w:rPr>
          <w:rFonts w:cs="Times New Roman"/>
        </w:rPr>
        <w:t xml:space="preserve"> Hannover (</w:t>
      </w:r>
      <w:proofErr w:type="spellStart"/>
      <w:r w:rsidRPr="00C106F2">
        <w:rPr>
          <w:rFonts w:cs="Times New Roman"/>
        </w:rPr>
        <w:t>Änderungen</w:t>
      </w:r>
      <w:proofErr w:type="spellEnd"/>
      <w:r w:rsidRPr="00C106F2">
        <w:rPr>
          <w:rFonts w:cs="Times New Roman"/>
        </w:rPr>
        <w:t xml:space="preserve"> </w:t>
      </w:r>
      <w:proofErr w:type="spellStart"/>
      <w:r w:rsidRPr="00C106F2">
        <w:rPr>
          <w:rFonts w:cs="Times New Roman"/>
        </w:rPr>
        <w:t>bis</w:t>
      </w:r>
      <w:proofErr w:type="spellEnd"/>
      <w:r w:rsidRPr="00C106F2">
        <w:rPr>
          <w:rFonts w:cs="Times New Roman"/>
        </w:rPr>
        <w:t xml:space="preserve"> </w:t>
      </w:r>
      <w:proofErr w:type="spellStart"/>
      <w:r w:rsidRPr="00C106F2">
        <w:rPr>
          <w:rFonts w:cs="Times New Roman"/>
        </w:rPr>
        <w:t>zur</w:t>
      </w:r>
      <w:proofErr w:type="spellEnd"/>
      <w:r w:rsidRPr="00C106F2">
        <w:rPr>
          <w:rFonts w:cs="Times New Roman"/>
        </w:rPr>
        <w:t xml:space="preserve"> </w:t>
      </w:r>
      <w:proofErr w:type="spellStart"/>
      <w:r w:rsidRPr="00C106F2">
        <w:rPr>
          <w:rFonts w:cs="Times New Roman"/>
        </w:rPr>
        <w:t>endgültigen</w:t>
      </w:r>
      <w:proofErr w:type="spellEnd"/>
      <w:r w:rsidRPr="00C106F2">
        <w:rPr>
          <w:rFonts w:cs="Times New Roman"/>
        </w:rPr>
        <w:t xml:space="preserve"> Edition </w:t>
      </w:r>
      <w:proofErr w:type="spellStart"/>
      <w:r w:rsidRPr="00C106F2">
        <w:rPr>
          <w:rFonts w:cs="Times New Roman"/>
        </w:rPr>
        <w:t>möglich</w:t>
      </w:r>
      <w:proofErr w:type="spellEnd"/>
      <w:r w:rsidRPr="00C106F2">
        <w:rPr>
          <w:rFonts w:cs="Times New Roman"/>
        </w:rPr>
        <w:t xml:space="preserve">), no. 306, p. 389, </w:t>
      </w:r>
      <w:hyperlink r:id="rId1" w:history="1">
        <w:r w:rsidRPr="00C106F2">
          <w:rPr>
            <w:rStyle w:val="Hyperlink"/>
            <w:rFonts w:cs="Times New Roman"/>
          </w:rPr>
          <w:t>http://www.gwlb.de/Leibniz/Leibnizarchiv/Veroeffentlichungen/Transkriptionen1711.pdf</w:t>
        </w:r>
      </w:hyperlink>
      <w:r w:rsidRPr="00C106F2">
        <w:rPr>
          <w:rFonts w:cs="Times New Roman"/>
        </w:rPr>
        <w:t xml:space="preserve"> (accessed 16 October 2014).</w:t>
      </w:r>
    </w:p>
  </w:footnote>
  <w:footnote w:id="8">
    <w:p w:rsidR="0077041C" w:rsidRPr="00C106F2" w:rsidRDefault="0077041C" w:rsidP="00594E81">
      <w:pPr>
        <w:pStyle w:val="FootnoteText"/>
        <w:spacing w:line="480" w:lineRule="auto"/>
      </w:pPr>
      <w:r w:rsidRPr="00C106F2">
        <w:rPr>
          <w:rStyle w:val="FootnoteReference"/>
          <w:vertAlign w:val="baseline"/>
        </w:rPr>
        <w:footnoteRef/>
      </w:r>
      <w:r w:rsidRPr="00C106F2">
        <w:t xml:space="preserve"> At the time of writing the appendix, Leibniz was apparently unaware of King’s status within the Anglican Church, for upon the publication of the </w:t>
      </w:r>
      <w:r w:rsidRPr="00C106F2">
        <w:rPr>
          <w:i/>
        </w:rPr>
        <w:t>Theodicy</w:t>
      </w:r>
      <w:r w:rsidRPr="00C106F2">
        <w:t xml:space="preserve"> he confided to one correspondent “</w:t>
      </w:r>
      <w:r w:rsidRPr="00C106F2">
        <w:rPr>
          <w:rFonts w:cs="Times New Roman"/>
        </w:rPr>
        <w:t xml:space="preserve">I am afraid that it may fall into the hands of an Archbishop of the Anglican Church, namely Mr King, who published some years ago a book </w:t>
      </w:r>
      <w:r w:rsidRPr="00C106F2">
        <w:rPr>
          <w:rFonts w:cs="Times New Roman"/>
          <w:i/>
        </w:rPr>
        <w:t xml:space="preserve">De </w:t>
      </w:r>
      <w:proofErr w:type="spellStart"/>
      <w:r w:rsidRPr="00C106F2">
        <w:rPr>
          <w:rFonts w:cs="Times New Roman"/>
          <w:i/>
        </w:rPr>
        <w:t>origine</w:t>
      </w:r>
      <w:proofErr w:type="spellEnd"/>
      <w:r w:rsidRPr="00C106F2">
        <w:rPr>
          <w:rFonts w:cs="Times New Roman"/>
          <w:i/>
        </w:rPr>
        <w:t xml:space="preserve"> </w:t>
      </w:r>
      <w:proofErr w:type="spellStart"/>
      <w:proofErr w:type="gramStart"/>
      <w:r w:rsidRPr="00C106F2">
        <w:rPr>
          <w:rFonts w:cs="Times New Roman"/>
          <w:i/>
        </w:rPr>
        <w:t>mali</w:t>
      </w:r>
      <w:proofErr w:type="spellEnd"/>
      <w:proofErr w:type="gramEnd"/>
      <w:r w:rsidRPr="00C106F2">
        <w:rPr>
          <w:rFonts w:cs="Times New Roman"/>
        </w:rPr>
        <w:t xml:space="preserve">. He was at that time Bishop of Derry, and I thought he still was, but I understand that he is now Archbishop of Dublin. I found myself more or less compelled to discuss his book and his opinion, and although I am not always of his mind, I hope I have written in a way that will not offend him.” </w:t>
      </w:r>
      <w:proofErr w:type="gramStart"/>
      <w:r w:rsidRPr="00C106F2">
        <w:t xml:space="preserve">Leibniz to Charles </w:t>
      </w:r>
      <w:proofErr w:type="spellStart"/>
      <w:r w:rsidRPr="00C106F2">
        <w:t>Ancillon</w:t>
      </w:r>
      <w:proofErr w:type="spellEnd"/>
      <w:r w:rsidRPr="00C106F2">
        <w:t xml:space="preserve">, 12 December 1710, </w:t>
      </w:r>
      <w:proofErr w:type="spellStart"/>
      <w:r w:rsidRPr="00C106F2">
        <w:t>LBr</w:t>
      </w:r>
      <w:proofErr w:type="spellEnd"/>
      <w:r w:rsidRPr="00C106F2">
        <w:t>. 12, Bl. 85.</w:t>
      </w:r>
      <w:proofErr w:type="gramEnd"/>
    </w:p>
  </w:footnote>
  <w:footnote w:id="9">
    <w:p w:rsidR="0077041C" w:rsidRPr="00C106F2" w:rsidRDefault="0077041C" w:rsidP="00594E81">
      <w:pPr>
        <w:pStyle w:val="FootnoteText"/>
        <w:spacing w:line="480" w:lineRule="auto"/>
      </w:pPr>
      <w:r w:rsidRPr="00C106F2">
        <w:rPr>
          <w:rStyle w:val="FootnoteReference"/>
          <w:vertAlign w:val="baseline"/>
        </w:rPr>
        <w:footnoteRef/>
      </w:r>
      <w:r w:rsidRPr="00C106F2">
        <w:t xml:space="preserve"> S</w:t>
      </w:r>
      <w:r w:rsidRPr="00C106F2">
        <w:rPr>
          <w:rFonts w:cs="Times New Roman"/>
          <w:szCs w:val="24"/>
        </w:rPr>
        <w:t>hortly before the book’s publication</w:t>
      </w:r>
      <w:r w:rsidRPr="00C106F2">
        <w:t xml:space="preserve"> he expressed </w:t>
      </w:r>
      <w:r w:rsidRPr="00C106F2">
        <w:rPr>
          <w:rFonts w:cs="Times New Roman"/>
          <w:szCs w:val="24"/>
        </w:rPr>
        <w:t xml:space="preserve">to Thomas Burnett </w:t>
      </w:r>
      <w:r w:rsidRPr="00C106F2">
        <w:t xml:space="preserve">his hope that the </w:t>
      </w:r>
      <w:r w:rsidRPr="00C106F2">
        <w:rPr>
          <w:i/>
        </w:rPr>
        <w:t>Theodicy</w:t>
      </w:r>
      <w:r w:rsidRPr="00C106F2">
        <w:t xml:space="preserve"> “will not displease in England” especially on account of the appendix on </w:t>
      </w:r>
      <w:r w:rsidRPr="00C106F2">
        <w:rPr>
          <w:i/>
        </w:rPr>
        <w:t xml:space="preserve">De </w:t>
      </w:r>
      <w:proofErr w:type="spellStart"/>
      <w:r w:rsidRPr="00C106F2">
        <w:rPr>
          <w:i/>
        </w:rPr>
        <w:t>origine</w:t>
      </w:r>
      <w:proofErr w:type="spellEnd"/>
      <w:r w:rsidRPr="00C106F2">
        <w:rPr>
          <w:i/>
        </w:rPr>
        <w:t xml:space="preserve"> </w:t>
      </w:r>
      <w:proofErr w:type="spellStart"/>
      <w:proofErr w:type="gramStart"/>
      <w:r w:rsidRPr="00C106F2">
        <w:rPr>
          <w:i/>
        </w:rPr>
        <w:t>mali</w:t>
      </w:r>
      <w:proofErr w:type="spellEnd"/>
      <w:proofErr w:type="gramEnd"/>
      <w:r w:rsidRPr="00C106F2">
        <w:t xml:space="preserve">. See </w:t>
      </w:r>
      <w:r w:rsidRPr="00C106F2">
        <w:rPr>
          <w:rFonts w:cs="Times New Roman"/>
        </w:rPr>
        <w:t xml:space="preserve">Leibniz to Burnett, 30 October 1710, </w:t>
      </w:r>
      <w:proofErr w:type="spellStart"/>
      <w:r w:rsidRPr="00C106F2">
        <w:rPr>
          <w:rFonts w:cs="Times New Roman"/>
        </w:rPr>
        <w:t>Dutens</w:t>
      </w:r>
      <w:proofErr w:type="spellEnd"/>
      <w:r w:rsidRPr="00C106F2">
        <w:rPr>
          <w:rFonts w:cs="Times New Roman"/>
        </w:rPr>
        <w:t xml:space="preserve"> VI</w:t>
      </w:r>
      <w:proofErr w:type="gramStart"/>
      <w:r w:rsidRPr="00C106F2">
        <w:rPr>
          <w:rFonts w:cs="Times New Roman"/>
        </w:rPr>
        <w:t>:1</w:t>
      </w:r>
      <w:proofErr w:type="gramEnd"/>
      <w:r w:rsidRPr="00C106F2">
        <w:rPr>
          <w:rFonts w:cs="Times New Roman"/>
        </w:rPr>
        <w:t>, 285.</w:t>
      </w:r>
    </w:p>
  </w:footnote>
  <w:footnote w:id="10">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Although at the time Leibniz’s principal disagreement with Newton and his followers was squarely mathematical, on account of the priority dispute over the calculus, it has been suggested that he deliberately reframed it as a debate about natural religion and the content of the </w:t>
      </w:r>
      <w:r w:rsidRPr="00C106F2">
        <w:rPr>
          <w:rFonts w:cs="Times New Roman"/>
          <w:i/>
        </w:rPr>
        <w:t>Theodicy</w:t>
      </w:r>
      <w:r w:rsidRPr="00C106F2">
        <w:rPr>
          <w:rFonts w:cs="Times New Roman"/>
        </w:rPr>
        <w:t xml:space="preserve"> – topics he knew to be close to the heart of Caroline, Princess of Wales – in order to win Caroline’s sympathies and support. See G</w:t>
      </w:r>
      <w:r w:rsidR="006270A8">
        <w:rPr>
          <w:rFonts w:cs="Times New Roman"/>
        </w:rPr>
        <w:t>. Brown:</w:t>
      </w:r>
      <w:r w:rsidRPr="00C106F2">
        <w:rPr>
          <w:rFonts w:cs="Times New Roman"/>
        </w:rPr>
        <w:t xml:space="preserve"> “‘[...] et je </w:t>
      </w:r>
      <w:proofErr w:type="spellStart"/>
      <w:r w:rsidRPr="00C106F2">
        <w:rPr>
          <w:rFonts w:cs="Times New Roman"/>
        </w:rPr>
        <w:t>serai</w:t>
      </w:r>
      <w:proofErr w:type="spellEnd"/>
      <w:r w:rsidRPr="00C106F2">
        <w:rPr>
          <w:rFonts w:cs="Times New Roman"/>
        </w:rPr>
        <w:t xml:space="preserve"> </w:t>
      </w:r>
      <w:proofErr w:type="spellStart"/>
      <w:r w:rsidRPr="00C106F2">
        <w:rPr>
          <w:rFonts w:cs="Times New Roman"/>
        </w:rPr>
        <w:t>tousjours</w:t>
      </w:r>
      <w:proofErr w:type="spellEnd"/>
      <w:r w:rsidRPr="00C106F2">
        <w:rPr>
          <w:rFonts w:cs="Times New Roman"/>
        </w:rPr>
        <w:t xml:space="preserve"> la </w:t>
      </w:r>
      <w:proofErr w:type="spellStart"/>
      <w:r w:rsidRPr="00C106F2">
        <w:rPr>
          <w:rFonts w:cs="Times New Roman"/>
        </w:rPr>
        <w:t>même</w:t>
      </w:r>
      <w:proofErr w:type="spellEnd"/>
      <w:r w:rsidRPr="00C106F2">
        <w:rPr>
          <w:rFonts w:cs="Times New Roman"/>
        </w:rPr>
        <w:t xml:space="preserve"> pour </w:t>
      </w:r>
      <w:proofErr w:type="spellStart"/>
      <w:r w:rsidRPr="00C106F2">
        <w:rPr>
          <w:rFonts w:cs="Times New Roman"/>
        </w:rPr>
        <w:t>vous</w:t>
      </w:r>
      <w:proofErr w:type="spellEnd"/>
      <w:r w:rsidRPr="00C106F2">
        <w:rPr>
          <w:rFonts w:cs="Times New Roman"/>
        </w:rPr>
        <w:t xml:space="preserve">’: Personal, political, and the philosophical dimensions of the </w:t>
      </w:r>
      <w:r w:rsidR="006270A8">
        <w:rPr>
          <w:rFonts w:cs="Times New Roman"/>
        </w:rPr>
        <w:t>Leibniz-Caroline correspondence</w:t>
      </w:r>
      <w:r w:rsidRPr="00C106F2">
        <w:rPr>
          <w:rFonts w:cs="Times New Roman"/>
        </w:rPr>
        <w:t>”</w:t>
      </w:r>
      <w:r w:rsidR="006270A8">
        <w:rPr>
          <w:rFonts w:cs="Times New Roman"/>
        </w:rPr>
        <w:t>,</w:t>
      </w:r>
      <w:r w:rsidRPr="00C106F2">
        <w:rPr>
          <w:rFonts w:cs="Times New Roman"/>
        </w:rPr>
        <w:t xml:space="preserve"> in</w:t>
      </w:r>
      <w:r w:rsidR="001C4493">
        <w:rPr>
          <w:rFonts w:cs="Times New Roman"/>
        </w:rPr>
        <w:t>:</w:t>
      </w:r>
      <w:r w:rsidRPr="00C106F2">
        <w:rPr>
          <w:rFonts w:cs="Times New Roman"/>
        </w:rPr>
        <w:t xml:space="preserve"> </w:t>
      </w:r>
      <w:r w:rsidRPr="00C106F2">
        <w:rPr>
          <w:rFonts w:cs="Times New Roman"/>
          <w:i/>
        </w:rPr>
        <w:t>Leibniz and His Correspondents</w:t>
      </w:r>
      <w:r>
        <w:rPr>
          <w:rFonts w:cs="Times New Roman"/>
        </w:rPr>
        <w:t>, ed. P</w:t>
      </w:r>
      <w:r w:rsidR="006270A8">
        <w:rPr>
          <w:rFonts w:cs="Times New Roman"/>
        </w:rPr>
        <w:t>.</w:t>
      </w:r>
      <w:r>
        <w:rPr>
          <w:rFonts w:cs="Times New Roman"/>
        </w:rPr>
        <w:t xml:space="preserve"> Lodge (Cambridge</w:t>
      </w:r>
      <w:r w:rsidRPr="00C106F2">
        <w:rPr>
          <w:rFonts w:cs="Times New Roman"/>
        </w:rPr>
        <w:t xml:space="preserve">, 2004), </w:t>
      </w:r>
      <w:r>
        <w:rPr>
          <w:rFonts w:cs="Times New Roman"/>
        </w:rPr>
        <w:t xml:space="preserve">pp. </w:t>
      </w:r>
      <w:r w:rsidRPr="00C106F2">
        <w:rPr>
          <w:rFonts w:cs="Times New Roman"/>
        </w:rPr>
        <w:t>274-</w:t>
      </w:r>
      <w:r>
        <w:rPr>
          <w:rFonts w:cs="Times New Roman"/>
        </w:rPr>
        <w:t>27</w:t>
      </w:r>
      <w:r w:rsidRPr="00C106F2">
        <w:rPr>
          <w:rFonts w:cs="Times New Roman"/>
        </w:rPr>
        <w:t xml:space="preserve">5. Following this line of thinking, it is possible that Leibniz’s many references to the </w:t>
      </w:r>
      <w:r w:rsidRPr="00C106F2">
        <w:rPr>
          <w:rFonts w:cs="Times New Roman"/>
          <w:i/>
        </w:rPr>
        <w:t>Theodicy</w:t>
      </w:r>
      <w:r w:rsidRPr="00C106F2">
        <w:rPr>
          <w:rFonts w:cs="Times New Roman"/>
        </w:rPr>
        <w:t xml:space="preserve"> in the letters to Clarke were aimed more at Caroline than they were at Clarke. </w:t>
      </w:r>
      <w:proofErr w:type="spellStart"/>
      <w:r w:rsidRPr="00C106F2">
        <w:rPr>
          <w:rFonts w:cs="Times New Roman"/>
        </w:rPr>
        <w:t>Domenico</w:t>
      </w:r>
      <w:proofErr w:type="spellEnd"/>
      <w:r w:rsidRPr="00C106F2">
        <w:rPr>
          <w:rFonts w:cs="Times New Roman"/>
        </w:rPr>
        <w:t xml:space="preserve"> </w:t>
      </w:r>
      <w:proofErr w:type="spellStart"/>
      <w:r w:rsidRPr="00C106F2">
        <w:rPr>
          <w:rFonts w:cs="Times New Roman"/>
        </w:rPr>
        <w:t>Bertolini</w:t>
      </w:r>
      <w:proofErr w:type="spellEnd"/>
      <w:r w:rsidRPr="00C106F2">
        <w:rPr>
          <w:rFonts w:cs="Times New Roman"/>
        </w:rPr>
        <w:t xml:space="preserve"> </w:t>
      </w:r>
      <w:proofErr w:type="spellStart"/>
      <w:r w:rsidRPr="00C106F2">
        <w:rPr>
          <w:rFonts w:cs="Times New Roman"/>
        </w:rPr>
        <w:t>Meli</w:t>
      </w:r>
      <w:proofErr w:type="spellEnd"/>
      <w:r w:rsidRPr="00C106F2">
        <w:rPr>
          <w:rFonts w:cs="Times New Roman"/>
        </w:rPr>
        <w:t xml:space="preserve"> seems to argue this way; see </w:t>
      </w:r>
      <w:r w:rsidR="006270A8" w:rsidRPr="00363F12">
        <w:rPr>
          <w:rFonts w:cs="Times New Roman"/>
        </w:rPr>
        <w:t>D. B</w:t>
      </w:r>
      <w:r w:rsidR="006270A8">
        <w:rPr>
          <w:rFonts w:cs="Times New Roman"/>
        </w:rPr>
        <w:t>.</w:t>
      </w:r>
      <w:r w:rsidR="006270A8" w:rsidRPr="00363F12">
        <w:rPr>
          <w:rFonts w:cs="Times New Roman"/>
        </w:rPr>
        <w:t xml:space="preserve"> </w:t>
      </w:r>
      <w:proofErr w:type="spellStart"/>
      <w:r w:rsidR="006270A8" w:rsidRPr="00363F12">
        <w:rPr>
          <w:rFonts w:cs="Times New Roman"/>
        </w:rPr>
        <w:t>Meli</w:t>
      </w:r>
      <w:proofErr w:type="spellEnd"/>
      <w:r w:rsidR="006270A8">
        <w:rPr>
          <w:rFonts w:cs="Times New Roman"/>
        </w:rPr>
        <w:t>: “Caroline, Leibniz, and Clarke</w:t>
      </w:r>
      <w:r w:rsidR="006270A8" w:rsidRPr="00363F12">
        <w:rPr>
          <w:rFonts w:cs="Times New Roman"/>
        </w:rPr>
        <w:t>”</w:t>
      </w:r>
      <w:r w:rsidR="006270A8">
        <w:rPr>
          <w:rFonts w:cs="Times New Roman"/>
        </w:rPr>
        <w:t>, in:</w:t>
      </w:r>
      <w:r w:rsidR="006270A8" w:rsidRPr="00363F12">
        <w:rPr>
          <w:rFonts w:cs="Times New Roman"/>
        </w:rPr>
        <w:t xml:space="preserve"> </w:t>
      </w:r>
      <w:r w:rsidR="006270A8" w:rsidRPr="00363F12">
        <w:rPr>
          <w:rFonts w:cs="Times New Roman"/>
          <w:i/>
        </w:rPr>
        <w:t>Journal of the History of Ideas</w:t>
      </w:r>
      <w:r w:rsidR="006270A8" w:rsidRPr="00363F12">
        <w:rPr>
          <w:rFonts w:cs="Times New Roman"/>
        </w:rPr>
        <w:t xml:space="preserve"> 60:3 (1999), </w:t>
      </w:r>
      <w:r>
        <w:rPr>
          <w:rFonts w:cs="Times New Roman"/>
        </w:rPr>
        <w:t xml:space="preserve">p. </w:t>
      </w:r>
      <w:r w:rsidRPr="00C106F2">
        <w:rPr>
          <w:rFonts w:cs="Times New Roman"/>
        </w:rPr>
        <w:t>481, and D</w:t>
      </w:r>
      <w:r w:rsidR="006270A8">
        <w:rPr>
          <w:rFonts w:cs="Times New Roman"/>
        </w:rPr>
        <w:t>.</w:t>
      </w:r>
      <w:r w:rsidRPr="00C106F2">
        <w:rPr>
          <w:rFonts w:cs="Times New Roman"/>
        </w:rPr>
        <w:t xml:space="preserve"> B</w:t>
      </w:r>
      <w:r w:rsidR="006270A8">
        <w:rPr>
          <w:rFonts w:cs="Times New Roman"/>
        </w:rPr>
        <w:t>.</w:t>
      </w:r>
      <w:r w:rsidRPr="00C106F2">
        <w:rPr>
          <w:rFonts w:cs="Times New Roman"/>
        </w:rPr>
        <w:t xml:space="preserve"> </w:t>
      </w:r>
      <w:proofErr w:type="spellStart"/>
      <w:r w:rsidRPr="00C106F2">
        <w:rPr>
          <w:rFonts w:cs="Times New Roman"/>
        </w:rPr>
        <w:t>Meli</w:t>
      </w:r>
      <w:proofErr w:type="spellEnd"/>
      <w:r w:rsidR="006270A8">
        <w:rPr>
          <w:rFonts w:cs="Times New Roman"/>
        </w:rPr>
        <w:t>:</w:t>
      </w:r>
      <w:r w:rsidRPr="00C106F2">
        <w:rPr>
          <w:rFonts w:cs="Times New Roman"/>
        </w:rPr>
        <w:t xml:space="preserve"> “Newton and the </w:t>
      </w:r>
      <w:r w:rsidR="006270A8">
        <w:rPr>
          <w:rFonts w:cs="Times New Roman"/>
        </w:rPr>
        <w:t>Leibniz-Clarke correspondence</w:t>
      </w:r>
      <w:r w:rsidRPr="00C106F2">
        <w:rPr>
          <w:rFonts w:cs="Times New Roman"/>
        </w:rPr>
        <w:t>”</w:t>
      </w:r>
      <w:r w:rsidR="006270A8">
        <w:rPr>
          <w:rFonts w:cs="Times New Roman"/>
        </w:rPr>
        <w:t>,</w:t>
      </w:r>
      <w:r w:rsidRPr="00C106F2">
        <w:rPr>
          <w:rFonts w:cs="Times New Roman"/>
        </w:rPr>
        <w:t xml:space="preserve"> in </w:t>
      </w:r>
      <w:r w:rsidRPr="00C106F2">
        <w:rPr>
          <w:rFonts w:cs="Times New Roman"/>
          <w:i/>
        </w:rPr>
        <w:t>The Cambridge Companion to Newton</w:t>
      </w:r>
      <w:r w:rsidRPr="00C106F2">
        <w:rPr>
          <w:rFonts w:cs="Times New Roman"/>
        </w:rPr>
        <w:t>, eds. I. B</w:t>
      </w:r>
      <w:r w:rsidR="006270A8">
        <w:rPr>
          <w:rFonts w:cs="Times New Roman"/>
        </w:rPr>
        <w:t>.</w:t>
      </w:r>
      <w:r w:rsidRPr="00C106F2">
        <w:rPr>
          <w:rFonts w:cs="Times New Roman"/>
        </w:rPr>
        <w:t xml:space="preserve"> Cohen and G</w:t>
      </w:r>
      <w:r w:rsidR="006270A8">
        <w:rPr>
          <w:rFonts w:cs="Times New Roman"/>
        </w:rPr>
        <w:t>.</w:t>
      </w:r>
      <w:r w:rsidRPr="00C106F2">
        <w:rPr>
          <w:rFonts w:cs="Times New Roman"/>
        </w:rPr>
        <w:t xml:space="preserve"> E. Smith</w:t>
      </w:r>
      <w:r w:rsidRPr="00C106F2">
        <w:rPr>
          <w:rFonts w:cs="Times New Roman"/>
          <w:i/>
        </w:rPr>
        <w:t xml:space="preserve"> </w:t>
      </w:r>
      <w:r>
        <w:rPr>
          <w:rFonts w:cs="Times New Roman"/>
        </w:rPr>
        <w:t>(Cambridge</w:t>
      </w:r>
      <w:r w:rsidRPr="00C106F2">
        <w:rPr>
          <w:rFonts w:cs="Times New Roman"/>
        </w:rPr>
        <w:t xml:space="preserve">, 2002), </w:t>
      </w:r>
      <w:r>
        <w:rPr>
          <w:rFonts w:cs="Times New Roman"/>
        </w:rPr>
        <w:t xml:space="preserve">p. </w:t>
      </w:r>
      <w:r w:rsidRPr="00C106F2">
        <w:rPr>
          <w:rFonts w:cs="Times New Roman"/>
        </w:rPr>
        <w:t>459.</w:t>
      </w:r>
    </w:p>
  </w:footnote>
  <w:footnote w:id="11">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Leibniz refers to the </w:t>
      </w:r>
      <w:r w:rsidRPr="00C106F2">
        <w:rPr>
          <w:rFonts w:cs="Times New Roman"/>
          <w:i/>
        </w:rPr>
        <w:t>Theodicy</w:t>
      </w:r>
      <w:r w:rsidRPr="00C106F2">
        <w:rPr>
          <w:rFonts w:cs="Times New Roman"/>
        </w:rPr>
        <w:t xml:space="preserve"> twice in his second letter to Clarke (G</w:t>
      </w:r>
      <w:r>
        <w:rPr>
          <w:rFonts w:cs="Times New Roman"/>
        </w:rPr>
        <w:t>P</w:t>
      </w:r>
      <w:r w:rsidRPr="00C106F2">
        <w:rPr>
          <w:rFonts w:cs="Times New Roman"/>
        </w:rPr>
        <w:t xml:space="preserve"> VII </w:t>
      </w:r>
      <w:proofErr w:type="gramStart"/>
      <w:r w:rsidRPr="00C106F2">
        <w:rPr>
          <w:rFonts w:cs="Times New Roman"/>
        </w:rPr>
        <w:t>355,</w:t>
      </w:r>
      <w:proofErr w:type="gramEnd"/>
      <w:r w:rsidRPr="00C106F2">
        <w:rPr>
          <w:rFonts w:cs="Times New Roman"/>
        </w:rPr>
        <w:t xml:space="preserve"> and 355-</w:t>
      </w:r>
      <w:r>
        <w:rPr>
          <w:rFonts w:cs="Times New Roman"/>
        </w:rPr>
        <w:t>35</w:t>
      </w:r>
      <w:r w:rsidRPr="00C106F2">
        <w:rPr>
          <w:rFonts w:cs="Times New Roman"/>
        </w:rPr>
        <w:t>6), once in his fourth letter (G</w:t>
      </w:r>
      <w:r>
        <w:rPr>
          <w:rFonts w:cs="Times New Roman"/>
        </w:rPr>
        <w:t>P</w:t>
      </w:r>
      <w:r w:rsidRPr="00C106F2">
        <w:rPr>
          <w:rFonts w:cs="Times New Roman"/>
        </w:rPr>
        <w:t xml:space="preserve"> VII 372) and six times in his fifth letter (G</w:t>
      </w:r>
      <w:r>
        <w:rPr>
          <w:rFonts w:cs="Times New Roman"/>
        </w:rPr>
        <w:t>P</w:t>
      </w:r>
      <w:r w:rsidRPr="00C106F2">
        <w:rPr>
          <w:rFonts w:cs="Times New Roman"/>
        </w:rPr>
        <w:t xml:space="preserve"> VII 389, 390, 407, 409, 412, and 414).</w:t>
      </w:r>
    </w:p>
  </w:footnote>
  <w:footnote w:id="12">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Clarke’s failure to mention the </w:t>
      </w:r>
      <w:r w:rsidRPr="00C106F2">
        <w:rPr>
          <w:rFonts w:cs="Times New Roman"/>
          <w:i/>
        </w:rPr>
        <w:t>Theodicy</w:t>
      </w:r>
      <w:r w:rsidRPr="00C106F2">
        <w:rPr>
          <w:rFonts w:cs="Times New Roman"/>
        </w:rPr>
        <w:t xml:space="preserve"> throughout the correspondence did not escape Leibniz’s attention; to one correspondent he complained that Clarke “has almost pretended to be unaware of my </w:t>
      </w:r>
      <w:r w:rsidRPr="00C106F2">
        <w:rPr>
          <w:rFonts w:cs="Times New Roman"/>
          <w:i/>
        </w:rPr>
        <w:t>Theodicy</w:t>
      </w:r>
      <w:r w:rsidRPr="00C106F2">
        <w:rPr>
          <w:rFonts w:cs="Times New Roman"/>
        </w:rPr>
        <w:t xml:space="preserve">.” </w:t>
      </w:r>
      <w:proofErr w:type="gramStart"/>
      <w:r w:rsidRPr="00C106F2">
        <w:rPr>
          <w:rFonts w:cs="Times New Roman"/>
        </w:rPr>
        <w:t xml:space="preserve">Leibniz to Nicole </w:t>
      </w:r>
      <w:proofErr w:type="spellStart"/>
      <w:r w:rsidRPr="00C106F2">
        <w:rPr>
          <w:rFonts w:cs="Times New Roman"/>
        </w:rPr>
        <w:t>Remond</w:t>
      </w:r>
      <w:proofErr w:type="spellEnd"/>
      <w:r w:rsidRPr="00C106F2">
        <w:rPr>
          <w:rFonts w:cs="Times New Roman"/>
        </w:rPr>
        <w:t>, 19 October 1716, G</w:t>
      </w:r>
      <w:r>
        <w:rPr>
          <w:rFonts w:cs="Times New Roman"/>
        </w:rPr>
        <w:t>P</w:t>
      </w:r>
      <w:r w:rsidRPr="00C106F2">
        <w:rPr>
          <w:rFonts w:cs="Times New Roman"/>
        </w:rPr>
        <w:t xml:space="preserve"> III 678.</w:t>
      </w:r>
      <w:proofErr w:type="gramEnd"/>
    </w:p>
  </w:footnote>
  <w:footnote w:id="13">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For example, in his first letter he refers to Leibniz’s description of God as a “supra-mundane intelligence” (G</w:t>
      </w:r>
      <w:r>
        <w:rPr>
          <w:rFonts w:cs="Times New Roman"/>
        </w:rPr>
        <w:t>P</w:t>
      </w:r>
      <w:r w:rsidRPr="00C106F2">
        <w:rPr>
          <w:rFonts w:cs="Times New Roman"/>
        </w:rPr>
        <w:t xml:space="preserve"> VII 354), which is to be found in </w:t>
      </w:r>
      <w:r w:rsidRPr="00C106F2">
        <w:rPr>
          <w:rFonts w:cs="Times New Roman"/>
          <w:i/>
        </w:rPr>
        <w:t>Theodicy</w:t>
      </w:r>
      <w:r w:rsidRPr="00C106F2">
        <w:rPr>
          <w:rFonts w:cs="Times New Roman"/>
        </w:rPr>
        <w:t xml:space="preserve"> §217 (G</w:t>
      </w:r>
      <w:r>
        <w:rPr>
          <w:rFonts w:cs="Times New Roman"/>
        </w:rPr>
        <w:t>P</w:t>
      </w:r>
      <w:r w:rsidRPr="00C106F2">
        <w:rPr>
          <w:rFonts w:cs="Times New Roman"/>
        </w:rPr>
        <w:t xml:space="preserve"> VI 248) but not in Leibniz’s first letter of the debate, to which Clarke is responding.</w:t>
      </w:r>
    </w:p>
  </w:footnote>
  <w:footnote w:id="14">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See Leibniz to J. W. </w:t>
      </w:r>
      <w:proofErr w:type="spellStart"/>
      <w:r w:rsidRPr="00C106F2">
        <w:rPr>
          <w:rFonts w:cs="Times New Roman"/>
        </w:rPr>
        <w:t>Schele</w:t>
      </w:r>
      <w:proofErr w:type="spellEnd"/>
      <w:r w:rsidRPr="00C106F2">
        <w:rPr>
          <w:rFonts w:cs="Times New Roman"/>
        </w:rPr>
        <w:t xml:space="preserve"> (after 21 October 1710), </w:t>
      </w:r>
      <w:proofErr w:type="spellStart"/>
      <w:r w:rsidRPr="00C106F2">
        <w:rPr>
          <w:rFonts w:cs="Times New Roman"/>
        </w:rPr>
        <w:t>durchgesehene</w:t>
      </w:r>
      <w:proofErr w:type="spellEnd"/>
      <w:r w:rsidRPr="00C106F2">
        <w:rPr>
          <w:rFonts w:cs="Times New Roman"/>
        </w:rPr>
        <w:t xml:space="preserve"> </w:t>
      </w:r>
      <w:proofErr w:type="spellStart"/>
      <w:r w:rsidRPr="00C106F2">
        <w:rPr>
          <w:rFonts w:cs="Times New Roman"/>
        </w:rPr>
        <w:t>Transkription</w:t>
      </w:r>
      <w:proofErr w:type="spellEnd"/>
      <w:r w:rsidRPr="00C106F2">
        <w:rPr>
          <w:rFonts w:cs="Times New Roman"/>
        </w:rPr>
        <w:t xml:space="preserve">, </w:t>
      </w:r>
      <w:proofErr w:type="spellStart"/>
      <w:r w:rsidRPr="00C106F2">
        <w:rPr>
          <w:rFonts w:cs="Times New Roman"/>
        </w:rPr>
        <w:t>Akademie-Ausgabe</w:t>
      </w:r>
      <w:proofErr w:type="spellEnd"/>
      <w:r w:rsidRPr="00C106F2">
        <w:rPr>
          <w:rFonts w:cs="Times New Roman"/>
        </w:rPr>
        <w:t xml:space="preserve"> Leibniz-Edition, Leibniz-</w:t>
      </w:r>
      <w:proofErr w:type="spellStart"/>
      <w:r w:rsidRPr="00C106F2">
        <w:rPr>
          <w:rFonts w:cs="Times New Roman"/>
        </w:rPr>
        <w:t>Archiv</w:t>
      </w:r>
      <w:proofErr w:type="spellEnd"/>
      <w:r w:rsidRPr="00C106F2">
        <w:rPr>
          <w:rFonts w:cs="Times New Roman"/>
        </w:rPr>
        <w:t xml:space="preserve"> / Leibniz-</w:t>
      </w:r>
      <w:proofErr w:type="spellStart"/>
      <w:r w:rsidRPr="00C106F2">
        <w:rPr>
          <w:rFonts w:cs="Times New Roman"/>
        </w:rPr>
        <w:t>Forschungsstelle</w:t>
      </w:r>
      <w:proofErr w:type="spellEnd"/>
      <w:r w:rsidRPr="00C106F2">
        <w:rPr>
          <w:rFonts w:cs="Times New Roman"/>
        </w:rPr>
        <w:t xml:space="preserve"> Hannover (</w:t>
      </w:r>
      <w:proofErr w:type="spellStart"/>
      <w:r w:rsidRPr="00C106F2">
        <w:rPr>
          <w:rFonts w:cs="Times New Roman"/>
        </w:rPr>
        <w:t>Änderungen</w:t>
      </w:r>
      <w:proofErr w:type="spellEnd"/>
      <w:r w:rsidRPr="00C106F2">
        <w:rPr>
          <w:rFonts w:cs="Times New Roman"/>
        </w:rPr>
        <w:t xml:space="preserve"> </w:t>
      </w:r>
      <w:proofErr w:type="spellStart"/>
      <w:proofErr w:type="gramStart"/>
      <w:r w:rsidRPr="00C106F2">
        <w:rPr>
          <w:rFonts w:cs="Times New Roman"/>
        </w:rPr>
        <w:t>bis</w:t>
      </w:r>
      <w:proofErr w:type="spellEnd"/>
      <w:proofErr w:type="gramEnd"/>
      <w:r w:rsidRPr="00C106F2">
        <w:rPr>
          <w:rFonts w:cs="Times New Roman"/>
        </w:rPr>
        <w:t xml:space="preserve"> </w:t>
      </w:r>
      <w:proofErr w:type="spellStart"/>
      <w:r w:rsidRPr="00C106F2">
        <w:rPr>
          <w:rFonts w:cs="Times New Roman"/>
        </w:rPr>
        <w:t>zur</w:t>
      </w:r>
      <w:proofErr w:type="spellEnd"/>
      <w:r w:rsidRPr="00C106F2">
        <w:rPr>
          <w:rFonts w:cs="Times New Roman"/>
        </w:rPr>
        <w:t xml:space="preserve"> </w:t>
      </w:r>
      <w:proofErr w:type="spellStart"/>
      <w:r w:rsidRPr="00C106F2">
        <w:rPr>
          <w:rFonts w:cs="Times New Roman"/>
        </w:rPr>
        <w:t>endgültigen</w:t>
      </w:r>
      <w:proofErr w:type="spellEnd"/>
      <w:r w:rsidRPr="00C106F2">
        <w:rPr>
          <w:rFonts w:cs="Times New Roman"/>
        </w:rPr>
        <w:t xml:space="preserve"> Edition </w:t>
      </w:r>
      <w:proofErr w:type="spellStart"/>
      <w:r w:rsidRPr="00C106F2">
        <w:rPr>
          <w:rFonts w:cs="Times New Roman"/>
        </w:rPr>
        <w:t>möglich</w:t>
      </w:r>
      <w:proofErr w:type="spellEnd"/>
      <w:r w:rsidRPr="00C106F2">
        <w:rPr>
          <w:rFonts w:cs="Times New Roman"/>
        </w:rPr>
        <w:t xml:space="preserve">), no. 258, p. 287, </w:t>
      </w:r>
      <w:hyperlink r:id="rId2" w:history="1">
        <w:r w:rsidRPr="00C106F2">
          <w:rPr>
            <w:rStyle w:val="Hyperlink"/>
            <w:rFonts w:cs="Times New Roman"/>
          </w:rPr>
          <w:t>http://www.gwlb.de/Leibniz/Leibnizarchiv/Veroeffentlichungen/Transkriptionen1710.pdf</w:t>
        </w:r>
      </w:hyperlink>
      <w:r w:rsidRPr="00C106F2">
        <w:rPr>
          <w:rFonts w:cs="Times New Roman"/>
        </w:rPr>
        <w:t xml:space="preserve"> (accessed </w:t>
      </w:r>
      <w:r w:rsidR="006270A8">
        <w:rPr>
          <w:rFonts w:cs="Times New Roman"/>
        </w:rPr>
        <w:t>25 October</w:t>
      </w:r>
      <w:r w:rsidRPr="00C106F2">
        <w:rPr>
          <w:rFonts w:cs="Times New Roman"/>
        </w:rPr>
        <w:t xml:space="preserve"> 2014).</w:t>
      </w:r>
    </w:p>
  </w:footnote>
  <w:footnote w:id="15">
    <w:p w:rsidR="0077041C" w:rsidRPr="00C106F2" w:rsidRDefault="0077041C" w:rsidP="00594E81">
      <w:pPr>
        <w:pStyle w:val="FootnoteText"/>
        <w:spacing w:line="480" w:lineRule="auto"/>
      </w:pPr>
      <w:r w:rsidRPr="00C106F2">
        <w:rPr>
          <w:rStyle w:val="FootnoteReference"/>
          <w:vertAlign w:val="baseline"/>
        </w:rPr>
        <w:footnoteRef/>
      </w:r>
      <w:r w:rsidRPr="00C106F2">
        <w:t xml:space="preserve"> </w:t>
      </w:r>
      <w:proofErr w:type="gramStart"/>
      <w:r w:rsidRPr="00C106F2">
        <w:t xml:space="preserve">Editors of the </w:t>
      </w:r>
      <w:r w:rsidRPr="00C106F2">
        <w:rPr>
          <w:rFonts w:cs="Times New Roman"/>
          <w:i/>
        </w:rPr>
        <w:t xml:space="preserve">Journal des </w:t>
      </w:r>
      <w:proofErr w:type="spellStart"/>
      <w:r w:rsidRPr="00C106F2">
        <w:rPr>
          <w:rFonts w:cs="Times New Roman"/>
          <w:i/>
        </w:rPr>
        <w:t>Sçavans</w:t>
      </w:r>
      <w:proofErr w:type="spellEnd"/>
      <w:r w:rsidRPr="00C106F2">
        <w:rPr>
          <w:rFonts w:cs="Times New Roman"/>
        </w:rPr>
        <w:t xml:space="preserve"> and </w:t>
      </w:r>
      <w:proofErr w:type="spellStart"/>
      <w:r w:rsidRPr="00C106F2">
        <w:rPr>
          <w:rStyle w:val="HTMLVariable"/>
        </w:rPr>
        <w:t>l’Histoire</w:t>
      </w:r>
      <w:proofErr w:type="spellEnd"/>
      <w:r w:rsidRPr="00C106F2">
        <w:rPr>
          <w:rStyle w:val="HTMLVariable"/>
        </w:rPr>
        <w:t xml:space="preserve"> de </w:t>
      </w:r>
      <w:proofErr w:type="spellStart"/>
      <w:r w:rsidRPr="00C106F2">
        <w:rPr>
          <w:rStyle w:val="HTMLVariable"/>
        </w:rPr>
        <w:t>l'Académie</w:t>
      </w:r>
      <w:proofErr w:type="spellEnd"/>
      <w:r w:rsidRPr="00C106F2">
        <w:rPr>
          <w:rStyle w:val="HTMLVariable"/>
        </w:rPr>
        <w:t xml:space="preserve"> des Sciences de Paris</w:t>
      </w:r>
      <w:r w:rsidRPr="00C106F2">
        <w:rPr>
          <w:rStyle w:val="HTMLVariable"/>
          <w:i w:val="0"/>
        </w:rPr>
        <w:t xml:space="preserve"> respectively.</w:t>
      </w:r>
      <w:proofErr w:type="gramEnd"/>
    </w:p>
  </w:footnote>
  <w:footnote w:id="16">
    <w:p w:rsidR="0077041C" w:rsidRPr="00C106F2" w:rsidRDefault="0077041C" w:rsidP="00594E81">
      <w:pPr>
        <w:pStyle w:val="FootnoteText"/>
        <w:spacing w:line="480" w:lineRule="auto"/>
      </w:pPr>
      <w:r w:rsidRPr="00C106F2">
        <w:rPr>
          <w:rStyle w:val="FootnoteReference"/>
          <w:vertAlign w:val="baseline"/>
        </w:rPr>
        <w:footnoteRef/>
      </w:r>
      <w:r w:rsidRPr="00C106F2">
        <w:t xml:space="preserve"> </w:t>
      </w:r>
      <w:r w:rsidRPr="00C106F2">
        <w:rPr>
          <w:rFonts w:cs="Times New Roman"/>
        </w:rPr>
        <w:t xml:space="preserve">See Leibniz to C. R. </w:t>
      </w:r>
      <w:proofErr w:type="spellStart"/>
      <w:r w:rsidRPr="00C106F2">
        <w:rPr>
          <w:rFonts w:cs="Times New Roman"/>
        </w:rPr>
        <w:t>Hasperg</w:t>
      </w:r>
      <w:proofErr w:type="spellEnd"/>
      <w:r w:rsidRPr="00C106F2">
        <w:rPr>
          <w:rFonts w:cs="Times New Roman"/>
        </w:rPr>
        <w:t xml:space="preserve"> September 1711, </w:t>
      </w:r>
      <w:proofErr w:type="spellStart"/>
      <w:r w:rsidRPr="00C106F2">
        <w:rPr>
          <w:rFonts w:cs="Times New Roman"/>
        </w:rPr>
        <w:t>durchgesehene</w:t>
      </w:r>
      <w:proofErr w:type="spellEnd"/>
      <w:r w:rsidRPr="00C106F2">
        <w:rPr>
          <w:rFonts w:cs="Times New Roman"/>
        </w:rPr>
        <w:t xml:space="preserve"> </w:t>
      </w:r>
      <w:proofErr w:type="spellStart"/>
      <w:r w:rsidRPr="00C106F2">
        <w:rPr>
          <w:rFonts w:cs="Times New Roman"/>
        </w:rPr>
        <w:t>Transkription</w:t>
      </w:r>
      <w:proofErr w:type="spellEnd"/>
      <w:r w:rsidRPr="00C106F2">
        <w:rPr>
          <w:rFonts w:cs="Times New Roman"/>
        </w:rPr>
        <w:t xml:space="preserve">, </w:t>
      </w:r>
      <w:proofErr w:type="spellStart"/>
      <w:r w:rsidRPr="00C106F2">
        <w:rPr>
          <w:rFonts w:cs="Times New Roman"/>
        </w:rPr>
        <w:t>Akademie-Ausgabe</w:t>
      </w:r>
      <w:proofErr w:type="spellEnd"/>
      <w:r w:rsidRPr="00C106F2">
        <w:rPr>
          <w:rFonts w:cs="Times New Roman"/>
        </w:rPr>
        <w:t xml:space="preserve"> Leibniz-Edition, Leibniz-</w:t>
      </w:r>
      <w:proofErr w:type="spellStart"/>
      <w:r w:rsidRPr="00C106F2">
        <w:rPr>
          <w:rFonts w:cs="Times New Roman"/>
        </w:rPr>
        <w:t>Archiv</w:t>
      </w:r>
      <w:proofErr w:type="spellEnd"/>
      <w:r w:rsidRPr="00C106F2">
        <w:rPr>
          <w:rFonts w:cs="Times New Roman"/>
        </w:rPr>
        <w:t xml:space="preserve"> / Leibniz-</w:t>
      </w:r>
      <w:proofErr w:type="spellStart"/>
      <w:r w:rsidRPr="00C106F2">
        <w:rPr>
          <w:rFonts w:cs="Times New Roman"/>
        </w:rPr>
        <w:t>Forschungsstelle</w:t>
      </w:r>
      <w:proofErr w:type="spellEnd"/>
      <w:r w:rsidRPr="00C106F2">
        <w:rPr>
          <w:rFonts w:cs="Times New Roman"/>
        </w:rPr>
        <w:t xml:space="preserve"> Hannover (</w:t>
      </w:r>
      <w:proofErr w:type="spellStart"/>
      <w:r w:rsidRPr="00C106F2">
        <w:rPr>
          <w:rFonts w:cs="Times New Roman"/>
        </w:rPr>
        <w:t>Änderungen</w:t>
      </w:r>
      <w:proofErr w:type="spellEnd"/>
      <w:r w:rsidRPr="00C106F2">
        <w:rPr>
          <w:rFonts w:cs="Times New Roman"/>
        </w:rPr>
        <w:t xml:space="preserve"> </w:t>
      </w:r>
      <w:proofErr w:type="spellStart"/>
      <w:proofErr w:type="gramStart"/>
      <w:r w:rsidRPr="00C106F2">
        <w:rPr>
          <w:rFonts w:cs="Times New Roman"/>
        </w:rPr>
        <w:t>bis</w:t>
      </w:r>
      <w:proofErr w:type="spellEnd"/>
      <w:proofErr w:type="gramEnd"/>
      <w:r w:rsidRPr="00C106F2">
        <w:rPr>
          <w:rFonts w:cs="Times New Roman"/>
        </w:rPr>
        <w:t xml:space="preserve"> </w:t>
      </w:r>
      <w:proofErr w:type="spellStart"/>
      <w:r w:rsidRPr="00C106F2">
        <w:rPr>
          <w:rFonts w:cs="Times New Roman"/>
        </w:rPr>
        <w:t>zur</w:t>
      </w:r>
      <w:proofErr w:type="spellEnd"/>
      <w:r w:rsidRPr="00C106F2">
        <w:rPr>
          <w:rFonts w:cs="Times New Roman"/>
        </w:rPr>
        <w:t xml:space="preserve"> </w:t>
      </w:r>
      <w:proofErr w:type="spellStart"/>
      <w:r w:rsidRPr="00C106F2">
        <w:rPr>
          <w:rFonts w:cs="Times New Roman"/>
        </w:rPr>
        <w:t>endgültigen</w:t>
      </w:r>
      <w:proofErr w:type="spellEnd"/>
      <w:r w:rsidRPr="00C106F2">
        <w:rPr>
          <w:rFonts w:cs="Times New Roman"/>
        </w:rPr>
        <w:t xml:space="preserve"> Edition </w:t>
      </w:r>
      <w:proofErr w:type="spellStart"/>
      <w:r w:rsidRPr="00C106F2">
        <w:rPr>
          <w:rFonts w:cs="Times New Roman"/>
        </w:rPr>
        <w:t>möglich</w:t>
      </w:r>
      <w:proofErr w:type="spellEnd"/>
      <w:r w:rsidRPr="00C106F2">
        <w:rPr>
          <w:rFonts w:cs="Times New Roman"/>
        </w:rPr>
        <w:t xml:space="preserve">), no. 217, p. 269, </w:t>
      </w:r>
      <w:hyperlink r:id="rId3" w:history="1">
        <w:r w:rsidRPr="00C106F2">
          <w:rPr>
            <w:rStyle w:val="Hyperlink"/>
            <w:rFonts w:cs="Times New Roman"/>
          </w:rPr>
          <w:t>http://www.gwlb.de/Leibniz/Leibnizarchiv/Veroeffentlichungen/Transkriptionen1711.pdf</w:t>
        </w:r>
      </w:hyperlink>
      <w:r w:rsidRPr="00C106F2">
        <w:rPr>
          <w:rFonts w:cs="Times New Roman"/>
        </w:rPr>
        <w:t xml:space="preserve"> (accessed 2</w:t>
      </w:r>
      <w:r w:rsidR="006270A8">
        <w:rPr>
          <w:rFonts w:cs="Times New Roman"/>
        </w:rPr>
        <w:t>5 October</w:t>
      </w:r>
      <w:r w:rsidRPr="00C106F2">
        <w:rPr>
          <w:rFonts w:cs="Times New Roman"/>
        </w:rPr>
        <w:t xml:space="preserve"> 2014).</w:t>
      </w:r>
    </w:p>
  </w:footnote>
  <w:footnote w:id="17">
    <w:p w:rsidR="0077041C" w:rsidRPr="00C106F2" w:rsidRDefault="0077041C" w:rsidP="00594E81">
      <w:pPr>
        <w:pStyle w:val="FootnoteText"/>
        <w:spacing w:line="480" w:lineRule="auto"/>
      </w:pPr>
      <w:r w:rsidRPr="00C106F2">
        <w:rPr>
          <w:rStyle w:val="FootnoteReference"/>
          <w:vertAlign w:val="baseline"/>
        </w:rPr>
        <w:footnoteRef/>
      </w:r>
      <w:r w:rsidRPr="00C106F2">
        <w:t xml:space="preserve"> </w:t>
      </w:r>
      <w:r w:rsidRPr="00C106F2">
        <w:rPr>
          <w:rFonts w:cs="Times New Roman"/>
        </w:rPr>
        <w:t xml:space="preserve">See Leibniz to Isaac </w:t>
      </w:r>
      <w:proofErr w:type="spellStart"/>
      <w:r w:rsidRPr="00C106F2">
        <w:rPr>
          <w:rFonts w:cs="Times New Roman"/>
        </w:rPr>
        <w:t>Troyel</w:t>
      </w:r>
      <w:proofErr w:type="spellEnd"/>
      <w:r w:rsidRPr="00C106F2">
        <w:rPr>
          <w:rFonts w:cs="Times New Roman"/>
        </w:rPr>
        <w:t xml:space="preserve">, 12 December 1710, </w:t>
      </w:r>
      <w:proofErr w:type="spellStart"/>
      <w:r w:rsidRPr="00C106F2">
        <w:rPr>
          <w:rFonts w:cs="Times New Roman"/>
        </w:rPr>
        <w:t>durchgesehene</w:t>
      </w:r>
      <w:proofErr w:type="spellEnd"/>
      <w:r w:rsidRPr="00C106F2">
        <w:rPr>
          <w:rFonts w:cs="Times New Roman"/>
        </w:rPr>
        <w:t xml:space="preserve"> </w:t>
      </w:r>
      <w:proofErr w:type="spellStart"/>
      <w:r w:rsidRPr="00C106F2">
        <w:rPr>
          <w:rFonts w:cs="Times New Roman"/>
        </w:rPr>
        <w:t>Transkription</w:t>
      </w:r>
      <w:proofErr w:type="spellEnd"/>
      <w:r w:rsidRPr="00C106F2">
        <w:rPr>
          <w:rFonts w:cs="Times New Roman"/>
        </w:rPr>
        <w:t xml:space="preserve">, </w:t>
      </w:r>
      <w:proofErr w:type="spellStart"/>
      <w:r w:rsidRPr="00C106F2">
        <w:rPr>
          <w:rFonts w:cs="Times New Roman"/>
        </w:rPr>
        <w:t>Akademie-Ausgabe</w:t>
      </w:r>
      <w:proofErr w:type="spellEnd"/>
      <w:r w:rsidRPr="00C106F2">
        <w:rPr>
          <w:rFonts w:cs="Times New Roman"/>
        </w:rPr>
        <w:t xml:space="preserve"> Leibniz-Edition, Leibniz-</w:t>
      </w:r>
      <w:proofErr w:type="spellStart"/>
      <w:r w:rsidRPr="00C106F2">
        <w:rPr>
          <w:rFonts w:cs="Times New Roman"/>
        </w:rPr>
        <w:t>Archiv</w:t>
      </w:r>
      <w:proofErr w:type="spellEnd"/>
      <w:r w:rsidRPr="00C106F2">
        <w:rPr>
          <w:rFonts w:cs="Times New Roman"/>
        </w:rPr>
        <w:t xml:space="preserve"> / Leibniz-</w:t>
      </w:r>
      <w:proofErr w:type="spellStart"/>
      <w:r w:rsidRPr="00C106F2">
        <w:rPr>
          <w:rFonts w:cs="Times New Roman"/>
        </w:rPr>
        <w:t>Forschungsstelle</w:t>
      </w:r>
      <w:proofErr w:type="spellEnd"/>
      <w:r w:rsidRPr="00C106F2">
        <w:rPr>
          <w:rFonts w:cs="Times New Roman"/>
        </w:rPr>
        <w:t xml:space="preserve"> Hannover (</w:t>
      </w:r>
      <w:proofErr w:type="spellStart"/>
      <w:r w:rsidRPr="00C106F2">
        <w:rPr>
          <w:rFonts w:cs="Times New Roman"/>
        </w:rPr>
        <w:t>Änderungen</w:t>
      </w:r>
      <w:proofErr w:type="spellEnd"/>
      <w:r w:rsidRPr="00C106F2">
        <w:rPr>
          <w:rFonts w:cs="Times New Roman"/>
        </w:rPr>
        <w:t xml:space="preserve"> </w:t>
      </w:r>
      <w:proofErr w:type="spellStart"/>
      <w:proofErr w:type="gramStart"/>
      <w:r w:rsidRPr="00C106F2">
        <w:rPr>
          <w:rFonts w:cs="Times New Roman"/>
        </w:rPr>
        <w:t>bis</w:t>
      </w:r>
      <w:proofErr w:type="spellEnd"/>
      <w:proofErr w:type="gramEnd"/>
      <w:r w:rsidRPr="00C106F2">
        <w:rPr>
          <w:rFonts w:cs="Times New Roman"/>
        </w:rPr>
        <w:t xml:space="preserve"> </w:t>
      </w:r>
      <w:proofErr w:type="spellStart"/>
      <w:r w:rsidRPr="00C106F2">
        <w:rPr>
          <w:rFonts w:cs="Times New Roman"/>
        </w:rPr>
        <w:t>zur</w:t>
      </w:r>
      <w:proofErr w:type="spellEnd"/>
      <w:r w:rsidRPr="00C106F2">
        <w:rPr>
          <w:rFonts w:cs="Times New Roman"/>
        </w:rPr>
        <w:t xml:space="preserve"> </w:t>
      </w:r>
      <w:proofErr w:type="spellStart"/>
      <w:r w:rsidRPr="00C106F2">
        <w:rPr>
          <w:rFonts w:cs="Times New Roman"/>
        </w:rPr>
        <w:t>endgültigen</w:t>
      </w:r>
      <w:proofErr w:type="spellEnd"/>
      <w:r w:rsidRPr="00C106F2">
        <w:rPr>
          <w:rFonts w:cs="Times New Roman"/>
        </w:rPr>
        <w:t xml:space="preserve"> Edition </w:t>
      </w:r>
      <w:proofErr w:type="spellStart"/>
      <w:r w:rsidRPr="00C106F2">
        <w:rPr>
          <w:rFonts w:cs="Times New Roman"/>
        </w:rPr>
        <w:t>möglich</w:t>
      </w:r>
      <w:proofErr w:type="spellEnd"/>
      <w:r w:rsidRPr="00C106F2">
        <w:rPr>
          <w:rFonts w:cs="Times New Roman"/>
        </w:rPr>
        <w:t xml:space="preserve">), no. 309, p. 357, </w:t>
      </w:r>
      <w:hyperlink r:id="rId4" w:history="1">
        <w:r w:rsidRPr="00C106F2">
          <w:rPr>
            <w:rStyle w:val="Hyperlink"/>
            <w:rFonts w:cs="Times New Roman"/>
          </w:rPr>
          <w:t>http://www.gwlb.de/Leibniz/Leibnizarchiv/Veroeffentlichungen/Transkriptionen1710.pdf</w:t>
        </w:r>
      </w:hyperlink>
      <w:r w:rsidRPr="00C106F2">
        <w:rPr>
          <w:rFonts w:cs="Times New Roman"/>
        </w:rPr>
        <w:t xml:space="preserve"> (accessed </w:t>
      </w:r>
      <w:r w:rsidR="006270A8">
        <w:rPr>
          <w:rFonts w:cs="Times New Roman"/>
        </w:rPr>
        <w:t>25 October</w:t>
      </w:r>
      <w:r w:rsidRPr="00C106F2">
        <w:rPr>
          <w:rFonts w:cs="Times New Roman"/>
        </w:rPr>
        <w:t xml:space="preserve"> 2014).</w:t>
      </w:r>
    </w:p>
  </w:footnote>
  <w:footnote w:id="18">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Leibniz to Burnett, 18 October 1712, </w:t>
      </w:r>
      <w:proofErr w:type="spellStart"/>
      <w:r w:rsidRPr="00C106F2">
        <w:rPr>
          <w:rFonts w:cs="Times New Roman"/>
        </w:rPr>
        <w:t>Dutens</w:t>
      </w:r>
      <w:proofErr w:type="spellEnd"/>
      <w:r w:rsidRPr="00C106F2">
        <w:rPr>
          <w:rFonts w:cs="Times New Roman"/>
        </w:rPr>
        <w:t xml:space="preserve"> VI</w:t>
      </w:r>
      <w:proofErr w:type="gramStart"/>
      <w:r w:rsidRPr="00C106F2">
        <w:rPr>
          <w:rFonts w:cs="Times New Roman"/>
        </w:rPr>
        <w:t>:1</w:t>
      </w:r>
      <w:proofErr w:type="gramEnd"/>
      <w:r w:rsidRPr="00C106F2">
        <w:rPr>
          <w:rFonts w:cs="Times New Roman"/>
        </w:rPr>
        <w:t>, 287/G</w:t>
      </w:r>
      <w:r>
        <w:rPr>
          <w:rFonts w:cs="Times New Roman"/>
        </w:rPr>
        <w:t>P</w:t>
      </w:r>
      <w:r w:rsidRPr="00C106F2">
        <w:rPr>
          <w:rFonts w:cs="Times New Roman"/>
        </w:rPr>
        <w:t xml:space="preserve"> III 324. About a year later Leibniz informed Burnett that “The Archbishop of York has very much approved my book also,” though it is unclear whether Sharp’s approval now extended to the </w:t>
      </w:r>
      <w:r w:rsidRPr="00C106F2">
        <w:rPr>
          <w:rFonts w:cs="Times New Roman"/>
          <w:i/>
        </w:rPr>
        <w:t>Theodicy</w:t>
      </w:r>
      <w:r w:rsidRPr="00C106F2">
        <w:rPr>
          <w:rFonts w:cs="Times New Roman"/>
        </w:rPr>
        <w:t xml:space="preserve"> as a whole (as Leibniz appears to suggest), or was still confined to the </w:t>
      </w:r>
      <w:r w:rsidRPr="00C106F2">
        <w:rPr>
          <w:rFonts w:cs="Times New Roman"/>
          <w:i/>
        </w:rPr>
        <w:t>Causa Dei</w:t>
      </w:r>
      <w:r w:rsidRPr="00C106F2">
        <w:rPr>
          <w:rFonts w:cs="Times New Roman"/>
        </w:rPr>
        <w:t xml:space="preserve">. Leibniz to Burnett, 23 August 1713, </w:t>
      </w:r>
      <w:proofErr w:type="spellStart"/>
      <w:r w:rsidRPr="00C106F2">
        <w:rPr>
          <w:rFonts w:cs="Times New Roman"/>
        </w:rPr>
        <w:t>Dutens</w:t>
      </w:r>
      <w:proofErr w:type="spellEnd"/>
      <w:r w:rsidRPr="00C106F2">
        <w:rPr>
          <w:rFonts w:cs="Times New Roman"/>
        </w:rPr>
        <w:t xml:space="preserve"> VI</w:t>
      </w:r>
      <w:proofErr w:type="gramStart"/>
      <w:r w:rsidRPr="00C106F2">
        <w:rPr>
          <w:rFonts w:cs="Times New Roman"/>
        </w:rPr>
        <w:t>:1</w:t>
      </w:r>
      <w:proofErr w:type="gramEnd"/>
      <w:r w:rsidRPr="00C106F2">
        <w:rPr>
          <w:rFonts w:cs="Times New Roman"/>
        </w:rPr>
        <w:t>, 291/G</w:t>
      </w:r>
      <w:r>
        <w:rPr>
          <w:rFonts w:cs="Times New Roman"/>
        </w:rPr>
        <w:t>P</w:t>
      </w:r>
      <w:r w:rsidRPr="00C106F2">
        <w:rPr>
          <w:rFonts w:cs="Times New Roman"/>
        </w:rPr>
        <w:t xml:space="preserve"> III 329.</w:t>
      </w:r>
    </w:p>
  </w:footnote>
  <w:footnote w:id="19">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By her own admission; see for example Caroline to Leibniz, 30 December 1715/10 January 1716, </w:t>
      </w:r>
      <w:proofErr w:type="spellStart"/>
      <w:r w:rsidRPr="00C106F2">
        <w:rPr>
          <w:rFonts w:cs="Times New Roman"/>
        </w:rPr>
        <w:t>Klopp</w:t>
      </w:r>
      <w:proofErr w:type="spellEnd"/>
      <w:r w:rsidRPr="00C106F2">
        <w:rPr>
          <w:rFonts w:cs="Times New Roman"/>
        </w:rPr>
        <w:t xml:space="preserve"> </w:t>
      </w:r>
      <w:r>
        <w:rPr>
          <w:rFonts w:cs="Times New Roman"/>
        </w:rPr>
        <w:t xml:space="preserve">XI, </w:t>
      </w:r>
      <w:r w:rsidRPr="00C106F2">
        <w:rPr>
          <w:rFonts w:cs="Times New Roman"/>
        </w:rPr>
        <w:t>72.</w:t>
      </w:r>
    </w:p>
  </w:footnote>
  <w:footnote w:id="20">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See for example Leibniz to Count </w:t>
      </w:r>
      <w:proofErr w:type="spellStart"/>
      <w:r w:rsidRPr="00C106F2">
        <w:rPr>
          <w:rFonts w:cs="Times New Roman"/>
        </w:rPr>
        <w:t>Bonneval</w:t>
      </w:r>
      <w:proofErr w:type="spellEnd"/>
      <w:r w:rsidRPr="00C106F2">
        <w:rPr>
          <w:rFonts w:cs="Times New Roman"/>
        </w:rPr>
        <w:t xml:space="preserve">, 21 September 1714, </w:t>
      </w:r>
      <w:proofErr w:type="spellStart"/>
      <w:r>
        <w:rPr>
          <w:rFonts w:cs="Times New Roman"/>
        </w:rPr>
        <w:t>Klopp</w:t>
      </w:r>
      <w:proofErr w:type="spellEnd"/>
      <w:r>
        <w:rPr>
          <w:rFonts w:cs="Times New Roman"/>
        </w:rPr>
        <w:t xml:space="preserve"> XI</w:t>
      </w:r>
      <w:r w:rsidRPr="00C106F2">
        <w:rPr>
          <w:rFonts w:cs="Times New Roman"/>
        </w:rPr>
        <w:t>, 14-15. For further examples, see note 6</w:t>
      </w:r>
      <w:r w:rsidR="004F2841">
        <w:rPr>
          <w:rFonts w:cs="Times New Roman"/>
        </w:rPr>
        <w:t>7</w:t>
      </w:r>
      <w:r w:rsidRPr="00C106F2">
        <w:rPr>
          <w:rFonts w:cs="Times New Roman"/>
        </w:rPr>
        <w:t>.</w:t>
      </w:r>
    </w:p>
  </w:footnote>
  <w:footnote w:id="21">
    <w:p w:rsidR="0077041C" w:rsidRPr="00C106F2" w:rsidRDefault="0077041C" w:rsidP="00594E81">
      <w:pPr>
        <w:spacing w:line="480" w:lineRule="auto"/>
        <w:rPr>
          <w:rFonts w:cs="Times New Roman"/>
          <w:sz w:val="20"/>
          <w:szCs w:val="20"/>
        </w:rPr>
      </w:pPr>
      <w:r w:rsidRPr="00C106F2">
        <w:rPr>
          <w:rStyle w:val="FootnoteReference"/>
          <w:rFonts w:cs="Times New Roman"/>
          <w:sz w:val="20"/>
          <w:szCs w:val="20"/>
          <w:vertAlign w:val="baseline"/>
        </w:rPr>
        <w:footnoteRef/>
      </w:r>
      <w:r w:rsidRPr="00C106F2">
        <w:rPr>
          <w:rFonts w:cs="Times New Roman"/>
          <w:sz w:val="20"/>
          <w:szCs w:val="20"/>
        </w:rPr>
        <w:t xml:space="preserve"> Leibniz to Caroline, 29 March 1715, </w:t>
      </w:r>
      <w:proofErr w:type="spellStart"/>
      <w:r>
        <w:rPr>
          <w:rFonts w:cs="Times New Roman"/>
          <w:sz w:val="20"/>
          <w:szCs w:val="20"/>
        </w:rPr>
        <w:t>Klopp</w:t>
      </w:r>
      <w:proofErr w:type="spellEnd"/>
      <w:r>
        <w:rPr>
          <w:rFonts w:cs="Times New Roman"/>
          <w:sz w:val="20"/>
          <w:szCs w:val="20"/>
        </w:rPr>
        <w:t xml:space="preserve"> XI</w:t>
      </w:r>
      <w:r w:rsidRPr="00C106F2">
        <w:rPr>
          <w:rFonts w:cs="Times New Roman"/>
          <w:sz w:val="20"/>
          <w:szCs w:val="20"/>
        </w:rPr>
        <w:t>, 36.</w:t>
      </w:r>
    </w:p>
  </w:footnote>
  <w:footnote w:id="22">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w:t>
      </w:r>
      <w:proofErr w:type="gramStart"/>
      <w:r w:rsidRPr="00C106F2">
        <w:rPr>
          <w:rFonts w:cs="Times New Roman"/>
        </w:rPr>
        <w:t xml:space="preserve">Caroline to Leibniz, 3/14 November 1715, </w:t>
      </w:r>
      <w:proofErr w:type="spellStart"/>
      <w:r>
        <w:rPr>
          <w:rFonts w:cs="Times New Roman"/>
        </w:rPr>
        <w:t>Klopp</w:t>
      </w:r>
      <w:proofErr w:type="spellEnd"/>
      <w:r>
        <w:rPr>
          <w:rFonts w:cs="Times New Roman"/>
        </w:rPr>
        <w:t xml:space="preserve"> XI</w:t>
      </w:r>
      <w:r w:rsidRPr="00C106F2">
        <w:rPr>
          <w:rFonts w:cs="Times New Roman"/>
        </w:rPr>
        <w:t>, 50.</w:t>
      </w:r>
      <w:proofErr w:type="gramEnd"/>
    </w:p>
  </w:footnote>
  <w:footnote w:id="23">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And of course, despite Leibniz’s wishes, and Caroline’s efforts, an English translation of the </w:t>
      </w:r>
      <w:r w:rsidRPr="00C106F2">
        <w:rPr>
          <w:rFonts w:cs="Times New Roman"/>
          <w:i/>
        </w:rPr>
        <w:t>Theodicy</w:t>
      </w:r>
      <w:r w:rsidRPr="00C106F2">
        <w:rPr>
          <w:rFonts w:cs="Times New Roman"/>
        </w:rPr>
        <w:t xml:space="preserve"> was not to happen in his lifetime, and indeed, it did not happen until 1951, almost 250 years after Leibniz’s death. See </w:t>
      </w:r>
      <w:r w:rsidRPr="00C106F2">
        <w:rPr>
          <w:rFonts w:cs="Times New Roman"/>
          <w:i/>
        </w:rPr>
        <w:t>Theodicy</w:t>
      </w:r>
      <w:r>
        <w:rPr>
          <w:rFonts w:cs="Times New Roman"/>
        </w:rPr>
        <w:t xml:space="preserve">, trans. E. M. </w:t>
      </w:r>
      <w:proofErr w:type="spellStart"/>
      <w:r>
        <w:rPr>
          <w:rFonts w:cs="Times New Roman"/>
        </w:rPr>
        <w:t>Huggard</w:t>
      </w:r>
      <w:proofErr w:type="spellEnd"/>
      <w:r>
        <w:rPr>
          <w:rFonts w:cs="Times New Roman"/>
        </w:rPr>
        <w:t xml:space="preserve"> (London</w:t>
      </w:r>
      <w:r w:rsidRPr="00C106F2">
        <w:rPr>
          <w:rFonts w:cs="Times New Roman"/>
        </w:rPr>
        <w:t>, 1951). It has been suggested that although Leibniz had a good working knowledge of English and was able to read English works, he was not sufficiently confident in his ability to write in the language (or therefore to translate into it himself). See N</w:t>
      </w:r>
      <w:r w:rsidR="006270A8">
        <w:rPr>
          <w:rFonts w:cs="Times New Roman"/>
        </w:rPr>
        <w:t>.</w:t>
      </w:r>
      <w:r w:rsidRPr="00C106F2">
        <w:rPr>
          <w:rFonts w:cs="Times New Roman"/>
        </w:rPr>
        <w:t xml:space="preserve"> </w:t>
      </w:r>
      <w:proofErr w:type="spellStart"/>
      <w:r w:rsidRPr="00C106F2">
        <w:rPr>
          <w:rFonts w:cs="Times New Roman"/>
        </w:rPr>
        <w:t>Rescher</w:t>
      </w:r>
      <w:proofErr w:type="spellEnd"/>
      <w:r w:rsidR="00990764">
        <w:rPr>
          <w:rFonts w:cs="Times New Roman"/>
        </w:rPr>
        <w:t>:</w:t>
      </w:r>
      <w:r w:rsidRPr="00C106F2">
        <w:rPr>
          <w:rFonts w:cs="Times New Roman"/>
        </w:rPr>
        <w:t xml:space="preserve"> “Leibniz and the Engl</w:t>
      </w:r>
      <w:r w:rsidR="00990764">
        <w:rPr>
          <w:rFonts w:cs="Times New Roman"/>
        </w:rPr>
        <w:t>ish language</w:t>
      </w:r>
      <w:r w:rsidRPr="00C106F2">
        <w:rPr>
          <w:rFonts w:cs="Times New Roman"/>
        </w:rPr>
        <w:t>”</w:t>
      </w:r>
      <w:r w:rsidR="00990764">
        <w:rPr>
          <w:rFonts w:cs="Times New Roman"/>
        </w:rPr>
        <w:t>, in:</w:t>
      </w:r>
      <w:r w:rsidRPr="00C106F2">
        <w:rPr>
          <w:rFonts w:cs="Times New Roman"/>
        </w:rPr>
        <w:t xml:space="preserve"> </w:t>
      </w:r>
      <w:r w:rsidRPr="00C106F2">
        <w:rPr>
          <w:rFonts w:cs="Times New Roman"/>
          <w:i/>
        </w:rPr>
        <w:t>The Leibniz Review</w:t>
      </w:r>
      <w:r w:rsidRPr="00C106F2">
        <w:rPr>
          <w:rFonts w:cs="Times New Roman"/>
        </w:rPr>
        <w:t xml:space="preserve"> 23 (2013), </w:t>
      </w:r>
      <w:r>
        <w:rPr>
          <w:rFonts w:cs="Times New Roman"/>
        </w:rPr>
        <w:t xml:space="preserve">pp. </w:t>
      </w:r>
      <w:r w:rsidRPr="00C106F2">
        <w:rPr>
          <w:rFonts w:cs="Times New Roman"/>
        </w:rPr>
        <w:t xml:space="preserve">7-11. </w:t>
      </w:r>
      <w:proofErr w:type="gramStart"/>
      <w:r w:rsidRPr="00C106F2">
        <w:rPr>
          <w:rFonts w:cs="Times New Roman"/>
        </w:rPr>
        <w:t>This accords</w:t>
      </w:r>
      <w:proofErr w:type="gramEnd"/>
      <w:r w:rsidRPr="00C106F2">
        <w:rPr>
          <w:rFonts w:cs="Times New Roman"/>
        </w:rPr>
        <w:t xml:space="preserve"> with Leibniz’s own assessment, as he explains to Thomas Burnett “I would like to have been capable of writing it [the </w:t>
      </w:r>
      <w:r w:rsidRPr="00C106F2">
        <w:rPr>
          <w:rFonts w:cs="Times New Roman"/>
          <w:i/>
        </w:rPr>
        <w:t>Theodicy</w:t>
      </w:r>
      <w:r w:rsidRPr="00C106F2">
        <w:rPr>
          <w:rFonts w:cs="Times New Roman"/>
        </w:rPr>
        <w:t>] in English, for the English are quite competent judges on th</w:t>
      </w:r>
      <w:r w:rsidR="00990764">
        <w:rPr>
          <w:rFonts w:cs="Times New Roman"/>
        </w:rPr>
        <w:t>ese matters</w:t>
      </w:r>
      <w:r w:rsidRPr="00C106F2">
        <w:rPr>
          <w:rFonts w:cs="Times New Roman"/>
        </w:rPr>
        <w:t>”</w:t>
      </w:r>
      <w:r w:rsidR="00990764">
        <w:rPr>
          <w:rFonts w:cs="Times New Roman"/>
        </w:rPr>
        <w:t>.</w:t>
      </w:r>
      <w:r w:rsidRPr="00C106F2">
        <w:rPr>
          <w:rFonts w:cs="Times New Roman"/>
        </w:rPr>
        <w:t xml:space="preserve"> Leibniz to Thomas Burnett, 30 October 1710, </w:t>
      </w:r>
      <w:proofErr w:type="spellStart"/>
      <w:r w:rsidRPr="00C106F2">
        <w:rPr>
          <w:rFonts w:cs="Times New Roman"/>
        </w:rPr>
        <w:t>Dutens</w:t>
      </w:r>
      <w:proofErr w:type="spellEnd"/>
      <w:r w:rsidRPr="00C106F2">
        <w:rPr>
          <w:rFonts w:cs="Times New Roman"/>
        </w:rPr>
        <w:t xml:space="preserve"> VI</w:t>
      </w:r>
      <w:proofErr w:type="gramStart"/>
      <w:r w:rsidRPr="00C106F2">
        <w:rPr>
          <w:rFonts w:cs="Times New Roman"/>
        </w:rPr>
        <w:t>:1</w:t>
      </w:r>
      <w:proofErr w:type="gramEnd"/>
      <w:r w:rsidRPr="00C106F2">
        <w:rPr>
          <w:rFonts w:cs="Times New Roman"/>
        </w:rPr>
        <w:t>, 285/G</w:t>
      </w:r>
      <w:r>
        <w:rPr>
          <w:rFonts w:cs="Times New Roman"/>
        </w:rPr>
        <w:t>P</w:t>
      </w:r>
      <w:r w:rsidRPr="00C106F2">
        <w:rPr>
          <w:rFonts w:cs="Times New Roman"/>
        </w:rPr>
        <w:t xml:space="preserve"> III 322. There are some suggestions from Leibniz’s contemporaries that his knowledge of English may have been even better; for example, in his very first letter to Leibniz, John </w:t>
      </w:r>
      <w:proofErr w:type="spellStart"/>
      <w:r w:rsidRPr="00C106F2">
        <w:rPr>
          <w:rFonts w:cs="Times New Roman"/>
        </w:rPr>
        <w:t>Toland</w:t>
      </w:r>
      <w:proofErr w:type="spellEnd"/>
      <w:r w:rsidRPr="00C106F2">
        <w:rPr>
          <w:rFonts w:cs="Times New Roman"/>
        </w:rPr>
        <w:t xml:space="preserve"> writes “I take the liberty of writing to you in English, because you understand it as well as an</w:t>
      </w:r>
      <w:r w:rsidR="00990764">
        <w:rPr>
          <w:rFonts w:cs="Times New Roman"/>
        </w:rPr>
        <w:t xml:space="preserve">y </w:t>
      </w:r>
      <w:proofErr w:type="spellStart"/>
      <w:r w:rsidR="00990764">
        <w:rPr>
          <w:rFonts w:cs="Times New Roman"/>
        </w:rPr>
        <w:t>liveing</w:t>
      </w:r>
      <w:proofErr w:type="spellEnd"/>
      <w:r w:rsidR="00990764">
        <w:rPr>
          <w:rFonts w:cs="Times New Roman"/>
        </w:rPr>
        <w:t xml:space="preserve"> tongue besides yr own</w:t>
      </w:r>
      <w:r w:rsidRPr="00C106F2">
        <w:rPr>
          <w:rFonts w:cs="Times New Roman"/>
        </w:rPr>
        <w:t>”</w:t>
      </w:r>
      <w:r w:rsidR="00990764">
        <w:rPr>
          <w:rFonts w:cs="Times New Roman"/>
        </w:rPr>
        <w:t>.</w:t>
      </w:r>
      <w:r w:rsidRPr="00C106F2">
        <w:rPr>
          <w:rFonts w:cs="Times New Roman"/>
        </w:rPr>
        <w:t xml:space="preserve"> </w:t>
      </w:r>
      <w:proofErr w:type="spellStart"/>
      <w:r w:rsidRPr="00C106F2">
        <w:rPr>
          <w:rFonts w:cs="Times New Roman"/>
        </w:rPr>
        <w:t>Toland</w:t>
      </w:r>
      <w:proofErr w:type="spellEnd"/>
      <w:r w:rsidRPr="00C106F2">
        <w:rPr>
          <w:rFonts w:cs="Times New Roman"/>
        </w:rPr>
        <w:t xml:space="preserve"> to Leibniz, 6 October 1708, </w:t>
      </w:r>
      <w:proofErr w:type="spellStart"/>
      <w:r w:rsidRPr="00C106F2">
        <w:rPr>
          <w:rFonts w:cs="Times New Roman"/>
        </w:rPr>
        <w:t>LBr</w:t>
      </w:r>
      <w:proofErr w:type="spellEnd"/>
      <w:r w:rsidRPr="00C106F2">
        <w:rPr>
          <w:rFonts w:cs="Times New Roman"/>
        </w:rPr>
        <w:t xml:space="preserve"> 933 Bl.12. But while </w:t>
      </w:r>
      <w:proofErr w:type="spellStart"/>
      <w:r w:rsidRPr="00C106F2">
        <w:rPr>
          <w:rFonts w:cs="Times New Roman"/>
        </w:rPr>
        <w:t>Toland</w:t>
      </w:r>
      <w:proofErr w:type="spellEnd"/>
      <w:r w:rsidRPr="00C106F2">
        <w:rPr>
          <w:rFonts w:cs="Times New Roman"/>
        </w:rPr>
        <w:t xml:space="preserve"> always wrote to Leibniz in English, Leibniz always replied in French.</w:t>
      </w:r>
    </w:p>
  </w:footnote>
  <w:footnote w:id="24">
    <w:p w:rsidR="0077041C" w:rsidRPr="00C106F2" w:rsidRDefault="0077041C" w:rsidP="00594E81">
      <w:pPr>
        <w:pStyle w:val="FootnoteText"/>
        <w:spacing w:line="480" w:lineRule="auto"/>
      </w:pPr>
      <w:r w:rsidRPr="00C106F2">
        <w:rPr>
          <w:rStyle w:val="FootnoteReference"/>
          <w:vertAlign w:val="baseline"/>
        </w:rPr>
        <w:footnoteRef/>
      </w:r>
      <w:r w:rsidRPr="00C106F2">
        <w:t xml:space="preserve"> </w:t>
      </w:r>
      <w:r w:rsidRPr="00C106F2">
        <w:rPr>
          <w:rStyle w:val="value"/>
        </w:rPr>
        <w:t xml:space="preserve">In 1725 de la Roche relaunched the journal as the </w:t>
      </w:r>
      <w:r w:rsidRPr="00C106F2">
        <w:rPr>
          <w:rStyle w:val="value"/>
          <w:i/>
        </w:rPr>
        <w:t>New Memoirs of Literature</w:t>
      </w:r>
      <w:r w:rsidRPr="00C106F2">
        <w:rPr>
          <w:rStyle w:val="value"/>
        </w:rPr>
        <w:t xml:space="preserve">, which ran until December 1727. In 1730 he tried again, this time publishing under the title </w:t>
      </w:r>
      <w:r w:rsidRPr="00C106F2">
        <w:rPr>
          <w:rStyle w:val="value"/>
          <w:i/>
        </w:rPr>
        <w:t>A Literary Journal, or a Continuation of the Memoirs of Literature</w:t>
      </w:r>
      <w:r w:rsidRPr="00C106F2">
        <w:rPr>
          <w:rStyle w:val="value"/>
        </w:rPr>
        <w:t>; this came to an end in 1731.</w:t>
      </w:r>
    </w:p>
  </w:footnote>
  <w:footnote w:id="25">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De la Roche typically refers to ea</w:t>
      </w:r>
      <w:r w:rsidR="00990764">
        <w:rPr>
          <w:rFonts w:cs="Times New Roman"/>
        </w:rPr>
        <w:t>ch individual issue as a “sheet</w:t>
      </w:r>
      <w:r w:rsidRPr="00C106F2">
        <w:rPr>
          <w:rFonts w:cs="Times New Roman"/>
        </w:rPr>
        <w:t>”</w:t>
      </w:r>
      <w:r w:rsidR="00990764">
        <w:rPr>
          <w:rFonts w:cs="Times New Roman"/>
        </w:rPr>
        <w:t>.</w:t>
      </w:r>
    </w:p>
  </w:footnote>
  <w:footnote w:id="26">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w:t>
      </w:r>
      <w:r w:rsidRPr="00C106F2">
        <w:rPr>
          <w:rFonts w:cs="Times New Roman"/>
          <w:i/>
        </w:rPr>
        <w:t>Memoirs of Literature</w:t>
      </w:r>
      <w:r w:rsidRPr="00C106F2">
        <w:rPr>
          <w:rFonts w:cs="Times New Roman"/>
        </w:rPr>
        <w:t xml:space="preserve"> I (13 March 1710), </w:t>
      </w:r>
      <w:r>
        <w:rPr>
          <w:rFonts w:cs="Times New Roman"/>
        </w:rPr>
        <w:t xml:space="preserve">p. </w:t>
      </w:r>
      <w:r w:rsidRPr="00C106F2">
        <w:rPr>
          <w:rFonts w:cs="Times New Roman"/>
        </w:rPr>
        <w:t xml:space="preserve">4. This was not the earliest notice of the </w:t>
      </w:r>
      <w:r w:rsidRPr="00C106F2">
        <w:rPr>
          <w:rFonts w:cs="Times New Roman"/>
          <w:i/>
        </w:rPr>
        <w:t>Theodicy</w:t>
      </w:r>
      <w:r w:rsidRPr="00C106F2">
        <w:rPr>
          <w:rFonts w:cs="Times New Roman"/>
        </w:rPr>
        <w:t xml:space="preserve">, however, since the work had already been mentioned in the 17 February 1710 issue of the </w:t>
      </w:r>
      <w:r w:rsidRPr="00C106F2">
        <w:rPr>
          <w:rFonts w:cs="Times New Roman"/>
          <w:i/>
        </w:rPr>
        <w:t xml:space="preserve">Journal des </w:t>
      </w:r>
      <w:proofErr w:type="spellStart"/>
      <w:r w:rsidRPr="00C106F2">
        <w:rPr>
          <w:rFonts w:cs="Times New Roman"/>
          <w:i/>
        </w:rPr>
        <w:t>Sçavans</w:t>
      </w:r>
      <w:proofErr w:type="spellEnd"/>
      <w:r w:rsidRPr="00C106F2">
        <w:rPr>
          <w:rFonts w:cs="Times New Roman"/>
        </w:rPr>
        <w:t xml:space="preserve">, albeit again without mention of </w:t>
      </w:r>
      <w:r w:rsidRPr="00C106F2">
        <w:rPr>
          <w:rFonts w:cs="Times New Roman"/>
          <w:i/>
        </w:rPr>
        <w:t>Theodicy</w:t>
      </w:r>
      <w:r w:rsidRPr="00C106F2">
        <w:rPr>
          <w:rFonts w:cs="Times New Roman"/>
        </w:rPr>
        <w:t xml:space="preserve"> as its title. The notice there reads: “A book should soon be printed which will have as its title, </w:t>
      </w:r>
      <w:r w:rsidRPr="00C106F2">
        <w:rPr>
          <w:rFonts w:cs="Times New Roman"/>
          <w:i/>
        </w:rPr>
        <w:t>Essays on the Goodness of God, the Freedom of Man, &amp; the Origin of Evil</w:t>
      </w:r>
      <w:r w:rsidRPr="00C106F2">
        <w:rPr>
          <w:rFonts w:cs="Times New Roman"/>
        </w:rPr>
        <w:t>. It is a work of Mr Leibniz, in which he undertakes to respond to the difficulties that Mr Bayle has formed on these three points of theology”</w:t>
      </w:r>
      <w:r w:rsidR="00990764">
        <w:rPr>
          <w:rFonts w:cs="Times New Roman"/>
        </w:rPr>
        <w:t>.</w:t>
      </w:r>
      <w:r w:rsidRPr="00C106F2">
        <w:rPr>
          <w:rFonts w:cs="Times New Roman"/>
        </w:rPr>
        <w:t xml:space="preserve"> </w:t>
      </w:r>
      <w:r w:rsidRPr="00C106F2">
        <w:rPr>
          <w:rFonts w:cs="Times New Roman"/>
          <w:i/>
        </w:rPr>
        <w:t xml:space="preserve">Journal des </w:t>
      </w:r>
      <w:proofErr w:type="spellStart"/>
      <w:r w:rsidRPr="00C106F2">
        <w:rPr>
          <w:rFonts w:cs="Times New Roman"/>
          <w:i/>
        </w:rPr>
        <w:t>Sçavans</w:t>
      </w:r>
      <w:proofErr w:type="spellEnd"/>
      <w:r w:rsidRPr="00C106F2">
        <w:rPr>
          <w:rFonts w:cs="Times New Roman"/>
        </w:rPr>
        <w:t xml:space="preserve"> (17 February 1710), </w:t>
      </w:r>
      <w:r>
        <w:rPr>
          <w:rFonts w:cs="Times New Roman"/>
        </w:rPr>
        <w:t xml:space="preserve">p. </w:t>
      </w:r>
      <w:r w:rsidRPr="00C106F2">
        <w:rPr>
          <w:rFonts w:cs="Times New Roman"/>
        </w:rPr>
        <w:t xml:space="preserve">111. While the </w:t>
      </w:r>
      <w:r w:rsidRPr="00C106F2">
        <w:rPr>
          <w:rFonts w:cs="Times New Roman"/>
          <w:i/>
        </w:rPr>
        <w:t>Memoirs of Literature</w:t>
      </w:r>
      <w:r w:rsidRPr="00C106F2">
        <w:rPr>
          <w:rFonts w:cs="Times New Roman"/>
        </w:rPr>
        <w:t xml:space="preserve"> correctly stated that the book was to be published in Amsterdam, the </w:t>
      </w:r>
      <w:r w:rsidRPr="00C106F2">
        <w:rPr>
          <w:rFonts w:cs="Times New Roman"/>
          <w:i/>
        </w:rPr>
        <w:t xml:space="preserve">Journal des </w:t>
      </w:r>
      <w:proofErr w:type="spellStart"/>
      <w:r w:rsidRPr="00C106F2">
        <w:rPr>
          <w:rFonts w:cs="Times New Roman"/>
          <w:i/>
        </w:rPr>
        <w:t>Sçavans</w:t>
      </w:r>
      <w:proofErr w:type="spellEnd"/>
      <w:r w:rsidRPr="00C106F2">
        <w:rPr>
          <w:rFonts w:cs="Times New Roman"/>
        </w:rPr>
        <w:t xml:space="preserve"> mentioned only Holland.</w:t>
      </w:r>
    </w:p>
  </w:footnote>
  <w:footnote w:id="27">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Later issues of the journal contained translations of parts of two more of von </w:t>
      </w:r>
      <w:proofErr w:type="spellStart"/>
      <w:r w:rsidRPr="00C106F2">
        <w:rPr>
          <w:rFonts w:cs="Times New Roman"/>
        </w:rPr>
        <w:t>der</w:t>
      </w:r>
      <w:proofErr w:type="spellEnd"/>
      <w:r w:rsidRPr="00C106F2">
        <w:rPr>
          <w:rFonts w:cs="Times New Roman"/>
        </w:rPr>
        <w:t xml:space="preserve"> </w:t>
      </w:r>
      <w:proofErr w:type="spellStart"/>
      <w:r w:rsidRPr="00C106F2">
        <w:rPr>
          <w:rFonts w:cs="Times New Roman"/>
        </w:rPr>
        <w:t>Hardt’s</w:t>
      </w:r>
      <w:proofErr w:type="spellEnd"/>
      <w:r w:rsidRPr="00C106F2">
        <w:rPr>
          <w:rFonts w:cs="Times New Roman"/>
        </w:rPr>
        <w:t xml:space="preserve"> essays from this book: translated extracts from an essay on the jawbone of an ass that Samson used to kill Philistines can be found in </w:t>
      </w:r>
      <w:r w:rsidRPr="00C106F2">
        <w:rPr>
          <w:rFonts w:cs="Times New Roman"/>
          <w:i/>
        </w:rPr>
        <w:t>Memoirs of Literature</w:t>
      </w:r>
      <w:r w:rsidRPr="00C106F2">
        <w:rPr>
          <w:rFonts w:cs="Times New Roman"/>
        </w:rPr>
        <w:t xml:space="preserve"> VI (17 April 1710), </w:t>
      </w:r>
      <w:r>
        <w:rPr>
          <w:rFonts w:cs="Times New Roman"/>
        </w:rPr>
        <w:t xml:space="preserve">pp. </w:t>
      </w:r>
      <w:r w:rsidRPr="00C106F2">
        <w:rPr>
          <w:rFonts w:cs="Times New Roman"/>
        </w:rPr>
        <w:t>23-</w:t>
      </w:r>
      <w:r>
        <w:rPr>
          <w:rFonts w:cs="Times New Roman"/>
        </w:rPr>
        <w:t>2</w:t>
      </w:r>
      <w:r w:rsidRPr="00C106F2">
        <w:rPr>
          <w:rFonts w:cs="Times New Roman"/>
        </w:rPr>
        <w:t xml:space="preserve">4, while those from an essay on Elijah’s ravens can be found in </w:t>
      </w:r>
      <w:r w:rsidRPr="00C106F2">
        <w:rPr>
          <w:rFonts w:cs="Times New Roman"/>
          <w:i/>
        </w:rPr>
        <w:t>Memoirs of Literature</w:t>
      </w:r>
      <w:r w:rsidRPr="00C106F2">
        <w:rPr>
          <w:rFonts w:cs="Times New Roman"/>
        </w:rPr>
        <w:t xml:space="preserve"> VII (24 April 1710), </w:t>
      </w:r>
      <w:r>
        <w:rPr>
          <w:rFonts w:cs="Times New Roman"/>
        </w:rPr>
        <w:t xml:space="preserve">pp. </w:t>
      </w:r>
      <w:r w:rsidRPr="00C106F2">
        <w:rPr>
          <w:rFonts w:cs="Times New Roman"/>
        </w:rPr>
        <w:t>25-</w:t>
      </w:r>
      <w:r>
        <w:rPr>
          <w:rFonts w:cs="Times New Roman"/>
        </w:rPr>
        <w:t>2</w:t>
      </w:r>
      <w:r w:rsidRPr="00C106F2">
        <w:rPr>
          <w:rFonts w:cs="Times New Roman"/>
        </w:rPr>
        <w:t>6.</w:t>
      </w:r>
    </w:p>
  </w:footnote>
  <w:footnote w:id="28">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w:t>
      </w:r>
      <w:r w:rsidRPr="00C106F2">
        <w:rPr>
          <w:rFonts w:cs="Times New Roman"/>
          <w:i/>
        </w:rPr>
        <w:t>Memoirs of Literature</w:t>
      </w:r>
      <w:r w:rsidRPr="00C106F2">
        <w:rPr>
          <w:rFonts w:cs="Times New Roman"/>
        </w:rPr>
        <w:t xml:space="preserve"> IV (3 April 1710), </w:t>
      </w:r>
      <w:r>
        <w:rPr>
          <w:rFonts w:cs="Times New Roman"/>
        </w:rPr>
        <w:t xml:space="preserve">p. </w:t>
      </w:r>
      <w:r w:rsidRPr="00C106F2">
        <w:rPr>
          <w:rFonts w:cs="Times New Roman"/>
        </w:rPr>
        <w:t>13.</w:t>
      </w:r>
    </w:p>
  </w:footnote>
  <w:footnote w:id="29">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w:t>
      </w:r>
      <w:r w:rsidRPr="00C106F2">
        <w:rPr>
          <w:rFonts w:cs="Times New Roman"/>
          <w:i/>
        </w:rPr>
        <w:t>Memoirs of Literature</w:t>
      </w:r>
      <w:r w:rsidRPr="00C106F2">
        <w:rPr>
          <w:rFonts w:cs="Times New Roman"/>
        </w:rPr>
        <w:t xml:space="preserve"> XLIII (1 January 1711), </w:t>
      </w:r>
      <w:r>
        <w:rPr>
          <w:rFonts w:cs="Times New Roman"/>
        </w:rPr>
        <w:t xml:space="preserve">pp. </w:t>
      </w:r>
      <w:r w:rsidRPr="00C106F2">
        <w:rPr>
          <w:rFonts w:cs="Times New Roman"/>
        </w:rPr>
        <w:t>169-</w:t>
      </w:r>
      <w:r>
        <w:rPr>
          <w:rFonts w:cs="Times New Roman"/>
        </w:rPr>
        <w:t>1</w:t>
      </w:r>
      <w:r w:rsidRPr="00C106F2">
        <w:rPr>
          <w:rFonts w:cs="Times New Roman"/>
        </w:rPr>
        <w:t>71.</w:t>
      </w:r>
    </w:p>
  </w:footnote>
  <w:footnote w:id="30">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w:t>
      </w:r>
      <w:r w:rsidRPr="00C106F2">
        <w:rPr>
          <w:rFonts w:cs="Times New Roman"/>
          <w:i/>
        </w:rPr>
        <w:t>Memoirs of Literature</w:t>
      </w:r>
      <w:r w:rsidRPr="00C106F2">
        <w:rPr>
          <w:rFonts w:cs="Times New Roman"/>
        </w:rPr>
        <w:t xml:space="preserve"> LX (30 April 1711), </w:t>
      </w:r>
      <w:r>
        <w:rPr>
          <w:rFonts w:cs="Times New Roman"/>
        </w:rPr>
        <w:t xml:space="preserve">pp. </w:t>
      </w:r>
      <w:r w:rsidRPr="00C106F2">
        <w:rPr>
          <w:rFonts w:cs="Times New Roman"/>
        </w:rPr>
        <w:t>237-</w:t>
      </w:r>
      <w:r>
        <w:rPr>
          <w:rFonts w:cs="Times New Roman"/>
        </w:rPr>
        <w:t>23</w:t>
      </w:r>
      <w:r w:rsidRPr="00C106F2">
        <w:rPr>
          <w:rFonts w:cs="Times New Roman"/>
        </w:rPr>
        <w:t>9.</w:t>
      </w:r>
    </w:p>
  </w:footnote>
  <w:footnote w:id="31">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w:t>
      </w:r>
      <w:r w:rsidRPr="00C106F2">
        <w:rPr>
          <w:rFonts w:cs="Times New Roman"/>
          <w:i/>
        </w:rPr>
        <w:t>Memoirs of Literature</w:t>
      </w:r>
      <w:r w:rsidRPr="00C106F2">
        <w:rPr>
          <w:rFonts w:cs="Times New Roman"/>
        </w:rPr>
        <w:t xml:space="preserve"> LXI (7 May 1711), </w:t>
      </w:r>
      <w:r>
        <w:rPr>
          <w:rFonts w:cs="Times New Roman"/>
        </w:rPr>
        <w:t xml:space="preserve">pp. </w:t>
      </w:r>
      <w:r w:rsidRPr="00C106F2">
        <w:rPr>
          <w:rFonts w:cs="Times New Roman"/>
        </w:rPr>
        <w:t>241-</w:t>
      </w:r>
      <w:r>
        <w:rPr>
          <w:rFonts w:cs="Times New Roman"/>
        </w:rPr>
        <w:t>24</w:t>
      </w:r>
      <w:r w:rsidRPr="00C106F2">
        <w:rPr>
          <w:rFonts w:cs="Times New Roman"/>
        </w:rPr>
        <w:t>3.</w:t>
      </w:r>
    </w:p>
  </w:footnote>
  <w:footnote w:id="32">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w:t>
      </w:r>
      <w:r w:rsidRPr="00C106F2">
        <w:rPr>
          <w:rFonts w:cs="Times New Roman"/>
          <w:i/>
        </w:rPr>
        <w:t>Memoirs of Literature</w:t>
      </w:r>
      <w:r w:rsidRPr="00C106F2">
        <w:rPr>
          <w:rFonts w:cs="Times New Roman"/>
        </w:rPr>
        <w:t xml:space="preserve"> LXV</w:t>
      </w:r>
      <w:r w:rsidRPr="00C106F2">
        <w:rPr>
          <w:rFonts w:cs="Times New Roman"/>
          <w:i/>
        </w:rPr>
        <w:t xml:space="preserve"> </w:t>
      </w:r>
      <w:r w:rsidRPr="00C106F2">
        <w:rPr>
          <w:rFonts w:cs="Times New Roman"/>
        </w:rPr>
        <w:t xml:space="preserve">(11 June 1711), </w:t>
      </w:r>
      <w:r>
        <w:rPr>
          <w:rFonts w:cs="Times New Roman"/>
        </w:rPr>
        <w:t xml:space="preserve">pp. </w:t>
      </w:r>
      <w:r w:rsidRPr="00C106F2">
        <w:rPr>
          <w:rFonts w:cs="Times New Roman"/>
        </w:rPr>
        <w:t>257-</w:t>
      </w:r>
      <w:r>
        <w:rPr>
          <w:rFonts w:cs="Times New Roman"/>
        </w:rPr>
        <w:t>25</w:t>
      </w:r>
      <w:r w:rsidRPr="00C106F2">
        <w:rPr>
          <w:rFonts w:cs="Times New Roman"/>
        </w:rPr>
        <w:t>9.</w:t>
      </w:r>
    </w:p>
  </w:footnote>
  <w:footnote w:id="33">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w:t>
      </w:r>
      <w:r w:rsidRPr="00C106F2">
        <w:rPr>
          <w:rFonts w:cs="Times New Roman"/>
          <w:i/>
        </w:rPr>
        <w:t>Memoirs of Literature</w:t>
      </w:r>
      <w:r w:rsidRPr="00C106F2">
        <w:rPr>
          <w:rFonts w:cs="Times New Roman"/>
        </w:rPr>
        <w:t xml:space="preserve"> LXV</w:t>
      </w:r>
      <w:r w:rsidRPr="00C106F2">
        <w:rPr>
          <w:rFonts w:cs="Times New Roman"/>
          <w:i/>
        </w:rPr>
        <w:t xml:space="preserve"> </w:t>
      </w:r>
      <w:r w:rsidRPr="00C106F2">
        <w:rPr>
          <w:rFonts w:cs="Times New Roman"/>
        </w:rPr>
        <w:t xml:space="preserve">(18 June 1711), </w:t>
      </w:r>
      <w:r>
        <w:rPr>
          <w:rFonts w:cs="Times New Roman"/>
        </w:rPr>
        <w:t xml:space="preserve">pp. </w:t>
      </w:r>
      <w:r w:rsidRPr="00C106F2">
        <w:rPr>
          <w:rFonts w:cs="Times New Roman"/>
        </w:rPr>
        <w:t>261-</w:t>
      </w:r>
      <w:r>
        <w:rPr>
          <w:rFonts w:cs="Times New Roman"/>
        </w:rPr>
        <w:t>26</w:t>
      </w:r>
      <w:r w:rsidRPr="00C106F2">
        <w:rPr>
          <w:rFonts w:cs="Times New Roman"/>
        </w:rPr>
        <w:t>3.</w:t>
      </w:r>
    </w:p>
  </w:footnote>
  <w:footnote w:id="34">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In addition to the extracts from the </w:t>
      </w:r>
      <w:r w:rsidRPr="00C106F2">
        <w:rPr>
          <w:rFonts w:cs="Times New Roman"/>
          <w:i/>
        </w:rPr>
        <w:t>Theodicy</w:t>
      </w:r>
      <w:r w:rsidRPr="00C106F2">
        <w:rPr>
          <w:rFonts w:cs="Times New Roman"/>
        </w:rPr>
        <w:t xml:space="preserve"> translated by de la Roche, further translated extracts were later made (this time by Samuel Clarke) for the appendix to </w:t>
      </w:r>
      <w:r w:rsidRPr="00C106F2">
        <w:rPr>
          <w:rFonts w:cs="Times New Roman"/>
          <w:i/>
        </w:rPr>
        <w:t>A Collection of Papers which Passed between the Late Learned Mr. Leibnitz, and Dr. Clarke, in the Years 1715 and 1716</w:t>
      </w:r>
      <w:r w:rsidRPr="00C106F2">
        <w:rPr>
          <w:rFonts w:cs="Times New Roman"/>
        </w:rPr>
        <w:t xml:space="preserve"> (London, 1717), </w:t>
      </w:r>
      <w:r>
        <w:rPr>
          <w:rFonts w:cs="Times New Roman"/>
        </w:rPr>
        <w:t xml:space="preserve">pp. </w:t>
      </w:r>
      <w:r w:rsidRPr="00C106F2">
        <w:rPr>
          <w:rFonts w:cs="Times New Roman"/>
        </w:rPr>
        <w:t>375-</w:t>
      </w:r>
      <w:r>
        <w:rPr>
          <w:rFonts w:cs="Times New Roman"/>
        </w:rPr>
        <w:t>3</w:t>
      </w:r>
      <w:r w:rsidRPr="00C106F2">
        <w:rPr>
          <w:rFonts w:cs="Times New Roman"/>
        </w:rPr>
        <w:t>99.</w:t>
      </w:r>
    </w:p>
  </w:footnote>
  <w:footnote w:id="35">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w:t>
      </w:r>
      <w:r w:rsidRPr="00C106F2">
        <w:rPr>
          <w:rFonts w:cs="Times New Roman"/>
          <w:i/>
        </w:rPr>
        <w:t>Memoirs of Literature</w:t>
      </w:r>
      <w:r w:rsidRPr="00C106F2">
        <w:rPr>
          <w:rFonts w:cs="Times New Roman"/>
        </w:rPr>
        <w:t xml:space="preserve"> (2ed), 4 (1722), </w:t>
      </w:r>
      <w:r>
        <w:rPr>
          <w:rFonts w:cs="Times New Roman"/>
        </w:rPr>
        <w:t xml:space="preserve">pp. </w:t>
      </w:r>
      <w:r w:rsidRPr="00C106F2">
        <w:rPr>
          <w:rFonts w:cs="Times New Roman"/>
        </w:rPr>
        <w:t>452-</w:t>
      </w:r>
      <w:r>
        <w:rPr>
          <w:rFonts w:cs="Times New Roman"/>
        </w:rPr>
        <w:t>4</w:t>
      </w:r>
      <w:r w:rsidRPr="00C106F2">
        <w:rPr>
          <w:rFonts w:cs="Times New Roman"/>
        </w:rPr>
        <w:t xml:space="preserve">67 and 5 (1722), </w:t>
      </w:r>
      <w:r>
        <w:rPr>
          <w:rFonts w:cs="Times New Roman"/>
        </w:rPr>
        <w:t xml:space="preserve">pp. </w:t>
      </w:r>
      <w:r w:rsidRPr="00C106F2">
        <w:rPr>
          <w:rFonts w:cs="Times New Roman"/>
        </w:rPr>
        <w:t>62-</w:t>
      </w:r>
      <w:r>
        <w:rPr>
          <w:rFonts w:cs="Times New Roman"/>
        </w:rPr>
        <w:t>6</w:t>
      </w:r>
      <w:r w:rsidRPr="00C106F2">
        <w:rPr>
          <w:rFonts w:cs="Times New Roman"/>
        </w:rPr>
        <w:t xml:space="preserve">4. The letters in question had first been published in the </w:t>
      </w:r>
      <w:r w:rsidRPr="00C106F2">
        <w:rPr>
          <w:rFonts w:cs="Times New Roman"/>
          <w:i/>
        </w:rPr>
        <w:t xml:space="preserve">Memoires pour </w:t>
      </w:r>
      <w:proofErr w:type="spellStart"/>
      <w:r w:rsidRPr="00C106F2">
        <w:rPr>
          <w:rFonts w:cs="Times New Roman"/>
          <w:i/>
        </w:rPr>
        <w:t>l’histoire</w:t>
      </w:r>
      <w:proofErr w:type="spellEnd"/>
      <w:r w:rsidRPr="00C106F2">
        <w:rPr>
          <w:rFonts w:cs="Times New Roman"/>
          <w:i/>
        </w:rPr>
        <w:t xml:space="preserve"> des sciences &amp; des beaux Arts </w:t>
      </w:r>
      <w:r w:rsidRPr="00C106F2">
        <w:rPr>
          <w:rFonts w:cs="Times New Roman"/>
        </w:rPr>
        <w:t xml:space="preserve">[a.k.a. </w:t>
      </w:r>
      <w:r w:rsidRPr="00C106F2">
        <w:rPr>
          <w:rFonts w:cs="Times New Roman"/>
          <w:i/>
        </w:rPr>
        <w:t xml:space="preserve">Journal de </w:t>
      </w:r>
      <w:proofErr w:type="spellStart"/>
      <w:r w:rsidRPr="00C106F2">
        <w:rPr>
          <w:rFonts w:cs="Times New Roman"/>
          <w:i/>
        </w:rPr>
        <w:t>Trévoux</w:t>
      </w:r>
      <w:proofErr w:type="spellEnd"/>
      <w:r w:rsidRPr="00C106F2">
        <w:rPr>
          <w:rFonts w:cs="Times New Roman"/>
        </w:rPr>
        <w:t xml:space="preserve">] 12 (1712), </w:t>
      </w:r>
      <w:r>
        <w:rPr>
          <w:rFonts w:cs="Times New Roman"/>
        </w:rPr>
        <w:t xml:space="preserve">pp. </w:t>
      </w:r>
      <w:r w:rsidRPr="00C106F2">
        <w:rPr>
          <w:rFonts w:cs="Times New Roman"/>
        </w:rPr>
        <w:t xml:space="preserve">494-512, and </w:t>
      </w:r>
      <w:r>
        <w:rPr>
          <w:rFonts w:cs="Times New Roman"/>
        </w:rPr>
        <w:t xml:space="preserve">pp. </w:t>
      </w:r>
      <w:r w:rsidRPr="00C106F2">
        <w:rPr>
          <w:rFonts w:cs="Times New Roman"/>
        </w:rPr>
        <w:t>676-</w:t>
      </w:r>
      <w:r>
        <w:rPr>
          <w:rFonts w:cs="Times New Roman"/>
        </w:rPr>
        <w:t>67</w:t>
      </w:r>
      <w:r w:rsidRPr="00C106F2">
        <w:rPr>
          <w:rFonts w:cs="Times New Roman"/>
        </w:rPr>
        <w:t xml:space="preserve">9. In one of these letters Leibniz had attacked the notion of action at a distance that he attributed to Newtonians, and the publication of this letter in the </w:t>
      </w:r>
      <w:r w:rsidRPr="00C106F2">
        <w:rPr>
          <w:rFonts w:cs="Times New Roman"/>
          <w:i/>
        </w:rPr>
        <w:t>Memoirs</w:t>
      </w:r>
      <w:r w:rsidRPr="00C106F2">
        <w:rPr>
          <w:rFonts w:cs="Times New Roman"/>
        </w:rPr>
        <w:t xml:space="preserve"> attracted the ire of Newton, who wrote a vindication of his position and sent it to de la Roche, requesting that it too be published in the </w:t>
      </w:r>
      <w:r w:rsidRPr="00C106F2">
        <w:rPr>
          <w:rFonts w:cs="Times New Roman"/>
          <w:i/>
        </w:rPr>
        <w:t>Memoirs</w:t>
      </w:r>
      <w:r w:rsidRPr="00C106F2">
        <w:rPr>
          <w:rFonts w:cs="Times New Roman"/>
        </w:rPr>
        <w:t xml:space="preserve">. It was not, however, published there. See Newton to the editor of the </w:t>
      </w:r>
      <w:r w:rsidRPr="00C106F2">
        <w:rPr>
          <w:rFonts w:cs="Times New Roman"/>
          <w:i/>
        </w:rPr>
        <w:t>Memoirs of Literature</w:t>
      </w:r>
      <w:r w:rsidRPr="00C106F2">
        <w:rPr>
          <w:rFonts w:cs="Times New Roman"/>
        </w:rPr>
        <w:t>, c. May 1712, in</w:t>
      </w:r>
      <w:r w:rsidR="00990764">
        <w:rPr>
          <w:rFonts w:cs="Times New Roman"/>
        </w:rPr>
        <w:t>:</w:t>
      </w:r>
      <w:r w:rsidRPr="00C106F2">
        <w:rPr>
          <w:rFonts w:cs="Times New Roman"/>
        </w:rPr>
        <w:t xml:space="preserve"> I</w:t>
      </w:r>
      <w:r w:rsidR="006270A8">
        <w:rPr>
          <w:rFonts w:cs="Times New Roman"/>
        </w:rPr>
        <w:t>.</w:t>
      </w:r>
      <w:r w:rsidRPr="00C106F2">
        <w:rPr>
          <w:rFonts w:cs="Times New Roman"/>
        </w:rPr>
        <w:t xml:space="preserve"> Newton, </w:t>
      </w:r>
      <w:r w:rsidRPr="00C106F2">
        <w:rPr>
          <w:rFonts w:cs="Times New Roman"/>
          <w:i/>
        </w:rPr>
        <w:t>Philosophical Writings</w:t>
      </w:r>
      <w:r>
        <w:rPr>
          <w:rFonts w:cs="Times New Roman"/>
        </w:rPr>
        <w:t>, ed. A</w:t>
      </w:r>
      <w:r w:rsidR="006270A8">
        <w:rPr>
          <w:rFonts w:cs="Times New Roman"/>
        </w:rPr>
        <w:t>.</w:t>
      </w:r>
      <w:r>
        <w:rPr>
          <w:rFonts w:cs="Times New Roman"/>
        </w:rPr>
        <w:t xml:space="preserve"> </w:t>
      </w:r>
      <w:proofErr w:type="spellStart"/>
      <w:r>
        <w:rPr>
          <w:rFonts w:cs="Times New Roman"/>
        </w:rPr>
        <w:t>Janiak</w:t>
      </w:r>
      <w:proofErr w:type="spellEnd"/>
      <w:r>
        <w:rPr>
          <w:rFonts w:cs="Times New Roman"/>
        </w:rPr>
        <w:t xml:space="preserve"> (Cambridge</w:t>
      </w:r>
      <w:r w:rsidRPr="00C106F2">
        <w:rPr>
          <w:rFonts w:cs="Times New Roman"/>
        </w:rPr>
        <w:t xml:space="preserve">, 2004), </w:t>
      </w:r>
      <w:r>
        <w:rPr>
          <w:rFonts w:cs="Times New Roman"/>
        </w:rPr>
        <w:t xml:space="preserve">pp. </w:t>
      </w:r>
      <w:r w:rsidRPr="00C106F2">
        <w:rPr>
          <w:rFonts w:cs="Times New Roman"/>
        </w:rPr>
        <w:t>114-1</w:t>
      </w:r>
      <w:r>
        <w:rPr>
          <w:rFonts w:cs="Times New Roman"/>
        </w:rPr>
        <w:t>1</w:t>
      </w:r>
      <w:r w:rsidRPr="00C106F2">
        <w:rPr>
          <w:rFonts w:cs="Times New Roman"/>
        </w:rPr>
        <w:t>7.</w:t>
      </w:r>
    </w:p>
  </w:footnote>
  <w:footnote w:id="36">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w:t>
      </w:r>
      <w:r w:rsidRPr="00C106F2">
        <w:rPr>
          <w:rFonts w:cs="Times New Roman"/>
          <w:i/>
        </w:rPr>
        <w:t>Memoirs of Literature</w:t>
      </w:r>
      <w:r w:rsidRPr="00C106F2">
        <w:rPr>
          <w:rFonts w:cs="Times New Roman"/>
        </w:rPr>
        <w:t xml:space="preserve"> (2ed), 5 (1722), </w:t>
      </w:r>
      <w:r>
        <w:rPr>
          <w:rFonts w:cs="Times New Roman"/>
        </w:rPr>
        <w:t xml:space="preserve">pp. </w:t>
      </w:r>
      <w:r w:rsidRPr="00C106F2">
        <w:rPr>
          <w:rFonts w:cs="Times New Roman"/>
        </w:rPr>
        <w:t>273-</w:t>
      </w:r>
      <w:r>
        <w:rPr>
          <w:rFonts w:cs="Times New Roman"/>
        </w:rPr>
        <w:t>27</w:t>
      </w:r>
      <w:r w:rsidRPr="00C106F2">
        <w:rPr>
          <w:rFonts w:cs="Times New Roman"/>
        </w:rPr>
        <w:t>6.</w:t>
      </w:r>
    </w:p>
  </w:footnote>
  <w:footnote w:id="37">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w:t>
      </w:r>
      <w:r w:rsidRPr="00C106F2">
        <w:rPr>
          <w:rFonts w:cs="Times New Roman"/>
          <w:i/>
        </w:rPr>
        <w:t>Memoirs of Literature</w:t>
      </w:r>
      <w:r w:rsidRPr="00C106F2">
        <w:rPr>
          <w:rFonts w:cs="Times New Roman"/>
        </w:rPr>
        <w:t xml:space="preserve"> (2ed), 4 (1722), </w:t>
      </w:r>
      <w:r>
        <w:rPr>
          <w:rFonts w:cs="Times New Roman"/>
        </w:rPr>
        <w:t xml:space="preserve">pp. </w:t>
      </w:r>
      <w:r w:rsidRPr="00C106F2">
        <w:rPr>
          <w:rFonts w:cs="Times New Roman"/>
        </w:rPr>
        <w:t>387-</w:t>
      </w:r>
      <w:r>
        <w:rPr>
          <w:rFonts w:cs="Times New Roman"/>
        </w:rPr>
        <w:t>38</w:t>
      </w:r>
      <w:r w:rsidRPr="00C106F2">
        <w:rPr>
          <w:rFonts w:cs="Times New Roman"/>
        </w:rPr>
        <w:t>8.</w:t>
      </w:r>
    </w:p>
  </w:footnote>
  <w:footnote w:id="38">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Only Richard Simon’s </w:t>
      </w:r>
      <w:proofErr w:type="spellStart"/>
      <w:r w:rsidRPr="00C106F2">
        <w:rPr>
          <w:rFonts w:cs="Times New Roman"/>
          <w:i/>
        </w:rPr>
        <w:t>Bibliotheque</w:t>
      </w:r>
      <w:proofErr w:type="spellEnd"/>
      <w:r w:rsidRPr="00C106F2">
        <w:rPr>
          <w:rFonts w:cs="Times New Roman"/>
          <w:i/>
        </w:rPr>
        <w:t xml:space="preserve"> critique, </w:t>
      </w:r>
      <w:proofErr w:type="spellStart"/>
      <w:r w:rsidRPr="00C106F2">
        <w:rPr>
          <w:rStyle w:val="st"/>
          <w:rFonts w:cs="Times New Roman"/>
          <w:i/>
        </w:rPr>
        <w:t>ou</w:t>
      </w:r>
      <w:proofErr w:type="spellEnd"/>
      <w:r w:rsidRPr="00C106F2">
        <w:rPr>
          <w:rStyle w:val="st"/>
          <w:rFonts w:cs="Times New Roman"/>
          <w:i/>
        </w:rPr>
        <w:t xml:space="preserve"> </w:t>
      </w:r>
      <w:proofErr w:type="spellStart"/>
      <w:r w:rsidRPr="00C106F2">
        <w:rPr>
          <w:rStyle w:val="st"/>
          <w:rFonts w:cs="Times New Roman"/>
          <w:i/>
        </w:rPr>
        <w:t>recueil</w:t>
      </w:r>
      <w:proofErr w:type="spellEnd"/>
      <w:r w:rsidRPr="00C106F2">
        <w:rPr>
          <w:rStyle w:val="st"/>
          <w:rFonts w:cs="Times New Roman"/>
          <w:i/>
        </w:rPr>
        <w:t xml:space="preserve"> de </w:t>
      </w:r>
      <w:proofErr w:type="spellStart"/>
      <w:r w:rsidRPr="00C106F2">
        <w:rPr>
          <w:rStyle w:val="st"/>
          <w:rFonts w:cs="Times New Roman"/>
          <w:i/>
        </w:rPr>
        <w:t>diverses</w:t>
      </w:r>
      <w:proofErr w:type="spellEnd"/>
      <w:r w:rsidRPr="00C106F2">
        <w:rPr>
          <w:rStyle w:val="st"/>
          <w:rFonts w:cs="Times New Roman"/>
          <w:i/>
        </w:rPr>
        <w:t xml:space="preserve"> pieces </w:t>
      </w:r>
      <w:r w:rsidRPr="00C106F2">
        <w:rPr>
          <w:rStyle w:val="Emphasis"/>
          <w:rFonts w:cs="Times New Roman"/>
        </w:rPr>
        <w:t>critiques</w:t>
      </w:r>
      <w:r w:rsidRPr="00C106F2">
        <w:rPr>
          <w:rStyle w:val="st"/>
          <w:rFonts w:cs="Times New Roman"/>
        </w:rPr>
        <w:t>, 4 vols. (Amsterdam 1708-1710) enjoyed a more extensive treatment, being</w:t>
      </w:r>
      <w:r w:rsidRPr="00C106F2">
        <w:rPr>
          <w:rFonts w:cs="Times New Roman"/>
        </w:rPr>
        <w:t xml:space="preserve"> the focus of no fewer than seven issues of the </w:t>
      </w:r>
      <w:r w:rsidRPr="00C106F2">
        <w:rPr>
          <w:rFonts w:cs="Times New Roman"/>
          <w:i/>
        </w:rPr>
        <w:t>Memoirs of Literature</w:t>
      </w:r>
      <w:r w:rsidRPr="00C106F2">
        <w:rPr>
          <w:rFonts w:cs="Times New Roman"/>
        </w:rPr>
        <w:t>, namely: XXXV (6 November 1710), pp. 137-40; XXXVI (13 November 1710), pp. 142-</w:t>
      </w:r>
      <w:r>
        <w:rPr>
          <w:rFonts w:cs="Times New Roman"/>
        </w:rPr>
        <w:t>14</w:t>
      </w:r>
      <w:r w:rsidRPr="00C106F2">
        <w:rPr>
          <w:rFonts w:cs="Times New Roman"/>
        </w:rPr>
        <w:t>4; XXXVII (20 November 1710), pp. 145-</w:t>
      </w:r>
      <w:r>
        <w:rPr>
          <w:rFonts w:cs="Times New Roman"/>
        </w:rPr>
        <w:t>14</w:t>
      </w:r>
      <w:r w:rsidRPr="00C106F2">
        <w:rPr>
          <w:rFonts w:cs="Times New Roman"/>
        </w:rPr>
        <w:t>8; XXXVIII (27 November 1710), pp. 149-</w:t>
      </w:r>
      <w:r>
        <w:rPr>
          <w:rFonts w:cs="Times New Roman"/>
        </w:rPr>
        <w:t>1</w:t>
      </w:r>
      <w:r w:rsidRPr="00C106F2">
        <w:rPr>
          <w:rFonts w:cs="Times New Roman"/>
        </w:rPr>
        <w:t>52; LXII (14 May 1711), pp. 245-</w:t>
      </w:r>
      <w:r>
        <w:rPr>
          <w:rFonts w:cs="Times New Roman"/>
        </w:rPr>
        <w:t>24</w:t>
      </w:r>
      <w:r w:rsidRPr="00C106F2">
        <w:rPr>
          <w:rFonts w:cs="Times New Roman"/>
        </w:rPr>
        <w:t>8; LXXIV (13 August 1711), pp. 293-</w:t>
      </w:r>
      <w:r>
        <w:rPr>
          <w:rFonts w:cs="Times New Roman"/>
        </w:rPr>
        <w:t>29</w:t>
      </w:r>
      <w:r w:rsidRPr="00C106F2">
        <w:rPr>
          <w:rFonts w:cs="Times New Roman"/>
        </w:rPr>
        <w:t>6; and LXXXII (8 October 1711), pp. 325-</w:t>
      </w:r>
      <w:r>
        <w:rPr>
          <w:rFonts w:cs="Times New Roman"/>
        </w:rPr>
        <w:t>32</w:t>
      </w:r>
      <w:r w:rsidRPr="00C106F2">
        <w:rPr>
          <w:rFonts w:cs="Times New Roman"/>
        </w:rPr>
        <w:t xml:space="preserve">8. But one should bear in mind that while there were four volumes of Simon’s book, there was only one of the </w:t>
      </w:r>
      <w:r w:rsidRPr="00C106F2">
        <w:rPr>
          <w:rFonts w:cs="Times New Roman"/>
          <w:i/>
        </w:rPr>
        <w:t>Theodicy</w:t>
      </w:r>
      <w:r w:rsidRPr="00C106F2">
        <w:rPr>
          <w:rFonts w:cs="Times New Roman"/>
        </w:rPr>
        <w:t>.</w:t>
      </w:r>
    </w:p>
  </w:footnote>
  <w:footnote w:id="39">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w:t>
      </w:r>
      <w:r w:rsidRPr="00C106F2">
        <w:rPr>
          <w:rFonts w:cs="Times New Roman"/>
          <w:i/>
        </w:rPr>
        <w:t>Memoirs of Literature</w:t>
      </w:r>
      <w:r w:rsidRPr="00C106F2">
        <w:rPr>
          <w:rFonts w:cs="Times New Roman"/>
        </w:rPr>
        <w:t xml:space="preserve"> LX (30 April 1711), </w:t>
      </w:r>
      <w:r>
        <w:rPr>
          <w:rFonts w:cs="Times New Roman"/>
        </w:rPr>
        <w:t xml:space="preserve">p. </w:t>
      </w:r>
      <w:r w:rsidRPr="00C106F2">
        <w:rPr>
          <w:rFonts w:cs="Times New Roman"/>
        </w:rPr>
        <w:t>237.</w:t>
      </w:r>
    </w:p>
  </w:footnote>
  <w:footnote w:id="40">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He was not the only reviewer to do this: Jacques Bernard referred to Leibniz as “</w:t>
      </w:r>
      <w:proofErr w:type="spellStart"/>
      <w:r w:rsidRPr="00C106F2">
        <w:rPr>
          <w:rFonts w:cs="Times New Roman"/>
        </w:rPr>
        <w:t>Theodicée</w:t>
      </w:r>
      <w:proofErr w:type="spellEnd"/>
      <w:r w:rsidRPr="00C106F2">
        <w:rPr>
          <w:rFonts w:cs="Times New Roman"/>
        </w:rPr>
        <w:t xml:space="preserve">” throughout his review of the book in the </w:t>
      </w:r>
      <w:proofErr w:type="spellStart"/>
      <w:r w:rsidRPr="00C106F2">
        <w:rPr>
          <w:rFonts w:cs="Times New Roman"/>
          <w:i/>
        </w:rPr>
        <w:t>Nouvelles</w:t>
      </w:r>
      <w:proofErr w:type="spellEnd"/>
      <w:r w:rsidRPr="00C106F2">
        <w:rPr>
          <w:rFonts w:cs="Times New Roman"/>
          <w:i/>
        </w:rPr>
        <w:t xml:space="preserve"> de la </w:t>
      </w:r>
      <w:proofErr w:type="spellStart"/>
      <w:r w:rsidRPr="00C106F2">
        <w:rPr>
          <w:rFonts w:cs="Times New Roman"/>
          <w:i/>
        </w:rPr>
        <w:t>Republique</w:t>
      </w:r>
      <w:proofErr w:type="spellEnd"/>
      <w:r w:rsidRPr="00C106F2">
        <w:rPr>
          <w:rFonts w:cs="Times New Roman"/>
          <w:i/>
        </w:rPr>
        <w:t xml:space="preserve"> des </w:t>
      </w:r>
      <w:proofErr w:type="spellStart"/>
      <w:r w:rsidRPr="00C106F2">
        <w:rPr>
          <w:rFonts w:cs="Times New Roman"/>
          <w:i/>
        </w:rPr>
        <w:t>lettres</w:t>
      </w:r>
      <w:proofErr w:type="spellEnd"/>
      <w:r w:rsidRPr="00C106F2">
        <w:rPr>
          <w:rFonts w:cs="Times New Roman"/>
        </w:rPr>
        <w:t xml:space="preserve">. However, in Bernard’s case this appears to have been a case of mistaking the title of the book for the pseudonym of its author, for he writes: “The renowned author speaks so often of his other productions, to which he refers the reader, that one would have to be a foreigner in the Republic of Letters not to recognize who he is when one reads this new book. However, as he has not deemed it appropriate to put his name to it, and as he has adopted that of </w:t>
      </w:r>
      <w:proofErr w:type="spellStart"/>
      <w:r w:rsidRPr="00C106F2">
        <w:rPr>
          <w:rFonts w:cs="Times New Roman"/>
          <w:i/>
        </w:rPr>
        <w:t>Theodicée</w:t>
      </w:r>
      <w:proofErr w:type="spellEnd"/>
      <w:r w:rsidRPr="00C106F2">
        <w:rPr>
          <w:rFonts w:cs="Times New Roman"/>
        </w:rPr>
        <w:t>,</w:t>
      </w:r>
      <w:r w:rsidR="00990764">
        <w:rPr>
          <w:rFonts w:cs="Times New Roman"/>
        </w:rPr>
        <w:t xml:space="preserve"> we shall call him by that name</w:t>
      </w:r>
      <w:r w:rsidRPr="00C106F2">
        <w:rPr>
          <w:rFonts w:cs="Times New Roman"/>
        </w:rPr>
        <w:t>”</w:t>
      </w:r>
      <w:r w:rsidR="00990764">
        <w:rPr>
          <w:rFonts w:cs="Times New Roman"/>
        </w:rPr>
        <w:t>.</w:t>
      </w:r>
      <w:r w:rsidRPr="00C106F2">
        <w:rPr>
          <w:rFonts w:cs="Times New Roman"/>
        </w:rPr>
        <w:t xml:space="preserve"> </w:t>
      </w:r>
      <w:proofErr w:type="spellStart"/>
      <w:r w:rsidRPr="00C106F2">
        <w:rPr>
          <w:rFonts w:cs="Times New Roman"/>
          <w:i/>
        </w:rPr>
        <w:t>Nouvelles</w:t>
      </w:r>
      <w:proofErr w:type="spellEnd"/>
      <w:r w:rsidRPr="00C106F2">
        <w:rPr>
          <w:rFonts w:cs="Times New Roman"/>
          <w:i/>
        </w:rPr>
        <w:t xml:space="preserve"> de la </w:t>
      </w:r>
      <w:proofErr w:type="spellStart"/>
      <w:r w:rsidRPr="00C106F2">
        <w:rPr>
          <w:rFonts w:cs="Times New Roman"/>
          <w:i/>
        </w:rPr>
        <w:t>Republique</w:t>
      </w:r>
      <w:proofErr w:type="spellEnd"/>
      <w:r w:rsidRPr="00C106F2">
        <w:rPr>
          <w:rFonts w:cs="Times New Roman"/>
          <w:i/>
        </w:rPr>
        <w:t xml:space="preserve"> des </w:t>
      </w:r>
      <w:proofErr w:type="spellStart"/>
      <w:r w:rsidRPr="00C106F2">
        <w:rPr>
          <w:rFonts w:cs="Times New Roman"/>
          <w:i/>
        </w:rPr>
        <w:t>lettres</w:t>
      </w:r>
      <w:proofErr w:type="spellEnd"/>
      <w:r w:rsidRPr="00C106F2">
        <w:rPr>
          <w:rFonts w:cs="Times New Roman"/>
        </w:rPr>
        <w:t xml:space="preserve"> (September 1710), </w:t>
      </w:r>
      <w:r>
        <w:rPr>
          <w:rFonts w:cs="Times New Roman"/>
        </w:rPr>
        <w:t xml:space="preserve">pp. </w:t>
      </w:r>
      <w:r w:rsidRPr="00C106F2">
        <w:rPr>
          <w:rFonts w:cs="Times New Roman"/>
        </w:rPr>
        <w:t>314-</w:t>
      </w:r>
      <w:r>
        <w:rPr>
          <w:rFonts w:cs="Times New Roman"/>
        </w:rPr>
        <w:t>3</w:t>
      </w:r>
      <w:r w:rsidRPr="00C106F2">
        <w:rPr>
          <w:rFonts w:cs="Times New Roman"/>
        </w:rPr>
        <w:t xml:space="preserve">42, at </w:t>
      </w:r>
      <w:r>
        <w:rPr>
          <w:rFonts w:cs="Times New Roman"/>
        </w:rPr>
        <w:t xml:space="preserve">p. </w:t>
      </w:r>
      <w:r w:rsidRPr="00C106F2">
        <w:rPr>
          <w:rFonts w:cs="Times New Roman"/>
        </w:rPr>
        <w:t>314. The second part of Bernard’s review was published the following month: (October 1710),</w:t>
      </w:r>
      <w:r>
        <w:rPr>
          <w:rFonts w:cs="Times New Roman"/>
        </w:rPr>
        <w:t xml:space="preserve"> pp.</w:t>
      </w:r>
      <w:r w:rsidRPr="00C106F2">
        <w:rPr>
          <w:rFonts w:cs="Times New Roman"/>
        </w:rPr>
        <w:t xml:space="preserve"> 363-</w:t>
      </w:r>
      <w:r>
        <w:rPr>
          <w:rFonts w:cs="Times New Roman"/>
        </w:rPr>
        <w:t>3</w:t>
      </w:r>
      <w:r w:rsidRPr="00C106F2">
        <w:rPr>
          <w:rFonts w:cs="Times New Roman"/>
        </w:rPr>
        <w:t>96.</w:t>
      </w:r>
    </w:p>
  </w:footnote>
  <w:footnote w:id="41">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Quite why de la Roche credited the </w:t>
      </w:r>
      <w:r w:rsidRPr="00C106F2">
        <w:rPr>
          <w:rFonts w:cs="Times New Roman"/>
          <w:i/>
        </w:rPr>
        <w:t>Theodicy</w:t>
      </w:r>
      <w:r w:rsidRPr="00C106F2">
        <w:rPr>
          <w:rFonts w:cs="Times New Roman"/>
        </w:rPr>
        <w:t xml:space="preserve"> to </w:t>
      </w:r>
      <w:proofErr w:type="spellStart"/>
      <w:r w:rsidRPr="00C106F2">
        <w:rPr>
          <w:rFonts w:cs="Times New Roman"/>
        </w:rPr>
        <w:t>Theodicaeus</w:t>
      </w:r>
      <w:proofErr w:type="spellEnd"/>
      <w:r w:rsidRPr="00C106F2">
        <w:rPr>
          <w:rFonts w:cs="Times New Roman"/>
        </w:rPr>
        <w:t xml:space="preserve"> is something of a mystery. It is certainly true that the first edition of the </w:t>
      </w:r>
      <w:r w:rsidRPr="00C106F2">
        <w:rPr>
          <w:rFonts w:cs="Times New Roman"/>
          <w:i/>
        </w:rPr>
        <w:t>Theodicy</w:t>
      </w:r>
      <w:r w:rsidRPr="00C106F2">
        <w:rPr>
          <w:rFonts w:cs="Times New Roman"/>
        </w:rPr>
        <w:t xml:space="preserve"> did not carry Leibniz’s name, but it is scarcely credible that de la Roche did not know that Leibniz was its author. As already noted, the very first issue of the </w:t>
      </w:r>
      <w:r w:rsidRPr="00C106F2">
        <w:rPr>
          <w:rFonts w:cs="Times New Roman"/>
          <w:i/>
        </w:rPr>
        <w:t>Memoirs of Literature</w:t>
      </w:r>
      <w:r w:rsidRPr="00C106F2">
        <w:rPr>
          <w:rFonts w:cs="Times New Roman"/>
        </w:rPr>
        <w:t xml:space="preserve"> had carried an announcement of Leibniz’s book, credited to Leibniz; moreover, in the first report of the book from issue 60, de la Roche describes the </w:t>
      </w:r>
      <w:r w:rsidRPr="00C106F2">
        <w:rPr>
          <w:rFonts w:cs="Times New Roman"/>
          <w:i/>
        </w:rPr>
        <w:t>Theodicy</w:t>
      </w:r>
      <w:r w:rsidRPr="00C106F2">
        <w:rPr>
          <w:rFonts w:cs="Times New Roman"/>
        </w:rPr>
        <w:t>’s author thus: “</w:t>
      </w:r>
      <w:proofErr w:type="spellStart"/>
      <w:r w:rsidRPr="00C106F2">
        <w:rPr>
          <w:rFonts w:cs="Times New Roman"/>
          <w:i/>
        </w:rPr>
        <w:t>Theodicaeus</w:t>
      </w:r>
      <w:proofErr w:type="spellEnd"/>
      <w:r w:rsidRPr="00C106F2">
        <w:rPr>
          <w:rFonts w:cs="Times New Roman"/>
        </w:rPr>
        <w:t xml:space="preserve">, </w:t>
      </w:r>
      <w:proofErr w:type="spellStart"/>
      <w:r w:rsidRPr="00C106F2">
        <w:rPr>
          <w:rFonts w:cs="Times New Roman"/>
        </w:rPr>
        <w:t>tho</w:t>
      </w:r>
      <w:proofErr w:type="spellEnd"/>
      <w:r w:rsidRPr="00C106F2">
        <w:rPr>
          <w:rFonts w:cs="Times New Roman"/>
        </w:rPr>
        <w:t xml:space="preserve">’ a Lay-man, is well </w:t>
      </w:r>
      <w:proofErr w:type="spellStart"/>
      <w:r w:rsidRPr="00C106F2">
        <w:rPr>
          <w:rFonts w:cs="Times New Roman"/>
        </w:rPr>
        <w:t>skill’d</w:t>
      </w:r>
      <w:proofErr w:type="spellEnd"/>
      <w:r w:rsidRPr="00C106F2">
        <w:rPr>
          <w:rFonts w:cs="Times New Roman"/>
        </w:rPr>
        <w:t xml:space="preserve"> in Divinity. He is an Excellent Philosopher, a Mathematician of the first Rank, a good Philologer, well </w:t>
      </w:r>
      <w:proofErr w:type="spellStart"/>
      <w:r w:rsidRPr="00C106F2">
        <w:rPr>
          <w:rFonts w:cs="Times New Roman"/>
        </w:rPr>
        <w:t>vers’d</w:t>
      </w:r>
      <w:proofErr w:type="spellEnd"/>
      <w:r w:rsidRPr="00C106F2">
        <w:rPr>
          <w:rFonts w:cs="Times New Roman"/>
        </w:rPr>
        <w:t xml:space="preserve"> in History and the Learned Languages; in a word, there is hardly any Man of a more Solid and Universal Learning”</w:t>
      </w:r>
      <w:r w:rsidR="00990764">
        <w:rPr>
          <w:rFonts w:cs="Times New Roman"/>
        </w:rPr>
        <w:t>.</w:t>
      </w:r>
      <w:r w:rsidRPr="00C106F2">
        <w:rPr>
          <w:rFonts w:cs="Times New Roman"/>
        </w:rPr>
        <w:t xml:space="preserve"> </w:t>
      </w:r>
      <w:r w:rsidRPr="00C106F2">
        <w:rPr>
          <w:rFonts w:cs="Times New Roman"/>
          <w:i/>
        </w:rPr>
        <w:t>Memoirs of Literature</w:t>
      </w:r>
      <w:r w:rsidRPr="00C106F2">
        <w:rPr>
          <w:rFonts w:cs="Times New Roman"/>
        </w:rPr>
        <w:t xml:space="preserve"> LX (30 April 1711), </w:t>
      </w:r>
      <w:r>
        <w:rPr>
          <w:rFonts w:cs="Times New Roman"/>
        </w:rPr>
        <w:t xml:space="preserve">p. </w:t>
      </w:r>
      <w:r w:rsidRPr="00C106F2">
        <w:rPr>
          <w:rFonts w:cs="Times New Roman"/>
        </w:rPr>
        <w:t xml:space="preserve">237. It is scarcely credible that de la Roche would have offered such a detailed description – which quite obviously picks out Leibniz – if he had not known who the author was. In all likelihood, de la Roche knew all along that Leibniz was the author of the </w:t>
      </w:r>
      <w:r w:rsidRPr="00C106F2">
        <w:rPr>
          <w:rFonts w:cs="Times New Roman"/>
          <w:i/>
        </w:rPr>
        <w:t>Theodicy</w:t>
      </w:r>
      <w:r w:rsidRPr="00C106F2">
        <w:rPr>
          <w:rFonts w:cs="Times New Roman"/>
        </w:rPr>
        <w:t xml:space="preserve">, but because the book was published anonymously he decided not to reveal the author’s identity in his reports on it, even though he had to all intents and purposes already done so many months earlier when announcing the forthcoming appearance of the book. In any case, when the first run of issues of the </w:t>
      </w:r>
      <w:r w:rsidRPr="00C106F2">
        <w:rPr>
          <w:rFonts w:cs="Times New Roman"/>
          <w:i/>
        </w:rPr>
        <w:t>Memoirs of Literature</w:t>
      </w:r>
      <w:r w:rsidRPr="00C106F2">
        <w:rPr>
          <w:rFonts w:cs="Times New Roman"/>
        </w:rPr>
        <w:t xml:space="preserve"> was subsequently reprinted in 1722, de la Roche replaced all references to “</w:t>
      </w:r>
      <w:proofErr w:type="spellStart"/>
      <w:r w:rsidRPr="00C106F2">
        <w:rPr>
          <w:rFonts w:cs="Times New Roman"/>
        </w:rPr>
        <w:t>Theodicaeus</w:t>
      </w:r>
      <w:proofErr w:type="spellEnd"/>
      <w:r w:rsidRPr="00C106F2">
        <w:rPr>
          <w:rFonts w:cs="Times New Roman"/>
        </w:rPr>
        <w:t>” with either Leibniz’s name, or “the author”</w:t>
      </w:r>
      <w:r w:rsidR="00990764">
        <w:rPr>
          <w:rFonts w:cs="Times New Roman"/>
        </w:rPr>
        <w:t>.</w:t>
      </w:r>
    </w:p>
  </w:footnote>
  <w:footnote w:id="42">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w:t>
      </w:r>
      <w:r w:rsidRPr="00C106F2">
        <w:rPr>
          <w:rFonts w:cs="Times New Roman"/>
          <w:i/>
        </w:rPr>
        <w:t>Memoirs of Literature</w:t>
      </w:r>
      <w:r w:rsidRPr="00C106F2">
        <w:rPr>
          <w:rFonts w:cs="Times New Roman"/>
        </w:rPr>
        <w:t xml:space="preserve"> LXV</w:t>
      </w:r>
      <w:r w:rsidRPr="00C106F2">
        <w:rPr>
          <w:rFonts w:cs="Times New Roman"/>
          <w:i/>
        </w:rPr>
        <w:t xml:space="preserve"> </w:t>
      </w:r>
      <w:r w:rsidRPr="00C106F2">
        <w:rPr>
          <w:rFonts w:cs="Times New Roman"/>
        </w:rPr>
        <w:t xml:space="preserve">(11 June 1711), </w:t>
      </w:r>
      <w:r>
        <w:rPr>
          <w:rFonts w:cs="Times New Roman"/>
        </w:rPr>
        <w:t xml:space="preserve">p. </w:t>
      </w:r>
      <w:r w:rsidRPr="00C106F2">
        <w:rPr>
          <w:rFonts w:cs="Times New Roman"/>
        </w:rPr>
        <w:t>257.</w:t>
      </w:r>
    </w:p>
  </w:footnote>
  <w:footnote w:id="43">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w:t>
      </w:r>
      <w:r w:rsidRPr="00C106F2">
        <w:rPr>
          <w:rFonts w:cs="Times New Roman"/>
          <w:i/>
        </w:rPr>
        <w:t>Memoirs of Literature</w:t>
      </w:r>
      <w:r w:rsidRPr="00C106F2">
        <w:rPr>
          <w:rFonts w:cs="Times New Roman"/>
        </w:rPr>
        <w:t xml:space="preserve"> LXV</w:t>
      </w:r>
      <w:r w:rsidRPr="00C106F2">
        <w:rPr>
          <w:rFonts w:cs="Times New Roman"/>
          <w:i/>
        </w:rPr>
        <w:t xml:space="preserve"> </w:t>
      </w:r>
      <w:r w:rsidRPr="00C106F2">
        <w:rPr>
          <w:rFonts w:cs="Times New Roman"/>
        </w:rPr>
        <w:t xml:space="preserve">(11 June 1711), </w:t>
      </w:r>
      <w:r>
        <w:rPr>
          <w:rFonts w:cs="Times New Roman"/>
        </w:rPr>
        <w:t xml:space="preserve">p. </w:t>
      </w:r>
      <w:r w:rsidRPr="00C106F2">
        <w:rPr>
          <w:rFonts w:cs="Times New Roman"/>
        </w:rPr>
        <w:t>259.</w:t>
      </w:r>
    </w:p>
  </w:footnote>
  <w:footnote w:id="44">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w:t>
      </w:r>
      <w:r w:rsidRPr="00C106F2">
        <w:rPr>
          <w:rFonts w:cs="Times New Roman"/>
          <w:i/>
        </w:rPr>
        <w:t>Memoirs of Literature</w:t>
      </w:r>
      <w:r w:rsidRPr="00C106F2">
        <w:rPr>
          <w:rFonts w:cs="Times New Roman"/>
        </w:rPr>
        <w:t xml:space="preserve"> LXV</w:t>
      </w:r>
      <w:r w:rsidRPr="00C106F2">
        <w:rPr>
          <w:rFonts w:cs="Times New Roman"/>
          <w:i/>
        </w:rPr>
        <w:t xml:space="preserve"> </w:t>
      </w:r>
      <w:r w:rsidRPr="00C106F2">
        <w:rPr>
          <w:rFonts w:cs="Times New Roman"/>
        </w:rPr>
        <w:t xml:space="preserve">(18 June 1711), </w:t>
      </w:r>
      <w:r>
        <w:rPr>
          <w:rFonts w:cs="Times New Roman"/>
        </w:rPr>
        <w:t xml:space="preserve">p. </w:t>
      </w:r>
      <w:r w:rsidRPr="00C106F2">
        <w:rPr>
          <w:rFonts w:cs="Times New Roman"/>
        </w:rPr>
        <w:t>261.</w:t>
      </w:r>
    </w:p>
  </w:footnote>
  <w:footnote w:id="45">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w:t>
      </w:r>
      <w:r w:rsidRPr="00C106F2">
        <w:rPr>
          <w:rFonts w:cs="Times New Roman"/>
          <w:i/>
        </w:rPr>
        <w:t>Memoirs of Literature</w:t>
      </w:r>
      <w:r w:rsidRPr="00C106F2">
        <w:rPr>
          <w:rFonts w:cs="Times New Roman"/>
        </w:rPr>
        <w:t xml:space="preserve"> LXV</w:t>
      </w:r>
      <w:r w:rsidRPr="00C106F2">
        <w:rPr>
          <w:rFonts w:cs="Times New Roman"/>
          <w:i/>
        </w:rPr>
        <w:t xml:space="preserve"> </w:t>
      </w:r>
      <w:r w:rsidRPr="00C106F2">
        <w:rPr>
          <w:rFonts w:cs="Times New Roman"/>
        </w:rPr>
        <w:t xml:space="preserve">(11 June 1711), </w:t>
      </w:r>
      <w:r>
        <w:rPr>
          <w:rFonts w:cs="Times New Roman"/>
        </w:rPr>
        <w:t xml:space="preserve">p. </w:t>
      </w:r>
      <w:r w:rsidRPr="00C106F2">
        <w:rPr>
          <w:rFonts w:cs="Times New Roman"/>
        </w:rPr>
        <w:t>259.</w:t>
      </w:r>
    </w:p>
  </w:footnote>
  <w:footnote w:id="46">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See Samuel </w:t>
      </w:r>
      <w:proofErr w:type="spellStart"/>
      <w:r w:rsidRPr="00C106F2">
        <w:rPr>
          <w:rFonts w:cs="Times New Roman"/>
        </w:rPr>
        <w:t>Urlsperger</w:t>
      </w:r>
      <w:proofErr w:type="spellEnd"/>
      <w:r w:rsidRPr="00C106F2">
        <w:rPr>
          <w:rFonts w:cs="Times New Roman"/>
        </w:rPr>
        <w:t xml:space="preserve"> to Leibniz, 4 January 1713, </w:t>
      </w:r>
      <w:proofErr w:type="spellStart"/>
      <w:r w:rsidRPr="00C106F2">
        <w:rPr>
          <w:rFonts w:cs="Times New Roman"/>
        </w:rPr>
        <w:t>LBr</w:t>
      </w:r>
      <w:proofErr w:type="spellEnd"/>
      <w:r w:rsidRPr="00C106F2">
        <w:rPr>
          <w:rFonts w:cs="Times New Roman"/>
        </w:rPr>
        <w:t xml:space="preserve"> 948 Bl. 1-2. I would like to thank Julia Weckend for transcribing and translating </w:t>
      </w:r>
      <w:proofErr w:type="spellStart"/>
      <w:r w:rsidRPr="00C106F2">
        <w:rPr>
          <w:rFonts w:cs="Times New Roman"/>
        </w:rPr>
        <w:t>Urlsperger’s</w:t>
      </w:r>
      <w:proofErr w:type="spellEnd"/>
      <w:r w:rsidRPr="00C106F2">
        <w:rPr>
          <w:rFonts w:cs="Times New Roman"/>
        </w:rPr>
        <w:t xml:space="preserve"> letter for me.</w:t>
      </w:r>
    </w:p>
  </w:footnote>
  <w:footnote w:id="47">
    <w:p w:rsidR="0077041C" w:rsidRPr="00C106F2" w:rsidRDefault="0077041C" w:rsidP="00594E81">
      <w:pPr>
        <w:spacing w:line="480" w:lineRule="auto"/>
        <w:rPr>
          <w:rFonts w:cs="Times New Roman"/>
          <w:sz w:val="20"/>
          <w:szCs w:val="20"/>
        </w:rPr>
      </w:pPr>
      <w:r w:rsidRPr="00C106F2">
        <w:rPr>
          <w:rStyle w:val="FootnoteReference"/>
          <w:rFonts w:cs="Times New Roman"/>
          <w:sz w:val="20"/>
          <w:szCs w:val="20"/>
          <w:vertAlign w:val="baseline"/>
        </w:rPr>
        <w:footnoteRef/>
      </w:r>
      <w:r w:rsidRPr="00C106F2">
        <w:rPr>
          <w:rFonts w:cs="Times New Roman"/>
          <w:sz w:val="20"/>
          <w:szCs w:val="20"/>
        </w:rPr>
        <w:t xml:space="preserve"> See Samuel </w:t>
      </w:r>
      <w:proofErr w:type="spellStart"/>
      <w:r w:rsidRPr="00C106F2">
        <w:rPr>
          <w:rFonts w:cs="Times New Roman"/>
          <w:sz w:val="20"/>
          <w:szCs w:val="20"/>
        </w:rPr>
        <w:t>Urlsperger</w:t>
      </w:r>
      <w:proofErr w:type="spellEnd"/>
      <w:r w:rsidRPr="00C106F2">
        <w:rPr>
          <w:rFonts w:cs="Times New Roman"/>
          <w:sz w:val="20"/>
          <w:szCs w:val="20"/>
        </w:rPr>
        <w:t xml:space="preserve"> to Leibniz, 4 January 1713, </w:t>
      </w:r>
      <w:proofErr w:type="spellStart"/>
      <w:r w:rsidRPr="00C106F2">
        <w:rPr>
          <w:rFonts w:cs="Times New Roman"/>
          <w:sz w:val="20"/>
          <w:szCs w:val="20"/>
        </w:rPr>
        <w:t>LBr</w:t>
      </w:r>
      <w:proofErr w:type="spellEnd"/>
      <w:r w:rsidRPr="00C106F2">
        <w:rPr>
          <w:rFonts w:cs="Times New Roman"/>
          <w:sz w:val="20"/>
          <w:szCs w:val="20"/>
        </w:rPr>
        <w:t xml:space="preserve"> 948 Bl. 3-4.</w:t>
      </w:r>
    </w:p>
  </w:footnote>
  <w:footnote w:id="48">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w:t>
      </w:r>
      <w:proofErr w:type="gramStart"/>
      <w:r w:rsidRPr="00C106F2">
        <w:rPr>
          <w:rFonts w:cs="Times New Roman"/>
        </w:rPr>
        <w:t>Though Leibniz was at least informed that de la Roche was an admirer.</w:t>
      </w:r>
      <w:proofErr w:type="gramEnd"/>
      <w:r w:rsidRPr="00C106F2">
        <w:rPr>
          <w:rFonts w:cs="Times New Roman"/>
        </w:rPr>
        <w:t xml:space="preserve"> For example, </w:t>
      </w:r>
      <w:proofErr w:type="spellStart"/>
      <w:r w:rsidRPr="00C106F2">
        <w:rPr>
          <w:rFonts w:cs="Times New Roman"/>
        </w:rPr>
        <w:t>Brandshagen</w:t>
      </w:r>
      <w:proofErr w:type="spellEnd"/>
      <w:r w:rsidRPr="00C106F2">
        <w:rPr>
          <w:rFonts w:cs="Times New Roman"/>
        </w:rPr>
        <w:t xml:space="preserve"> advised him that “Mons. </w:t>
      </w:r>
      <w:proofErr w:type="gramStart"/>
      <w:r w:rsidRPr="00C106F2">
        <w:rPr>
          <w:rFonts w:cs="Times New Roman"/>
        </w:rPr>
        <w:t>de</w:t>
      </w:r>
      <w:proofErr w:type="gramEnd"/>
      <w:r w:rsidRPr="00C106F2">
        <w:rPr>
          <w:rFonts w:cs="Times New Roman"/>
        </w:rPr>
        <w:t xml:space="preserve"> la Roche is the gentlemen who writes the Memoirs of </w:t>
      </w:r>
      <w:proofErr w:type="spellStart"/>
      <w:r w:rsidRPr="00C106F2">
        <w:rPr>
          <w:rFonts w:cs="Times New Roman"/>
        </w:rPr>
        <w:t>Lithiature</w:t>
      </w:r>
      <w:proofErr w:type="spellEnd"/>
      <w:r w:rsidRPr="00C106F2">
        <w:rPr>
          <w:rFonts w:cs="Times New Roman"/>
        </w:rPr>
        <w:t>, and who has a great veneration for your Excellency”</w:t>
      </w:r>
      <w:r w:rsidR="00990764">
        <w:rPr>
          <w:rFonts w:cs="Times New Roman"/>
        </w:rPr>
        <w:t>.</w:t>
      </w:r>
      <w:r w:rsidRPr="00C106F2">
        <w:rPr>
          <w:rFonts w:cs="Times New Roman"/>
        </w:rPr>
        <w:t xml:space="preserve"> Elisabeth </w:t>
      </w:r>
      <w:proofErr w:type="spellStart"/>
      <w:r w:rsidRPr="00C106F2">
        <w:rPr>
          <w:rFonts w:cs="Times New Roman"/>
        </w:rPr>
        <w:t>Brandshagen</w:t>
      </w:r>
      <w:proofErr w:type="spellEnd"/>
      <w:r w:rsidRPr="00C106F2">
        <w:rPr>
          <w:rFonts w:cs="Times New Roman"/>
        </w:rPr>
        <w:t xml:space="preserve"> to Leibniz, 18 April 1714, </w:t>
      </w:r>
      <w:proofErr w:type="spellStart"/>
      <w:r w:rsidRPr="00C106F2">
        <w:rPr>
          <w:rFonts w:cs="Times New Roman"/>
        </w:rPr>
        <w:t>durchgesehene</w:t>
      </w:r>
      <w:proofErr w:type="spellEnd"/>
      <w:r w:rsidRPr="00C106F2">
        <w:rPr>
          <w:rFonts w:cs="Times New Roman"/>
        </w:rPr>
        <w:t xml:space="preserve"> </w:t>
      </w:r>
      <w:proofErr w:type="spellStart"/>
      <w:r w:rsidRPr="00C106F2">
        <w:rPr>
          <w:rFonts w:cs="Times New Roman"/>
        </w:rPr>
        <w:t>Transkription</w:t>
      </w:r>
      <w:proofErr w:type="spellEnd"/>
      <w:r w:rsidRPr="00C106F2">
        <w:rPr>
          <w:rFonts w:cs="Times New Roman"/>
        </w:rPr>
        <w:t xml:space="preserve">, </w:t>
      </w:r>
      <w:proofErr w:type="spellStart"/>
      <w:r w:rsidRPr="00C106F2">
        <w:rPr>
          <w:rFonts w:cs="Times New Roman"/>
        </w:rPr>
        <w:t>Akademie-Ausgabe</w:t>
      </w:r>
      <w:proofErr w:type="spellEnd"/>
      <w:r w:rsidRPr="00C106F2">
        <w:rPr>
          <w:rFonts w:cs="Times New Roman"/>
        </w:rPr>
        <w:t xml:space="preserve"> Leibniz-Edition, Leibniz-</w:t>
      </w:r>
      <w:proofErr w:type="spellStart"/>
      <w:r w:rsidRPr="00C106F2">
        <w:rPr>
          <w:rFonts w:cs="Times New Roman"/>
        </w:rPr>
        <w:t>Archiv</w:t>
      </w:r>
      <w:proofErr w:type="spellEnd"/>
      <w:r w:rsidRPr="00C106F2">
        <w:rPr>
          <w:rFonts w:cs="Times New Roman"/>
        </w:rPr>
        <w:t xml:space="preserve"> / Leibniz-</w:t>
      </w:r>
      <w:proofErr w:type="spellStart"/>
      <w:r w:rsidRPr="00C106F2">
        <w:rPr>
          <w:rFonts w:cs="Times New Roman"/>
        </w:rPr>
        <w:t>Forschungsstelle</w:t>
      </w:r>
      <w:proofErr w:type="spellEnd"/>
      <w:r w:rsidRPr="00C106F2">
        <w:rPr>
          <w:rFonts w:cs="Times New Roman"/>
        </w:rPr>
        <w:t xml:space="preserve"> Hannover (</w:t>
      </w:r>
      <w:proofErr w:type="spellStart"/>
      <w:r w:rsidRPr="00C106F2">
        <w:rPr>
          <w:rFonts w:cs="Times New Roman"/>
        </w:rPr>
        <w:t>Änderungen</w:t>
      </w:r>
      <w:proofErr w:type="spellEnd"/>
      <w:r w:rsidRPr="00C106F2">
        <w:rPr>
          <w:rFonts w:cs="Times New Roman"/>
        </w:rPr>
        <w:t xml:space="preserve"> </w:t>
      </w:r>
      <w:proofErr w:type="spellStart"/>
      <w:proofErr w:type="gramStart"/>
      <w:r w:rsidRPr="00C106F2">
        <w:rPr>
          <w:rFonts w:cs="Times New Roman"/>
        </w:rPr>
        <w:t>bis</w:t>
      </w:r>
      <w:proofErr w:type="spellEnd"/>
      <w:proofErr w:type="gramEnd"/>
      <w:r w:rsidRPr="00C106F2">
        <w:rPr>
          <w:rFonts w:cs="Times New Roman"/>
        </w:rPr>
        <w:t xml:space="preserve"> </w:t>
      </w:r>
      <w:proofErr w:type="spellStart"/>
      <w:r w:rsidRPr="00C106F2">
        <w:rPr>
          <w:rFonts w:cs="Times New Roman"/>
        </w:rPr>
        <w:t>zur</w:t>
      </w:r>
      <w:proofErr w:type="spellEnd"/>
      <w:r w:rsidRPr="00C106F2">
        <w:rPr>
          <w:rFonts w:cs="Times New Roman"/>
        </w:rPr>
        <w:t xml:space="preserve"> </w:t>
      </w:r>
      <w:proofErr w:type="spellStart"/>
      <w:r w:rsidRPr="00C106F2">
        <w:rPr>
          <w:rFonts w:cs="Times New Roman"/>
        </w:rPr>
        <w:t>endgültigen</w:t>
      </w:r>
      <w:proofErr w:type="spellEnd"/>
      <w:r w:rsidRPr="00C106F2">
        <w:rPr>
          <w:rFonts w:cs="Times New Roman"/>
        </w:rPr>
        <w:t xml:space="preserve"> Edition </w:t>
      </w:r>
      <w:proofErr w:type="spellStart"/>
      <w:r w:rsidRPr="00C106F2">
        <w:rPr>
          <w:rFonts w:cs="Times New Roman"/>
        </w:rPr>
        <w:t>möglich</w:t>
      </w:r>
      <w:proofErr w:type="spellEnd"/>
      <w:r w:rsidRPr="00C106F2">
        <w:rPr>
          <w:rFonts w:cs="Times New Roman"/>
        </w:rPr>
        <w:t>), no. 1</w:t>
      </w:r>
      <w:r>
        <w:rPr>
          <w:rFonts w:cs="Times New Roman"/>
        </w:rPr>
        <w:t>37</w:t>
      </w:r>
      <w:r w:rsidRPr="00C106F2">
        <w:rPr>
          <w:rFonts w:cs="Times New Roman"/>
        </w:rPr>
        <w:t xml:space="preserve">, p. </w:t>
      </w:r>
      <w:r>
        <w:rPr>
          <w:rFonts w:cs="Times New Roman"/>
        </w:rPr>
        <w:t>164</w:t>
      </w:r>
      <w:r w:rsidRPr="00C106F2">
        <w:rPr>
          <w:rFonts w:cs="Times New Roman"/>
        </w:rPr>
        <w:t xml:space="preserve">, </w:t>
      </w:r>
      <w:hyperlink r:id="rId5" w:history="1">
        <w:r w:rsidRPr="00C106F2">
          <w:rPr>
            <w:rStyle w:val="Hyperlink"/>
            <w:rFonts w:cs="Times New Roman"/>
          </w:rPr>
          <w:t>http://www.gwlb.de/Leibniz/Leibnizarchiv/Veroeffentlichungen/Transkriptionen1714.pdf</w:t>
        </w:r>
      </w:hyperlink>
      <w:r>
        <w:rPr>
          <w:rFonts w:cs="Times New Roman"/>
        </w:rPr>
        <w:t xml:space="preserve"> (accessed 25</w:t>
      </w:r>
      <w:r w:rsidRPr="00C106F2">
        <w:rPr>
          <w:rFonts w:cs="Times New Roman"/>
        </w:rPr>
        <w:t xml:space="preserve"> </w:t>
      </w:r>
      <w:r>
        <w:rPr>
          <w:rFonts w:cs="Times New Roman"/>
        </w:rPr>
        <w:t>October</w:t>
      </w:r>
      <w:r w:rsidRPr="00C106F2">
        <w:rPr>
          <w:rFonts w:cs="Times New Roman"/>
        </w:rPr>
        <w:t xml:space="preserve"> 2014).</w:t>
      </w:r>
    </w:p>
  </w:footnote>
  <w:footnote w:id="49">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w:t>
      </w:r>
      <w:r w:rsidRPr="00C106F2">
        <w:rPr>
          <w:rFonts w:cs="Times New Roman"/>
          <w:i/>
        </w:rPr>
        <w:t>Memoirs of Literature</w:t>
      </w:r>
      <w:r w:rsidRPr="00C106F2">
        <w:rPr>
          <w:rFonts w:cs="Times New Roman"/>
        </w:rPr>
        <w:t xml:space="preserve"> LXI (7 May 1711), </w:t>
      </w:r>
      <w:r>
        <w:rPr>
          <w:rFonts w:cs="Times New Roman"/>
        </w:rPr>
        <w:t xml:space="preserve">p. </w:t>
      </w:r>
      <w:r w:rsidRPr="00C106F2">
        <w:rPr>
          <w:rFonts w:cs="Times New Roman"/>
        </w:rPr>
        <w:t xml:space="preserve">242. </w:t>
      </w:r>
      <w:r w:rsidRPr="00C106F2">
        <w:t xml:space="preserve">I here give the passage following de la Roche’s own translation. </w:t>
      </w:r>
      <w:r w:rsidRPr="00C106F2">
        <w:rPr>
          <w:rFonts w:cs="Times New Roman"/>
        </w:rPr>
        <w:t xml:space="preserve">The original passage from the </w:t>
      </w:r>
      <w:r w:rsidRPr="00C106F2">
        <w:rPr>
          <w:rFonts w:cs="Times New Roman"/>
          <w:i/>
        </w:rPr>
        <w:t>Theodicy</w:t>
      </w:r>
      <w:r w:rsidRPr="00C106F2">
        <w:rPr>
          <w:rFonts w:cs="Times New Roman"/>
        </w:rPr>
        <w:t xml:space="preserve"> can be found G</w:t>
      </w:r>
      <w:r>
        <w:rPr>
          <w:rFonts w:cs="Times New Roman"/>
        </w:rPr>
        <w:t>P</w:t>
      </w:r>
      <w:r w:rsidRPr="00C106F2">
        <w:rPr>
          <w:rFonts w:cs="Times New Roman"/>
        </w:rPr>
        <w:t xml:space="preserve"> VI, 60-</w:t>
      </w:r>
      <w:r>
        <w:rPr>
          <w:rFonts w:cs="Times New Roman"/>
        </w:rPr>
        <w:t>6</w:t>
      </w:r>
      <w:r w:rsidRPr="00C106F2">
        <w:rPr>
          <w:rFonts w:cs="Times New Roman"/>
        </w:rPr>
        <w:t>1.</w:t>
      </w:r>
    </w:p>
  </w:footnote>
  <w:footnote w:id="50">
    <w:p w:rsidR="0077041C" w:rsidRPr="00C106F2" w:rsidRDefault="0077041C" w:rsidP="00594E81">
      <w:pPr>
        <w:spacing w:line="480" w:lineRule="auto"/>
        <w:rPr>
          <w:rFonts w:cs="Times New Roman"/>
          <w:sz w:val="20"/>
          <w:szCs w:val="20"/>
        </w:rPr>
      </w:pPr>
      <w:r w:rsidRPr="00C106F2">
        <w:rPr>
          <w:rStyle w:val="FootnoteReference"/>
          <w:rFonts w:cs="Times New Roman"/>
          <w:sz w:val="20"/>
          <w:szCs w:val="20"/>
          <w:vertAlign w:val="baseline"/>
        </w:rPr>
        <w:footnoteRef/>
      </w:r>
      <w:r w:rsidRPr="00C106F2">
        <w:rPr>
          <w:rFonts w:cs="Times New Roman"/>
          <w:sz w:val="20"/>
          <w:szCs w:val="20"/>
        </w:rPr>
        <w:t xml:space="preserve"> Leibniz was apparently unaware that the same passage from the </w:t>
      </w:r>
      <w:r w:rsidRPr="00C106F2">
        <w:rPr>
          <w:rFonts w:cs="Times New Roman"/>
          <w:i/>
          <w:sz w:val="20"/>
          <w:szCs w:val="20"/>
        </w:rPr>
        <w:t>Theodicy</w:t>
      </w:r>
      <w:r w:rsidRPr="00C106F2">
        <w:rPr>
          <w:rFonts w:cs="Times New Roman"/>
          <w:sz w:val="20"/>
          <w:szCs w:val="20"/>
        </w:rPr>
        <w:t xml:space="preserve"> was quoted again in a later issue of the </w:t>
      </w:r>
      <w:r w:rsidRPr="00C106F2">
        <w:rPr>
          <w:rFonts w:cs="Times New Roman"/>
          <w:i/>
          <w:sz w:val="20"/>
          <w:szCs w:val="20"/>
        </w:rPr>
        <w:t>Memoirs of Literature</w:t>
      </w:r>
      <w:r w:rsidRPr="00C106F2">
        <w:rPr>
          <w:rFonts w:cs="Times New Roman"/>
          <w:sz w:val="20"/>
          <w:szCs w:val="20"/>
        </w:rPr>
        <w:t xml:space="preserve">. In 1713, de la Roche included a report of a book entitled </w:t>
      </w:r>
      <w:r w:rsidRPr="00C106F2">
        <w:rPr>
          <w:rFonts w:cs="Times New Roman"/>
          <w:i/>
          <w:sz w:val="20"/>
          <w:szCs w:val="20"/>
        </w:rPr>
        <w:t>Remarks upon a late Discourse of Free-Thinking</w:t>
      </w:r>
      <w:r w:rsidRPr="00C106F2">
        <w:rPr>
          <w:rFonts w:cs="Times New Roman"/>
          <w:sz w:val="20"/>
          <w:szCs w:val="20"/>
        </w:rPr>
        <w:t xml:space="preserve">, which as its title suggests was a response to Anthony Collins’ </w:t>
      </w:r>
      <w:r w:rsidRPr="00C106F2">
        <w:rPr>
          <w:rFonts w:cs="Times New Roman"/>
          <w:i/>
          <w:sz w:val="20"/>
          <w:szCs w:val="20"/>
        </w:rPr>
        <w:t>A Discourse of Free-Thinking</w:t>
      </w:r>
      <w:r w:rsidRPr="00C106F2">
        <w:rPr>
          <w:rFonts w:cs="Times New Roman"/>
          <w:sz w:val="20"/>
          <w:szCs w:val="20"/>
        </w:rPr>
        <w:t xml:space="preserve">. In the course of his report, de la Roche quoted a short passage from Collins about the Lutheran doctrine of the Eucharist: “The </w:t>
      </w:r>
      <w:r w:rsidRPr="00C106F2">
        <w:rPr>
          <w:rFonts w:cs="Times New Roman"/>
          <w:i/>
          <w:sz w:val="20"/>
          <w:szCs w:val="20"/>
        </w:rPr>
        <w:t>Lutheran Priests</w:t>
      </w:r>
      <w:r w:rsidRPr="00C106F2">
        <w:rPr>
          <w:rFonts w:cs="Times New Roman"/>
          <w:sz w:val="20"/>
          <w:szCs w:val="20"/>
        </w:rPr>
        <w:t xml:space="preserve"> ... contrary to the Testimony of </w:t>
      </w:r>
      <w:proofErr w:type="spellStart"/>
      <w:r w:rsidRPr="00C106F2">
        <w:rPr>
          <w:rFonts w:cs="Times New Roman"/>
          <w:sz w:val="20"/>
          <w:szCs w:val="20"/>
        </w:rPr>
        <w:t>Mens</w:t>
      </w:r>
      <w:proofErr w:type="spellEnd"/>
      <w:r w:rsidRPr="00C106F2">
        <w:rPr>
          <w:rFonts w:cs="Times New Roman"/>
          <w:sz w:val="20"/>
          <w:szCs w:val="20"/>
        </w:rPr>
        <w:t xml:space="preserve"> </w:t>
      </w:r>
      <w:proofErr w:type="gramStart"/>
      <w:r w:rsidRPr="00C106F2">
        <w:rPr>
          <w:rFonts w:cs="Times New Roman"/>
          <w:sz w:val="20"/>
          <w:szCs w:val="20"/>
        </w:rPr>
        <w:t>Senses,</w:t>
      </w:r>
      <w:proofErr w:type="gramEnd"/>
      <w:r w:rsidRPr="00C106F2">
        <w:rPr>
          <w:rFonts w:cs="Times New Roman"/>
          <w:sz w:val="20"/>
          <w:szCs w:val="20"/>
        </w:rPr>
        <w:t xml:space="preserve"> make their Followers believe, that the Body and Blood of Christ are superadded to the Bread and Wine”</w:t>
      </w:r>
      <w:r w:rsidR="00990764">
        <w:rPr>
          <w:rFonts w:cs="Times New Roman"/>
          <w:sz w:val="20"/>
          <w:szCs w:val="20"/>
        </w:rPr>
        <w:t>.</w:t>
      </w:r>
      <w:r w:rsidRPr="00C106F2">
        <w:rPr>
          <w:rFonts w:cs="Times New Roman"/>
          <w:sz w:val="20"/>
          <w:szCs w:val="20"/>
        </w:rPr>
        <w:t xml:space="preserve"> </w:t>
      </w:r>
      <w:proofErr w:type="gramStart"/>
      <w:r w:rsidRPr="00C106F2">
        <w:rPr>
          <w:rFonts w:cs="Times New Roman"/>
          <w:sz w:val="20"/>
          <w:szCs w:val="20"/>
        </w:rPr>
        <w:t>(A</w:t>
      </w:r>
      <w:r w:rsidR="006270A8">
        <w:rPr>
          <w:rFonts w:cs="Times New Roman"/>
          <w:sz w:val="20"/>
          <w:szCs w:val="20"/>
        </w:rPr>
        <w:t>.</w:t>
      </w:r>
      <w:r w:rsidRPr="00C106F2">
        <w:rPr>
          <w:rFonts w:cs="Times New Roman"/>
          <w:sz w:val="20"/>
          <w:szCs w:val="20"/>
        </w:rPr>
        <w:t xml:space="preserve"> Collins, </w:t>
      </w:r>
      <w:r w:rsidRPr="00C106F2">
        <w:rPr>
          <w:rFonts w:cs="Times New Roman"/>
          <w:i/>
          <w:sz w:val="20"/>
          <w:szCs w:val="20"/>
        </w:rPr>
        <w:t>A Discourse of Free-Thinking</w:t>
      </w:r>
      <w:r w:rsidRPr="00C106F2">
        <w:rPr>
          <w:rFonts w:cs="Times New Roman"/>
          <w:sz w:val="20"/>
          <w:szCs w:val="20"/>
        </w:rPr>
        <w:t xml:space="preserve"> (London, 1713), </w:t>
      </w:r>
      <w:r>
        <w:rPr>
          <w:rFonts w:cs="Times New Roman"/>
          <w:sz w:val="20"/>
          <w:szCs w:val="20"/>
        </w:rPr>
        <w:t xml:space="preserve">pp. </w:t>
      </w:r>
      <w:r w:rsidRPr="00C106F2">
        <w:rPr>
          <w:rFonts w:cs="Times New Roman"/>
          <w:sz w:val="20"/>
          <w:szCs w:val="20"/>
        </w:rPr>
        <w:t>24-</w:t>
      </w:r>
      <w:r>
        <w:rPr>
          <w:rFonts w:cs="Times New Roman"/>
          <w:sz w:val="20"/>
          <w:szCs w:val="20"/>
        </w:rPr>
        <w:t>2</w:t>
      </w:r>
      <w:r w:rsidRPr="00C106F2">
        <w:rPr>
          <w:rFonts w:cs="Times New Roman"/>
          <w:sz w:val="20"/>
          <w:szCs w:val="20"/>
        </w:rPr>
        <w:t>5.)</w:t>
      </w:r>
      <w:proofErr w:type="gramEnd"/>
      <w:r w:rsidRPr="00C106F2">
        <w:rPr>
          <w:rFonts w:cs="Times New Roman"/>
          <w:sz w:val="20"/>
          <w:szCs w:val="20"/>
        </w:rPr>
        <w:t xml:space="preserve"> Immediately after quoting that, de la Roche reminded his readers of a passage from §18 of the Preliminary Discourse to Leibniz’s </w:t>
      </w:r>
      <w:r w:rsidRPr="00C106F2">
        <w:rPr>
          <w:rFonts w:cs="Times New Roman"/>
          <w:i/>
          <w:sz w:val="20"/>
          <w:szCs w:val="20"/>
        </w:rPr>
        <w:t>Theodicy</w:t>
      </w:r>
      <w:r w:rsidRPr="00C106F2">
        <w:rPr>
          <w:rFonts w:cs="Times New Roman"/>
          <w:sz w:val="20"/>
          <w:szCs w:val="20"/>
        </w:rPr>
        <w:t xml:space="preserve"> that he had quoted in issue 61, before proceeding to repeat it verbatim. See </w:t>
      </w:r>
      <w:r w:rsidRPr="00C106F2">
        <w:rPr>
          <w:rFonts w:cs="Times New Roman"/>
          <w:i/>
          <w:sz w:val="20"/>
          <w:szCs w:val="20"/>
        </w:rPr>
        <w:t>Memoirs of Literature</w:t>
      </w:r>
      <w:r w:rsidRPr="00C106F2">
        <w:rPr>
          <w:rFonts w:cs="Times New Roman"/>
          <w:sz w:val="20"/>
          <w:szCs w:val="20"/>
        </w:rPr>
        <w:t xml:space="preserve"> (2ed) 6 (1722), </w:t>
      </w:r>
      <w:r>
        <w:rPr>
          <w:rFonts w:cs="Times New Roman"/>
          <w:sz w:val="20"/>
          <w:szCs w:val="20"/>
        </w:rPr>
        <w:t xml:space="preserve">pp. </w:t>
      </w:r>
      <w:r w:rsidRPr="00C106F2">
        <w:rPr>
          <w:rFonts w:cs="Times New Roman"/>
          <w:sz w:val="20"/>
          <w:szCs w:val="20"/>
        </w:rPr>
        <w:t>182-</w:t>
      </w:r>
      <w:r>
        <w:rPr>
          <w:rFonts w:cs="Times New Roman"/>
          <w:sz w:val="20"/>
          <w:szCs w:val="20"/>
        </w:rPr>
        <w:t>18</w:t>
      </w:r>
      <w:r w:rsidRPr="00C106F2">
        <w:rPr>
          <w:rFonts w:cs="Times New Roman"/>
          <w:sz w:val="20"/>
          <w:szCs w:val="20"/>
        </w:rPr>
        <w:t>3.</w:t>
      </w:r>
    </w:p>
  </w:footnote>
  <w:footnote w:id="51">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Leibniz to Thomas Burnett, 18 October 1712, </w:t>
      </w:r>
      <w:proofErr w:type="spellStart"/>
      <w:r w:rsidRPr="00C106F2">
        <w:rPr>
          <w:rFonts w:cs="Times New Roman"/>
        </w:rPr>
        <w:t>Dutens</w:t>
      </w:r>
      <w:proofErr w:type="spellEnd"/>
      <w:r w:rsidRPr="00C106F2">
        <w:rPr>
          <w:rFonts w:cs="Times New Roman"/>
        </w:rPr>
        <w:t xml:space="preserve"> VI</w:t>
      </w:r>
      <w:proofErr w:type="gramStart"/>
      <w:r w:rsidRPr="00C106F2">
        <w:rPr>
          <w:rFonts w:cs="Times New Roman"/>
        </w:rPr>
        <w:t>:1</w:t>
      </w:r>
      <w:proofErr w:type="gramEnd"/>
      <w:r w:rsidRPr="00C106F2">
        <w:rPr>
          <w:rFonts w:cs="Times New Roman"/>
        </w:rPr>
        <w:t>, 286-</w:t>
      </w:r>
      <w:r w:rsidR="00990764">
        <w:rPr>
          <w:rFonts w:cs="Times New Roman"/>
        </w:rPr>
        <w:t>28</w:t>
      </w:r>
      <w:r w:rsidRPr="00C106F2">
        <w:rPr>
          <w:rFonts w:cs="Times New Roman"/>
        </w:rPr>
        <w:t>7.</w:t>
      </w:r>
    </w:p>
  </w:footnote>
  <w:footnote w:id="52">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Leibniz to Sophie, 4 March 1713, </w:t>
      </w:r>
      <w:proofErr w:type="spellStart"/>
      <w:r w:rsidRPr="00C106F2">
        <w:rPr>
          <w:rFonts w:cs="Times New Roman"/>
        </w:rPr>
        <w:t>LBr</w:t>
      </w:r>
      <w:proofErr w:type="spellEnd"/>
      <w:r w:rsidRPr="00C106F2">
        <w:rPr>
          <w:rFonts w:cs="Times New Roman"/>
        </w:rPr>
        <w:t xml:space="preserve"> 948 Bl. 5.</w:t>
      </w:r>
    </w:p>
  </w:footnote>
  <w:footnote w:id="53">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Leibniz to Sophie, 4 March 1713, </w:t>
      </w:r>
      <w:proofErr w:type="spellStart"/>
      <w:r w:rsidRPr="00C106F2">
        <w:rPr>
          <w:rFonts w:cs="Times New Roman"/>
        </w:rPr>
        <w:t>LBr</w:t>
      </w:r>
      <w:proofErr w:type="spellEnd"/>
      <w:r w:rsidRPr="00C106F2">
        <w:rPr>
          <w:rFonts w:cs="Times New Roman"/>
        </w:rPr>
        <w:t xml:space="preserve"> 948 Bl. 5.</w:t>
      </w:r>
    </w:p>
  </w:footnote>
  <w:footnote w:id="54">
    <w:p w:rsidR="0077041C" w:rsidRPr="00C106F2" w:rsidRDefault="0077041C" w:rsidP="00594E81">
      <w:pPr>
        <w:pStyle w:val="FootnoteText"/>
        <w:spacing w:line="480" w:lineRule="auto"/>
      </w:pPr>
      <w:r w:rsidRPr="00C106F2">
        <w:rPr>
          <w:rStyle w:val="FootnoteReference"/>
          <w:vertAlign w:val="baseline"/>
        </w:rPr>
        <w:footnoteRef/>
      </w:r>
      <w:r w:rsidR="00990764">
        <w:t xml:space="preserve"> [G. W. Leibniz]:</w:t>
      </w:r>
      <w:r w:rsidRPr="00C106F2">
        <w:t xml:space="preserve"> </w:t>
      </w:r>
      <w:r w:rsidRPr="00C106F2">
        <w:rPr>
          <w:rFonts w:cs="Times New Roman"/>
          <w:i/>
        </w:rPr>
        <w:t>Anti-</w:t>
      </w:r>
      <w:proofErr w:type="spellStart"/>
      <w:r w:rsidRPr="00C106F2">
        <w:rPr>
          <w:rFonts w:cs="Times New Roman"/>
          <w:i/>
        </w:rPr>
        <w:t>Jacobite</w:t>
      </w:r>
      <w:proofErr w:type="spellEnd"/>
      <w:r w:rsidRPr="00C106F2">
        <w:rPr>
          <w:rFonts w:cs="Times New Roman"/>
          <w:i/>
        </w:rPr>
        <w:t xml:space="preserve"> </w:t>
      </w:r>
      <w:proofErr w:type="spellStart"/>
      <w:r w:rsidRPr="00C106F2">
        <w:rPr>
          <w:rFonts w:cs="Times New Roman"/>
          <w:i/>
        </w:rPr>
        <w:t>ou</w:t>
      </w:r>
      <w:proofErr w:type="spellEnd"/>
      <w:r w:rsidRPr="00C106F2">
        <w:rPr>
          <w:rFonts w:cs="Times New Roman"/>
          <w:i/>
        </w:rPr>
        <w:t xml:space="preserve"> </w:t>
      </w:r>
      <w:proofErr w:type="spellStart"/>
      <w:r w:rsidRPr="00C106F2">
        <w:rPr>
          <w:rFonts w:cs="Times New Roman"/>
          <w:i/>
        </w:rPr>
        <w:t>Faussetés</w:t>
      </w:r>
      <w:proofErr w:type="spellEnd"/>
      <w:r w:rsidRPr="00C106F2">
        <w:rPr>
          <w:rFonts w:cs="Times New Roman"/>
          <w:i/>
        </w:rPr>
        <w:t xml:space="preserve"> de </w:t>
      </w:r>
      <w:proofErr w:type="spellStart"/>
      <w:r w:rsidRPr="00C106F2">
        <w:rPr>
          <w:rFonts w:cs="Times New Roman"/>
          <w:i/>
        </w:rPr>
        <w:t>l’Avis</w:t>
      </w:r>
      <w:proofErr w:type="spellEnd"/>
      <w:r w:rsidRPr="00C106F2">
        <w:rPr>
          <w:rFonts w:cs="Times New Roman"/>
          <w:i/>
        </w:rPr>
        <w:t xml:space="preserve"> aux </w:t>
      </w:r>
      <w:proofErr w:type="spellStart"/>
      <w:r w:rsidRPr="00C106F2">
        <w:rPr>
          <w:rFonts w:cs="Times New Roman"/>
          <w:i/>
        </w:rPr>
        <w:t>proprietaires</w:t>
      </w:r>
      <w:proofErr w:type="spellEnd"/>
      <w:r w:rsidRPr="00C106F2">
        <w:rPr>
          <w:rFonts w:cs="Times New Roman"/>
          <w:i/>
        </w:rPr>
        <w:t xml:space="preserve"> </w:t>
      </w:r>
      <w:proofErr w:type="spellStart"/>
      <w:r w:rsidRPr="00C106F2">
        <w:rPr>
          <w:rFonts w:cs="Times New Roman"/>
          <w:i/>
        </w:rPr>
        <w:t>anglois</w:t>
      </w:r>
      <w:proofErr w:type="spellEnd"/>
      <w:r w:rsidRPr="00C106F2">
        <w:rPr>
          <w:rFonts w:cs="Times New Roman"/>
        </w:rPr>
        <w:t xml:space="preserve"> ([Hanover], 1715). It is reprinted in </w:t>
      </w:r>
      <w:proofErr w:type="spellStart"/>
      <w:r w:rsidRPr="00C106F2">
        <w:rPr>
          <w:rFonts w:cs="Times New Roman"/>
        </w:rPr>
        <w:t>Dutens</w:t>
      </w:r>
      <w:proofErr w:type="spellEnd"/>
      <w:r w:rsidRPr="00C106F2">
        <w:rPr>
          <w:rFonts w:cs="Times New Roman"/>
        </w:rPr>
        <w:t xml:space="preserve"> V, 575-604. As the pamphlet was published anonymously, Leibniz responded with calculated bewilderment to those who suspected it to be his work. For example, he writes one correspondent “I am astonished that the </w:t>
      </w:r>
      <w:r w:rsidRPr="00C106F2">
        <w:rPr>
          <w:rFonts w:cs="Times New Roman"/>
          <w:i/>
        </w:rPr>
        <w:t>Anti-Jacobite</w:t>
      </w:r>
      <w:r w:rsidRPr="00C106F2">
        <w:rPr>
          <w:rFonts w:cs="Times New Roman"/>
        </w:rPr>
        <w:t xml:space="preserve">, which was not published at Hanover, has been attributed to me.” </w:t>
      </w:r>
      <w:proofErr w:type="gramStart"/>
      <w:r w:rsidRPr="00C106F2">
        <w:rPr>
          <w:rFonts w:cs="Times New Roman"/>
        </w:rPr>
        <w:t xml:space="preserve">Leibniz to Johann Philip </w:t>
      </w:r>
      <w:proofErr w:type="spellStart"/>
      <w:r w:rsidRPr="00C106F2">
        <w:rPr>
          <w:rFonts w:cs="Times New Roman"/>
        </w:rPr>
        <w:t>Schmid</w:t>
      </w:r>
      <w:proofErr w:type="spellEnd"/>
      <w:r w:rsidRPr="00C106F2">
        <w:rPr>
          <w:rFonts w:cs="Times New Roman"/>
        </w:rPr>
        <w:t xml:space="preserve">, 4 July 1715, </w:t>
      </w:r>
      <w:proofErr w:type="spellStart"/>
      <w:r w:rsidRPr="00C106F2">
        <w:rPr>
          <w:rFonts w:cs="Times New Roman"/>
        </w:rPr>
        <w:t>Dutens</w:t>
      </w:r>
      <w:proofErr w:type="spellEnd"/>
      <w:r w:rsidRPr="00C106F2">
        <w:rPr>
          <w:rFonts w:cs="Times New Roman"/>
        </w:rPr>
        <w:t xml:space="preserve"> V, 532.</w:t>
      </w:r>
      <w:proofErr w:type="gramEnd"/>
      <w:r w:rsidRPr="00C106F2">
        <w:rPr>
          <w:rFonts w:cs="Times New Roman"/>
        </w:rPr>
        <w:t xml:space="preserve"> According to </w:t>
      </w:r>
      <w:proofErr w:type="spellStart"/>
      <w:r w:rsidRPr="00C106F2">
        <w:rPr>
          <w:rFonts w:cs="Times New Roman"/>
        </w:rPr>
        <w:t>Dutens</w:t>
      </w:r>
      <w:proofErr w:type="spellEnd"/>
      <w:r w:rsidRPr="00C106F2">
        <w:rPr>
          <w:rFonts w:cs="Times New Roman"/>
        </w:rPr>
        <w:t>, however, there is little doubt about Leibniz’s authorship. See also N</w:t>
      </w:r>
      <w:r w:rsidR="006270A8">
        <w:rPr>
          <w:rFonts w:cs="Times New Roman"/>
        </w:rPr>
        <w:t>.</w:t>
      </w:r>
      <w:r w:rsidRPr="00C106F2">
        <w:rPr>
          <w:rFonts w:cs="Times New Roman"/>
        </w:rPr>
        <w:t xml:space="preserve"> Harding</w:t>
      </w:r>
      <w:r w:rsidR="00990764">
        <w:rPr>
          <w:rFonts w:cs="Times New Roman"/>
        </w:rPr>
        <w:t>:</w:t>
      </w:r>
      <w:r w:rsidRPr="00C106F2">
        <w:rPr>
          <w:rFonts w:cs="Times New Roman"/>
        </w:rPr>
        <w:t xml:space="preserve"> </w:t>
      </w:r>
      <w:r w:rsidRPr="00C106F2">
        <w:rPr>
          <w:rFonts w:cs="Times New Roman"/>
          <w:i/>
        </w:rPr>
        <w:t xml:space="preserve">Hanover and the British Empire, 1700-1837 </w:t>
      </w:r>
      <w:r>
        <w:rPr>
          <w:rFonts w:cs="Times New Roman"/>
        </w:rPr>
        <w:t>(Woodbridge</w:t>
      </w:r>
      <w:r w:rsidRPr="00C106F2">
        <w:rPr>
          <w:rFonts w:cs="Times New Roman"/>
        </w:rPr>
        <w:t xml:space="preserve">, 2007), </w:t>
      </w:r>
      <w:r>
        <w:rPr>
          <w:rFonts w:cs="Times New Roman"/>
        </w:rPr>
        <w:t xml:space="preserve">pp. </w:t>
      </w:r>
      <w:r w:rsidRPr="00C106F2">
        <w:rPr>
          <w:rFonts w:cs="Times New Roman"/>
        </w:rPr>
        <w:t>50f.</w:t>
      </w:r>
    </w:p>
  </w:footnote>
  <w:footnote w:id="55">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w:t>
      </w:r>
      <w:proofErr w:type="gramStart"/>
      <w:r w:rsidRPr="00C106F2">
        <w:rPr>
          <w:rFonts w:cs="Times New Roman"/>
          <w:i/>
        </w:rPr>
        <w:t>Anti-</w:t>
      </w:r>
      <w:proofErr w:type="spellStart"/>
      <w:r w:rsidRPr="00C106F2">
        <w:rPr>
          <w:rFonts w:cs="Times New Roman"/>
          <w:i/>
        </w:rPr>
        <w:t>Jacobite</w:t>
      </w:r>
      <w:proofErr w:type="spellEnd"/>
      <w:r w:rsidRPr="00C106F2">
        <w:rPr>
          <w:rFonts w:cs="Times New Roman"/>
        </w:rPr>
        <w:t xml:space="preserve">, </w:t>
      </w:r>
      <w:proofErr w:type="spellStart"/>
      <w:r w:rsidRPr="00C106F2">
        <w:rPr>
          <w:rFonts w:cs="Times New Roman"/>
        </w:rPr>
        <w:t>Dutens</w:t>
      </w:r>
      <w:proofErr w:type="spellEnd"/>
      <w:r w:rsidRPr="00C106F2">
        <w:rPr>
          <w:rFonts w:cs="Times New Roman"/>
        </w:rPr>
        <w:t xml:space="preserve"> V, 594.</w:t>
      </w:r>
      <w:proofErr w:type="gramEnd"/>
    </w:p>
  </w:footnote>
  <w:footnote w:id="56">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Or at least, that presumably was his aim. If so, Leibniz’s reference was wrong. He wrote: “For clarification on this, one has only to see </w:t>
      </w:r>
      <w:r w:rsidRPr="00C106F2">
        <w:rPr>
          <w:rFonts w:cs="Times New Roman"/>
          <w:i/>
        </w:rPr>
        <w:t>the Memoirs of Literature</w:t>
      </w:r>
      <w:r w:rsidRPr="00C106F2">
        <w:rPr>
          <w:rFonts w:cs="Times New Roman"/>
        </w:rPr>
        <w:t xml:space="preserve"> of Mr de la Roche, vol. </w:t>
      </w:r>
      <w:proofErr w:type="gramStart"/>
      <w:r w:rsidRPr="00C106F2">
        <w:rPr>
          <w:rFonts w:cs="Times New Roman"/>
        </w:rPr>
        <w:t>I num. LX page 237.”</w:t>
      </w:r>
      <w:proofErr w:type="gramEnd"/>
      <w:r w:rsidRPr="00C106F2">
        <w:rPr>
          <w:rFonts w:cs="Times New Roman"/>
        </w:rPr>
        <w:t xml:space="preserve"> </w:t>
      </w:r>
      <w:proofErr w:type="gramStart"/>
      <w:r w:rsidR="00990764" w:rsidRPr="00C106F2">
        <w:rPr>
          <w:rFonts w:cs="Times New Roman"/>
          <w:i/>
        </w:rPr>
        <w:t>Anti-</w:t>
      </w:r>
      <w:proofErr w:type="spellStart"/>
      <w:r w:rsidR="00990764" w:rsidRPr="00C106F2">
        <w:rPr>
          <w:rFonts w:cs="Times New Roman"/>
          <w:i/>
        </w:rPr>
        <w:t>Jacobite</w:t>
      </w:r>
      <w:proofErr w:type="spellEnd"/>
      <w:r w:rsidR="00990764" w:rsidRPr="00C106F2">
        <w:rPr>
          <w:rFonts w:cs="Times New Roman"/>
        </w:rPr>
        <w:t xml:space="preserve">, </w:t>
      </w:r>
      <w:proofErr w:type="spellStart"/>
      <w:r w:rsidR="00990764" w:rsidRPr="00C106F2">
        <w:rPr>
          <w:rFonts w:cs="Times New Roman"/>
        </w:rPr>
        <w:t>Dutens</w:t>
      </w:r>
      <w:proofErr w:type="spellEnd"/>
      <w:r w:rsidR="00990764" w:rsidRPr="00C106F2">
        <w:rPr>
          <w:rFonts w:cs="Times New Roman"/>
        </w:rPr>
        <w:t xml:space="preserve"> V, 594.</w:t>
      </w:r>
      <w:proofErr w:type="gramEnd"/>
      <w:r w:rsidRPr="00C106F2">
        <w:rPr>
          <w:rFonts w:cs="Times New Roman"/>
        </w:rPr>
        <w:t xml:space="preserve"> This in fact points the reader to the first report of the </w:t>
      </w:r>
      <w:r w:rsidRPr="00C106F2">
        <w:rPr>
          <w:rFonts w:cs="Times New Roman"/>
          <w:i/>
        </w:rPr>
        <w:t>Theodicy</w:t>
      </w:r>
      <w:r w:rsidRPr="00C106F2">
        <w:rPr>
          <w:rFonts w:cs="Times New Roman"/>
        </w:rPr>
        <w:t xml:space="preserve"> in the </w:t>
      </w:r>
      <w:r w:rsidRPr="00C106F2">
        <w:rPr>
          <w:rFonts w:cs="Times New Roman"/>
          <w:i/>
        </w:rPr>
        <w:t>Memoirs of Literature</w:t>
      </w:r>
      <w:r w:rsidRPr="00C106F2">
        <w:rPr>
          <w:rFonts w:cs="Times New Roman"/>
        </w:rPr>
        <w:t xml:space="preserve">, whereas the material about the Lutheran doctrine of the Eucharist is to be found in the second report, that is, issue LXI (7 May 1711), </w:t>
      </w:r>
      <w:r>
        <w:rPr>
          <w:rFonts w:cs="Times New Roman"/>
        </w:rPr>
        <w:t xml:space="preserve">p. </w:t>
      </w:r>
      <w:r w:rsidRPr="00C106F2">
        <w:rPr>
          <w:rFonts w:cs="Times New Roman"/>
        </w:rPr>
        <w:t>242.</w:t>
      </w:r>
    </w:p>
  </w:footnote>
  <w:footnote w:id="57">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It is also possible that Leibniz had a less honourable motive for desiring the translation made. By his own admission it is clear that he desired the position of court historiographer in England in order to boost – in the midst of the priority dispute – his own honour along with that of Hanover and Germany, and in order that he might be perceived to be Newton’s equal. See Leibniz to Caroline, 10 May 1715, </w:t>
      </w:r>
      <w:proofErr w:type="spellStart"/>
      <w:r w:rsidRPr="0077041C">
        <w:rPr>
          <w:rFonts w:cs="Times New Roman"/>
        </w:rPr>
        <w:t>Klopp</w:t>
      </w:r>
      <w:proofErr w:type="spellEnd"/>
      <w:r w:rsidRPr="0077041C">
        <w:rPr>
          <w:rFonts w:cs="Times New Roman"/>
        </w:rPr>
        <w:t xml:space="preserve"> XI,</w:t>
      </w:r>
      <w:r w:rsidRPr="00C106F2">
        <w:rPr>
          <w:rFonts w:cs="Times New Roman"/>
        </w:rPr>
        <w:t xml:space="preserve"> 38. It would no doubt be possible to build a narrative in which his stated desire over the last two years of his life for an English translation of the </w:t>
      </w:r>
      <w:r w:rsidRPr="00C106F2">
        <w:rPr>
          <w:rFonts w:cs="Times New Roman"/>
          <w:i/>
        </w:rPr>
        <w:t>Theodicy</w:t>
      </w:r>
      <w:r w:rsidRPr="00C106F2">
        <w:rPr>
          <w:rFonts w:cs="Times New Roman"/>
        </w:rPr>
        <w:t xml:space="preserve"> was motivated by similar aims, especially since the plan was to have it dedicated to Caroline, who was at that time the highest ranking female royal in Britain. But I make no such claim here.</w:t>
      </w:r>
    </w:p>
  </w:footnote>
  <w:footnote w:id="58">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Leibniz to Caroline, 29 March 1715, </w:t>
      </w:r>
      <w:proofErr w:type="spellStart"/>
      <w:r>
        <w:rPr>
          <w:rFonts w:cs="Times New Roman"/>
        </w:rPr>
        <w:t>Klopp</w:t>
      </w:r>
      <w:proofErr w:type="spellEnd"/>
      <w:r>
        <w:rPr>
          <w:rFonts w:cs="Times New Roman"/>
        </w:rPr>
        <w:t xml:space="preserve"> XI</w:t>
      </w:r>
      <w:r w:rsidRPr="00C106F2">
        <w:rPr>
          <w:rFonts w:cs="Times New Roman"/>
        </w:rPr>
        <w:t>, 36.</w:t>
      </w:r>
    </w:p>
  </w:footnote>
  <w:footnote w:id="59">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It is not entirely clear from Leibniz’s remark whether he takes de la Roche to be suitable as translator because he is an Anglican theologian, or whether he thinks an Anglican theologian would be preferable to de la Roche. I am inclined to the former interpretation (since de la Roche certainly was an Anglican, and Leibniz clearly thought he was a Minister, even though he was not); Gregory Brown appears to endorse the latter; see his “‘[...] et je </w:t>
      </w:r>
      <w:proofErr w:type="spellStart"/>
      <w:r w:rsidRPr="00C106F2">
        <w:rPr>
          <w:rFonts w:cs="Times New Roman"/>
        </w:rPr>
        <w:t>serai</w:t>
      </w:r>
      <w:proofErr w:type="spellEnd"/>
      <w:r w:rsidRPr="00C106F2">
        <w:rPr>
          <w:rFonts w:cs="Times New Roman"/>
        </w:rPr>
        <w:t xml:space="preserve"> </w:t>
      </w:r>
      <w:proofErr w:type="spellStart"/>
      <w:r w:rsidRPr="00C106F2">
        <w:rPr>
          <w:rFonts w:cs="Times New Roman"/>
        </w:rPr>
        <w:t>tousjours</w:t>
      </w:r>
      <w:proofErr w:type="spellEnd"/>
      <w:r w:rsidRPr="00C106F2">
        <w:rPr>
          <w:rFonts w:cs="Times New Roman"/>
        </w:rPr>
        <w:t xml:space="preserve"> la </w:t>
      </w:r>
      <w:proofErr w:type="spellStart"/>
      <w:r w:rsidRPr="00C106F2">
        <w:rPr>
          <w:rFonts w:cs="Times New Roman"/>
        </w:rPr>
        <w:t>même</w:t>
      </w:r>
      <w:proofErr w:type="spellEnd"/>
      <w:r w:rsidRPr="00C106F2">
        <w:rPr>
          <w:rFonts w:cs="Times New Roman"/>
        </w:rPr>
        <w:t xml:space="preserve"> </w:t>
      </w:r>
      <w:r w:rsidR="00990764">
        <w:rPr>
          <w:rFonts w:cs="Times New Roman"/>
        </w:rPr>
        <w:t xml:space="preserve">pour </w:t>
      </w:r>
      <w:proofErr w:type="spellStart"/>
      <w:r w:rsidR="00990764">
        <w:rPr>
          <w:rFonts w:cs="Times New Roman"/>
        </w:rPr>
        <w:t>vous</w:t>
      </w:r>
      <w:proofErr w:type="spellEnd"/>
      <w:r w:rsidR="00990764">
        <w:rPr>
          <w:rFonts w:cs="Times New Roman"/>
        </w:rPr>
        <w:t>’</w:t>
      </w:r>
      <w:r w:rsidRPr="00C106F2">
        <w:rPr>
          <w:rFonts w:cs="Times New Roman"/>
        </w:rPr>
        <w:t>”</w:t>
      </w:r>
      <w:r w:rsidR="00990764">
        <w:rPr>
          <w:rFonts w:cs="Times New Roman"/>
        </w:rPr>
        <w:t>,</w:t>
      </w:r>
      <w:r w:rsidRPr="00C106F2">
        <w:rPr>
          <w:rFonts w:cs="Times New Roman"/>
        </w:rPr>
        <w:t xml:space="preserve"> </w:t>
      </w:r>
      <w:r>
        <w:rPr>
          <w:rFonts w:cs="Times New Roman"/>
        </w:rPr>
        <w:t xml:space="preserve">p. </w:t>
      </w:r>
      <w:r w:rsidRPr="00C106F2">
        <w:rPr>
          <w:rFonts w:cs="Times New Roman"/>
        </w:rPr>
        <w:t>273.</w:t>
      </w:r>
    </w:p>
  </w:footnote>
  <w:footnote w:id="60">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“I do not know whether the Frenchman Mr de la Roche (who has written the </w:t>
      </w:r>
      <w:r w:rsidRPr="00C106F2">
        <w:rPr>
          <w:rFonts w:cs="Times New Roman"/>
          <w:i/>
        </w:rPr>
        <w:t>Memoirs of Literature</w:t>
      </w:r>
      <w:r w:rsidRPr="00C106F2">
        <w:rPr>
          <w:rFonts w:cs="Times New Roman"/>
        </w:rPr>
        <w:t xml:space="preserve"> in English) writes English well enough in the judgement of connoisseurs for the task [of translation] to be entrusted to him. If he does, I think he would be the man to take it on”</w:t>
      </w:r>
      <w:r w:rsidR="00990764">
        <w:rPr>
          <w:rFonts w:cs="Times New Roman"/>
        </w:rPr>
        <w:t>.</w:t>
      </w:r>
      <w:r w:rsidRPr="00C106F2">
        <w:rPr>
          <w:rFonts w:cs="Times New Roman"/>
        </w:rPr>
        <w:t xml:space="preserve"> </w:t>
      </w:r>
      <w:proofErr w:type="gramStart"/>
      <w:r w:rsidRPr="00C106F2">
        <w:rPr>
          <w:rFonts w:cs="Times New Roman"/>
        </w:rPr>
        <w:t xml:space="preserve">Leibniz to Nicole </w:t>
      </w:r>
      <w:proofErr w:type="spellStart"/>
      <w:r w:rsidRPr="00C106F2">
        <w:rPr>
          <w:rFonts w:cs="Times New Roman"/>
        </w:rPr>
        <w:t>Remond</w:t>
      </w:r>
      <w:proofErr w:type="spellEnd"/>
      <w:r w:rsidRPr="00C106F2">
        <w:rPr>
          <w:rFonts w:cs="Times New Roman"/>
        </w:rPr>
        <w:t xml:space="preserve">, 6 December 1715, </w:t>
      </w:r>
      <w:proofErr w:type="spellStart"/>
      <w:r w:rsidRPr="00C106F2">
        <w:rPr>
          <w:rFonts w:cs="Times New Roman"/>
        </w:rPr>
        <w:t>Dutens</w:t>
      </w:r>
      <w:proofErr w:type="spellEnd"/>
      <w:r w:rsidRPr="00C106F2">
        <w:rPr>
          <w:rFonts w:cs="Times New Roman"/>
        </w:rPr>
        <w:t xml:space="preserve"> III, 449.</w:t>
      </w:r>
      <w:proofErr w:type="gramEnd"/>
      <w:r w:rsidRPr="00C106F2">
        <w:rPr>
          <w:rFonts w:cs="Times New Roman"/>
        </w:rPr>
        <w:t xml:space="preserve"> Leibniz goes on to suggest the theologian and linguist William Wotton (1666-1727) as a possible alternative.</w:t>
      </w:r>
    </w:p>
  </w:footnote>
  <w:footnote w:id="61">
    <w:p w:rsidR="0077041C" w:rsidRPr="00C106F2" w:rsidRDefault="0077041C" w:rsidP="00594E81">
      <w:pPr>
        <w:pStyle w:val="FootnoteText"/>
        <w:spacing w:line="480" w:lineRule="auto"/>
      </w:pPr>
      <w:r w:rsidRPr="00C106F2">
        <w:rPr>
          <w:rStyle w:val="FootnoteReference"/>
          <w:vertAlign w:val="baseline"/>
        </w:rPr>
        <w:footnoteRef/>
      </w:r>
      <w:r w:rsidRPr="00C106F2">
        <w:t xml:space="preserve"> See </w:t>
      </w:r>
      <w:r w:rsidRPr="00C106F2">
        <w:rPr>
          <w:rFonts w:cs="Times New Roman"/>
        </w:rPr>
        <w:t xml:space="preserve">Leibniz to Burnett, 18 October 1712, </w:t>
      </w:r>
      <w:proofErr w:type="spellStart"/>
      <w:r w:rsidRPr="00C106F2">
        <w:rPr>
          <w:rFonts w:cs="Times New Roman"/>
        </w:rPr>
        <w:t>Dutens</w:t>
      </w:r>
      <w:proofErr w:type="spellEnd"/>
      <w:r w:rsidRPr="00C106F2">
        <w:rPr>
          <w:rFonts w:cs="Times New Roman"/>
        </w:rPr>
        <w:t xml:space="preserve"> VI</w:t>
      </w:r>
      <w:proofErr w:type="gramStart"/>
      <w:r w:rsidRPr="00C106F2">
        <w:rPr>
          <w:rFonts w:cs="Times New Roman"/>
        </w:rPr>
        <w:t>:1</w:t>
      </w:r>
      <w:proofErr w:type="gramEnd"/>
      <w:r w:rsidRPr="00C106F2">
        <w:rPr>
          <w:rFonts w:cs="Times New Roman"/>
        </w:rPr>
        <w:t>, 287/G</w:t>
      </w:r>
      <w:r w:rsidR="00D92D94">
        <w:rPr>
          <w:rFonts w:cs="Times New Roman"/>
        </w:rPr>
        <w:t>P</w:t>
      </w:r>
      <w:r w:rsidRPr="00C106F2">
        <w:rPr>
          <w:rFonts w:cs="Times New Roman"/>
        </w:rPr>
        <w:t xml:space="preserve"> III</w:t>
      </w:r>
      <w:r w:rsidR="00990764">
        <w:rPr>
          <w:rFonts w:cs="Times New Roman"/>
        </w:rPr>
        <w:t>,</w:t>
      </w:r>
      <w:r w:rsidRPr="00C106F2">
        <w:rPr>
          <w:rFonts w:cs="Times New Roman"/>
        </w:rPr>
        <w:t xml:space="preserve"> 324.</w:t>
      </w:r>
    </w:p>
  </w:footnote>
  <w:footnote w:id="62">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Leibniz does not mention Trotter by name. Instead he writes: “This young lady, whose </w:t>
      </w:r>
      <w:r w:rsidRPr="00C106F2">
        <w:rPr>
          <w:rFonts w:cs="Times New Roman"/>
          <w:i/>
        </w:rPr>
        <w:t>Apology for Mr Locke</w:t>
      </w:r>
      <w:r w:rsidRPr="00C106F2">
        <w:rPr>
          <w:rFonts w:cs="Times New Roman"/>
        </w:rPr>
        <w:t xml:space="preserve"> you have mentioned to me, would also be in a very good position to form a judgement of it [sc. the </w:t>
      </w:r>
      <w:r w:rsidRPr="00C106F2">
        <w:rPr>
          <w:rFonts w:cs="Times New Roman"/>
          <w:i/>
        </w:rPr>
        <w:t>Theodicy</w:t>
      </w:r>
      <w:r w:rsidRPr="00C106F2">
        <w:rPr>
          <w:rFonts w:cs="Times New Roman"/>
        </w:rPr>
        <w:t>], if she und</w:t>
      </w:r>
      <w:r w:rsidR="00990764">
        <w:rPr>
          <w:rFonts w:cs="Times New Roman"/>
        </w:rPr>
        <w:t>erstands French</w:t>
      </w:r>
      <w:r w:rsidRPr="00C106F2">
        <w:rPr>
          <w:rFonts w:cs="Times New Roman"/>
        </w:rPr>
        <w:t>”</w:t>
      </w:r>
      <w:r w:rsidR="00990764">
        <w:rPr>
          <w:rFonts w:cs="Times New Roman"/>
        </w:rPr>
        <w:t>.</w:t>
      </w:r>
      <w:r w:rsidRPr="00C106F2">
        <w:rPr>
          <w:rFonts w:cs="Times New Roman"/>
        </w:rPr>
        <w:t xml:space="preserve"> Leibniz to Burnett, 30 October 1710, </w:t>
      </w:r>
      <w:proofErr w:type="spellStart"/>
      <w:r w:rsidRPr="00C106F2">
        <w:rPr>
          <w:rFonts w:cs="Times New Roman"/>
        </w:rPr>
        <w:t>Dutens</w:t>
      </w:r>
      <w:proofErr w:type="spellEnd"/>
      <w:r w:rsidRPr="00C106F2">
        <w:rPr>
          <w:rFonts w:cs="Times New Roman"/>
        </w:rPr>
        <w:t xml:space="preserve"> VI</w:t>
      </w:r>
      <w:proofErr w:type="gramStart"/>
      <w:r w:rsidRPr="00C106F2">
        <w:rPr>
          <w:rFonts w:cs="Times New Roman"/>
        </w:rPr>
        <w:t>:1</w:t>
      </w:r>
      <w:proofErr w:type="gramEnd"/>
      <w:r w:rsidRPr="00C106F2">
        <w:rPr>
          <w:rFonts w:cs="Times New Roman"/>
        </w:rPr>
        <w:t>, 285/G</w:t>
      </w:r>
      <w:r w:rsidR="00D92D94">
        <w:rPr>
          <w:rFonts w:cs="Times New Roman"/>
        </w:rPr>
        <w:t>P</w:t>
      </w:r>
      <w:r w:rsidRPr="00C106F2">
        <w:rPr>
          <w:rFonts w:cs="Times New Roman"/>
        </w:rPr>
        <w:t xml:space="preserve"> III 322. Leibniz is referring here to Trotter’s </w:t>
      </w:r>
      <w:r w:rsidRPr="00C106F2">
        <w:rPr>
          <w:rFonts w:cs="Times New Roman"/>
          <w:i/>
        </w:rPr>
        <w:t>A Defence of Mr. Lock’s Essay of Human Understanding</w:t>
      </w:r>
      <w:r w:rsidRPr="00C106F2">
        <w:rPr>
          <w:rFonts w:cs="Times New Roman"/>
        </w:rPr>
        <w:t xml:space="preserve"> (London, 1702).</w:t>
      </w:r>
    </w:p>
  </w:footnote>
  <w:footnote w:id="63">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w:t>
      </w:r>
      <w:proofErr w:type="gramStart"/>
      <w:r w:rsidRPr="00C106F2">
        <w:rPr>
          <w:rFonts w:cs="Times New Roman"/>
        </w:rPr>
        <w:t xml:space="preserve">See Caroline to Leibniz, 30 December 1715/10 January 1716, </w:t>
      </w:r>
      <w:proofErr w:type="spellStart"/>
      <w:r w:rsidR="00D92D94">
        <w:rPr>
          <w:rFonts w:cs="Times New Roman"/>
        </w:rPr>
        <w:t>Klopp</w:t>
      </w:r>
      <w:proofErr w:type="spellEnd"/>
      <w:r w:rsidR="00D92D94">
        <w:rPr>
          <w:rFonts w:cs="Times New Roman"/>
        </w:rPr>
        <w:t xml:space="preserve"> XI</w:t>
      </w:r>
      <w:r w:rsidRPr="00C106F2">
        <w:rPr>
          <w:rFonts w:cs="Times New Roman"/>
        </w:rPr>
        <w:t xml:space="preserve">, 72, and Caroline to Leibniz 15/26 June 1716, </w:t>
      </w:r>
      <w:proofErr w:type="spellStart"/>
      <w:r w:rsidR="00D92D94">
        <w:rPr>
          <w:rFonts w:cs="Times New Roman"/>
        </w:rPr>
        <w:t>Klopp</w:t>
      </w:r>
      <w:proofErr w:type="spellEnd"/>
      <w:r w:rsidR="00D92D94">
        <w:rPr>
          <w:rFonts w:cs="Times New Roman"/>
        </w:rPr>
        <w:t xml:space="preserve"> XI</w:t>
      </w:r>
      <w:r w:rsidRPr="00C106F2">
        <w:rPr>
          <w:rFonts w:cs="Times New Roman"/>
        </w:rPr>
        <w:t>, 115.</w:t>
      </w:r>
      <w:proofErr w:type="gramEnd"/>
      <w:r w:rsidRPr="00C106F2">
        <w:rPr>
          <w:rFonts w:cs="Times New Roman"/>
        </w:rPr>
        <w:t xml:space="preserve"> Wake became Archbishop of Canterbury in December 1715. There was little direct communication between Leibniz and Wake, just a single letter written by Leibniz shortly before his death, and the </w:t>
      </w:r>
      <w:r w:rsidRPr="00C106F2">
        <w:rPr>
          <w:rFonts w:cs="Times New Roman"/>
          <w:i/>
        </w:rPr>
        <w:t>Theodicy</w:t>
      </w:r>
      <w:r w:rsidRPr="00C106F2">
        <w:rPr>
          <w:rFonts w:cs="Times New Roman"/>
        </w:rPr>
        <w:t xml:space="preserve"> is not mentioned in it. See Leibniz to Wake, 16 October 1716, </w:t>
      </w:r>
      <w:proofErr w:type="spellStart"/>
      <w:r w:rsidRPr="00C106F2">
        <w:rPr>
          <w:rFonts w:cs="Times New Roman"/>
        </w:rPr>
        <w:t>Göttingen</w:t>
      </w:r>
      <w:proofErr w:type="spellEnd"/>
      <w:r w:rsidRPr="00C106F2">
        <w:rPr>
          <w:rFonts w:cs="Times New Roman"/>
        </w:rPr>
        <w:t xml:space="preserve"> </w:t>
      </w:r>
      <w:proofErr w:type="spellStart"/>
      <w:r w:rsidRPr="00C106F2">
        <w:rPr>
          <w:rFonts w:cs="Times New Roman"/>
        </w:rPr>
        <w:t>StUB</w:t>
      </w:r>
      <w:proofErr w:type="spellEnd"/>
      <w:r w:rsidRPr="00C106F2">
        <w:rPr>
          <w:rFonts w:cs="Times New Roman"/>
        </w:rPr>
        <w:t xml:space="preserve"> </w:t>
      </w:r>
      <w:proofErr w:type="spellStart"/>
      <w:r w:rsidRPr="00C106F2">
        <w:rPr>
          <w:rFonts w:cs="Times New Roman"/>
        </w:rPr>
        <w:t>Ms.Phil</w:t>
      </w:r>
      <w:proofErr w:type="spellEnd"/>
      <w:r w:rsidRPr="00C106F2">
        <w:rPr>
          <w:rFonts w:cs="Times New Roman"/>
        </w:rPr>
        <w:t>. 138 Bl. 110-111.</w:t>
      </w:r>
    </w:p>
  </w:footnote>
  <w:footnote w:id="64">
    <w:p w:rsidR="004F2841" w:rsidRDefault="004F2841" w:rsidP="00594E81">
      <w:pPr>
        <w:pStyle w:val="FootnoteText"/>
        <w:spacing w:line="480" w:lineRule="auto"/>
      </w:pPr>
      <w:r w:rsidRPr="004F2841">
        <w:rPr>
          <w:rStyle w:val="FootnoteReference"/>
          <w:vertAlign w:val="baseline"/>
        </w:rPr>
        <w:footnoteRef/>
      </w:r>
      <w:r w:rsidRPr="004F2841">
        <w:t xml:space="preserve"> </w:t>
      </w:r>
      <w:r>
        <w:t>This letter is published for the first time in an appendix to this paper.</w:t>
      </w:r>
    </w:p>
  </w:footnote>
  <w:footnote w:id="65">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Leibniz’s letter of 29 March 1715 can be found in </w:t>
      </w:r>
      <w:proofErr w:type="spellStart"/>
      <w:r w:rsidR="00D92D94">
        <w:rPr>
          <w:rFonts w:cs="Times New Roman"/>
        </w:rPr>
        <w:t>Klopp</w:t>
      </w:r>
      <w:proofErr w:type="spellEnd"/>
      <w:r w:rsidR="00D92D94">
        <w:rPr>
          <w:rFonts w:cs="Times New Roman"/>
        </w:rPr>
        <w:t xml:space="preserve"> XI</w:t>
      </w:r>
      <w:r w:rsidRPr="00C106F2">
        <w:rPr>
          <w:rFonts w:cs="Times New Roman"/>
        </w:rPr>
        <w:t>, 35-</w:t>
      </w:r>
      <w:r w:rsidR="00D92D94">
        <w:rPr>
          <w:rFonts w:cs="Times New Roman"/>
        </w:rPr>
        <w:t>3</w:t>
      </w:r>
      <w:r w:rsidRPr="00C106F2">
        <w:rPr>
          <w:rFonts w:cs="Times New Roman"/>
        </w:rPr>
        <w:t xml:space="preserve">6. However, enclosed with the letter was a separate appendix containing a point-by-point rebuttal of </w:t>
      </w:r>
      <w:proofErr w:type="spellStart"/>
      <w:r w:rsidRPr="00C106F2">
        <w:rPr>
          <w:rFonts w:cs="Times New Roman"/>
        </w:rPr>
        <w:t>Smalridge’s</w:t>
      </w:r>
      <w:proofErr w:type="spellEnd"/>
      <w:r w:rsidRPr="00C106F2">
        <w:rPr>
          <w:rFonts w:cs="Times New Roman"/>
        </w:rPr>
        <w:t xml:space="preserve"> criticisms; this is not published in </w:t>
      </w:r>
      <w:proofErr w:type="spellStart"/>
      <w:r w:rsidRPr="00C106F2">
        <w:rPr>
          <w:rFonts w:cs="Times New Roman"/>
        </w:rPr>
        <w:t>Klopp</w:t>
      </w:r>
      <w:proofErr w:type="spellEnd"/>
      <w:r w:rsidRPr="00C106F2">
        <w:rPr>
          <w:rFonts w:cs="Times New Roman"/>
        </w:rPr>
        <w:t>.</w:t>
      </w:r>
    </w:p>
  </w:footnote>
  <w:footnote w:id="66">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It might be wondered whether </w:t>
      </w:r>
      <w:proofErr w:type="spellStart"/>
      <w:r w:rsidRPr="00C106F2">
        <w:rPr>
          <w:rFonts w:cs="Times New Roman"/>
        </w:rPr>
        <w:t>Smalridge’s</w:t>
      </w:r>
      <w:proofErr w:type="spellEnd"/>
      <w:r w:rsidRPr="00C106F2">
        <w:rPr>
          <w:rFonts w:cs="Times New Roman"/>
        </w:rPr>
        <w:t xml:space="preserve"> negative verdict of the </w:t>
      </w:r>
      <w:r w:rsidRPr="00C106F2">
        <w:rPr>
          <w:rFonts w:cs="Times New Roman"/>
          <w:i/>
        </w:rPr>
        <w:t>Theodicy</w:t>
      </w:r>
      <w:r w:rsidRPr="00C106F2">
        <w:rPr>
          <w:rFonts w:cs="Times New Roman"/>
        </w:rPr>
        <w:t xml:space="preserve"> may have been motivated, at least in part, by the priority dispute, which did wonders to blacken Leibniz’s name in England, but I have found no evidence to suppose that it was.</w:t>
      </w:r>
    </w:p>
  </w:footnote>
  <w:footnote w:id="67">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It is not unreasonable to suppose that Leibniz may have been surprised – and perhaps hurt – to hear that Caroline found the </w:t>
      </w:r>
      <w:r w:rsidRPr="00C106F2">
        <w:rPr>
          <w:rFonts w:cs="Times New Roman"/>
          <w:i/>
        </w:rPr>
        <w:t>Theodicy</w:t>
      </w:r>
      <w:r w:rsidRPr="00C106F2">
        <w:rPr>
          <w:rFonts w:cs="Times New Roman"/>
        </w:rPr>
        <w:t xml:space="preserve"> obscure. He was often keen to inform correspondents that Caroline had read the </w:t>
      </w:r>
      <w:r w:rsidRPr="00C106F2">
        <w:rPr>
          <w:rFonts w:cs="Times New Roman"/>
          <w:i/>
        </w:rPr>
        <w:t>Theodicy</w:t>
      </w:r>
      <w:r w:rsidRPr="00C106F2">
        <w:rPr>
          <w:rFonts w:cs="Times New Roman"/>
        </w:rPr>
        <w:t xml:space="preserve"> repeatedly, and had approved it. It is notable that Leibniz continued to make these claims to correspondents even after learning that Caroline found the </w:t>
      </w:r>
      <w:r w:rsidRPr="00C106F2">
        <w:rPr>
          <w:rFonts w:cs="Times New Roman"/>
          <w:i/>
        </w:rPr>
        <w:t>Theodicy</w:t>
      </w:r>
      <w:r w:rsidRPr="00C106F2">
        <w:rPr>
          <w:rFonts w:cs="Times New Roman"/>
        </w:rPr>
        <w:t xml:space="preserve"> obscure. See for example Leibniz to </w:t>
      </w:r>
      <w:proofErr w:type="spellStart"/>
      <w:r w:rsidRPr="00C106F2">
        <w:rPr>
          <w:rFonts w:cs="Times New Roman"/>
        </w:rPr>
        <w:t>Bourguet</w:t>
      </w:r>
      <w:proofErr w:type="spellEnd"/>
      <w:r w:rsidRPr="00C106F2">
        <w:rPr>
          <w:rFonts w:cs="Times New Roman"/>
        </w:rPr>
        <w:t>, 3 April 1716, G</w:t>
      </w:r>
      <w:r w:rsidR="00D92D94">
        <w:rPr>
          <w:rFonts w:cs="Times New Roman"/>
        </w:rPr>
        <w:t>P</w:t>
      </w:r>
      <w:r w:rsidRPr="00C106F2">
        <w:rPr>
          <w:rFonts w:cs="Times New Roman"/>
        </w:rPr>
        <w:t xml:space="preserve"> III 593: “You are right to think, Sir, that Madam the Princess of Wales must have a wonderfully elevated mind, since she goes so deeply into matters so sublime. To confirm this I will tell you that she has read the </w:t>
      </w:r>
      <w:r w:rsidRPr="00C106F2">
        <w:rPr>
          <w:rFonts w:cs="Times New Roman"/>
          <w:i/>
        </w:rPr>
        <w:t>Theodicy</w:t>
      </w:r>
      <w:r w:rsidRPr="00C106F2">
        <w:rPr>
          <w:rFonts w:cs="Times New Roman"/>
        </w:rPr>
        <w:t xml:space="preserve"> more than once, and with appreciation, and that she laughed at those who had wanted to turn her away from this reading under the pretext that things in it were too abstract”</w:t>
      </w:r>
      <w:r w:rsidR="00990764">
        <w:rPr>
          <w:rFonts w:cs="Times New Roman"/>
        </w:rPr>
        <w:t>.</w:t>
      </w:r>
      <w:r w:rsidRPr="00C106F2">
        <w:rPr>
          <w:rFonts w:cs="Times New Roman"/>
        </w:rPr>
        <w:t xml:space="preserve"> See also Leibniz to Christian Wolff, 23 December 1715, </w:t>
      </w:r>
      <w:r w:rsidR="00990764">
        <w:rPr>
          <w:rFonts w:cs="Times New Roman"/>
        </w:rPr>
        <w:t xml:space="preserve">in: </w:t>
      </w:r>
      <w:proofErr w:type="spellStart"/>
      <w:r w:rsidRPr="00C106F2">
        <w:rPr>
          <w:rFonts w:cs="Times New Roman"/>
          <w:i/>
        </w:rPr>
        <w:t>Briefwechsel</w:t>
      </w:r>
      <w:proofErr w:type="spellEnd"/>
      <w:r w:rsidRPr="00C106F2">
        <w:rPr>
          <w:rFonts w:cs="Times New Roman"/>
          <w:i/>
        </w:rPr>
        <w:t xml:space="preserve"> </w:t>
      </w:r>
      <w:proofErr w:type="spellStart"/>
      <w:r w:rsidRPr="00C106F2">
        <w:rPr>
          <w:rFonts w:cs="Times New Roman"/>
          <w:i/>
        </w:rPr>
        <w:t>zwischen</w:t>
      </w:r>
      <w:proofErr w:type="spellEnd"/>
      <w:r w:rsidRPr="00C106F2">
        <w:rPr>
          <w:rFonts w:cs="Times New Roman"/>
          <w:i/>
        </w:rPr>
        <w:t xml:space="preserve"> Leibniz und Chr. Wolf</w:t>
      </w:r>
      <w:r w:rsidRPr="00C106F2">
        <w:rPr>
          <w:rFonts w:cs="Times New Roman"/>
        </w:rPr>
        <w:t xml:space="preserve">, ed. C. I. Gerhardt (Halle, 1860), </w:t>
      </w:r>
      <w:r w:rsidR="00D92D94">
        <w:rPr>
          <w:rFonts w:cs="Times New Roman"/>
        </w:rPr>
        <w:t xml:space="preserve">pp. </w:t>
      </w:r>
      <w:r w:rsidRPr="00C106F2">
        <w:rPr>
          <w:rFonts w:cs="Times New Roman"/>
        </w:rPr>
        <w:t>180-</w:t>
      </w:r>
      <w:r w:rsidR="00D92D94">
        <w:rPr>
          <w:rFonts w:cs="Times New Roman"/>
        </w:rPr>
        <w:t>18</w:t>
      </w:r>
      <w:r w:rsidRPr="00C106F2">
        <w:rPr>
          <w:rFonts w:cs="Times New Roman"/>
        </w:rPr>
        <w:t>1.</w:t>
      </w:r>
    </w:p>
  </w:footnote>
  <w:footnote w:id="68">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w:t>
      </w:r>
      <w:proofErr w:type="spellStart"/>
      <w:proofErr w:type="gramStart"/>
      <w:r w:rsidRPr="00C106F2">
        <w:rPr>
          <w:rFonts w:cs="Times New Roman"/>
        </w:rPr>
        <w:t>Smalridge</w:t>
      </w:r>
      <w:proofErr w:type="spellEnd"/>
      <w:r w:rsidRPr="00C106F2">
        <w:rPr>
          <w:rFonts w:cs="Times New Roman"/>
        </w:rPr>
        <w:t xml:space="preserve"> to Caroline, 4 March 1715, LH 4, 4, 1 Bl. 2v.</w:t>
      </w:r>
      <w:proofErr w:type="gramEnd"/>
      <w:r w:rsidRPr="00C106F2">
        <w:rPr>
          <w:rFonts w:cs="Times New Roman"/>
        </w:rPr>
        <w:t xml:space="preserve"> It is notable that, in his fifth letter to Leibniz (probably written after Leibniz’s death), Samuel Clarke also complained about Leibniz’s use of the term “hypothetical necessity”: “Necessity, in Philosophical Questions, always signifies absolute Necessity. Hypothetical Necessity, and Moral Necessity, are only Figurative Ways of Speaking, and in Philosophical strictness of Truth, are no Necessity at all”</w:t>
      </w:r>
      <w:r w:rsidR="00990764">
        <w:rPr>
          <w:rFonts w:cs="Times New Roman"/>
        </w:rPr>
        <w:t>.</w:t>
      </w:r>
      <w:r w:rsidRPr="00C106F2">
        <w:rPr>
          <w:rFonts w:cs="Times New Roman"/>
        </w:rPr>
        <w:t xml:space="preserve"> G</w:t>
      </w:r>
      <w:r w:rsidR="00D92D94">
        <w:rPr>
          <w:rFonts w:cs="Times New Roman"/>
        </w:rPr>
        <w:t>P</w:t>
      </w:r>
      <w:r w:rsidRPr="00C106F2">
        <w:rPr>
          <w:rFonts w:cs="Times New Roman"/>
        </w:rPr>
        <w:t xml:space="preserve"> VII</w:t>
      </w:r>
      <w:r w:rsidR="00990764">
        <w:rPr>
          <w:rFonts w:cs="Times New Roman"/>
        </w:rPr>
        <w:t>,</w:t>
      </w:r>
      <w:r w:rsidRPr="00C106F2">
        <w:rPr>
          <w:rFonts w:cs="Times New Roman"/>
        </w:rPr>
        <w:t xml:space="preserve"> 423.</w:t>
      </w:r>
    </w:p>
  </w:footnote>
  <w:footnote w:id="69">
    <w:p w:rsidR="0077041C" w:rsidRPr="00C106F2" w:rsidRDefault="0077041C" w:rsidP="00594E81">
      <w:pPr>
        <w:spacing w:line="480" w:lineRule="auto"/>
        <w:rPr>
          <w:rFonts w:cs="Times New Roman"/>
          <w:sz w:val="20"/>
          <w:szCs w:val="20"/>
        </w:rPr>
      </w:pPr>
      <w:r w:rsidRPr="00C106F2">
        <w:rPr>
          <w:rStyle w:val="FootnoteReference"/>
          <w:rFonts w:cs="Times New Roman"/>
          <w:sz w:val="20"/>
          <w:szCs w:val="20"/>
          <w:vertAlign w:val="baseline"/>
        </w:rPr>
        <w:footnoteRef/>
      </w:r>
      <w:r w:rsidRPr="00C106F2">
        <w:rPr>
          <w:rFonts w:cs="Times New Roman"/>
          <w:sz w:val="20"/>
          <w:szCs w:val="20"/>
        </w:rPr>
        <w:t xml:space="preserve"> </w:t>
      </w:r>
      <w:proofErr w:type="spellStart"/>
      <w:r w:rsidRPr="00C106F2">
        <w:rPr>
          <w:rFonts w:cs="Times New Roman"/>
          <w:sz w:val="20"/>
          <w:szCs w:val="20"/>
        </w:rPr>
        <w:t>Smalridge</w:t>
      </w:r>
      <w:proofErr w:type="spellEnd"/>
      <w:r w:rsidRPr="00C106F2">
        <w:rPr>
          <w:rFonts w:cs="Times New Roman"/>
          <w:sz w:val="20"/>
          <w:szCs w:val="20"/>
        </w:rPr>
        <w:t xml:space="preserve"> to Caroline, 4 March 1715, LH 4, 4, 1 Bl. 2v and 3r</w:t>
      </w:r>
    </w:p>
  </w:footnote>
  <w:footnote w:id="70">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w:t>
      </w:r>
      <w:proofErr w:type="spellStart"/>
      <w:proofErr w:type="gramStart"/>
      <w:r w:rsidRPr="00C106F2">
        <w:rPr>
          <w:rFonts w:cs="Times New Roman"/>
        </w:rPr>
        <w:t>Smalridge</w:t>
      </w:r>
      <w:proofErr w:type="spellEnd"/>
      <w:r w:rsidRPr="00C106F2">
        <w:rPr>
          <w:rFonts w:cs="Times New Roman"/>
        </w:rPr>
        <w:t xml:space="preserve"> to Caroline, 4 March 1715, LH 4, 4, 1 Bl. 3r.</w:t>
      </w:r>
      <w:proofErr w:type="gramEnd"/>
    </w:p>
  </w:footnote>
  <w:footnote w:id="71">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w:t>
      </w:r>
      <w:proofErr w:type="spellStart"/>
      <w:proofErr w:type="gramStart"/>
      <w:r w:rsidRPr="00C106F2">
        <w:rPr>
          <w:rFonts w:cs="Times New Roman"/>
        </w:rPr>
        <w:t>Smalridge</w:t>
      </w:r>
      <w:proofErr w:type="spellEnd"/>
      <w:r w:rsidRPr="00C106F2">
        <w:rPr>
          <w:rFonts w:cs="Times New Roman"/>
        </w:rPr>
        <w:t xml:space="preserve"> to Caroline, 4 March 1715, LH 4, 4, 1 Bl. 3v.</w:t>
      </w:r>
      <w:proofErr w:type="gramEnd"/>
    </w:p>
  </w:footnote>
  <w:footnote w:id="72">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w:t>
      </w:r>
      <w:proofErr w:type="spellStart"/>
      <w:proofErr w:type="gramStart"/>
      <w:r w:rsidRPr="00C106F2">
        <w:rPr>
          <w:rFonts w:cs="Times New Roman"/>
        </w:rPr>
        <w:t>Smalridge</w:t>
      </w:r>
      <w:proofErr w:type="spellEnd"/>
      <w:r w:rsidRPr="00C106F2">
        <w:rPr>
          <w:rFonts w:cs="Times New Roman"/>
        </w:rPr>
        <w:t xml:space="preserve"> to Caroline, 4 March 1715, LH 4, 4, 1 Bl. 3v.</w:t>
      </w:r>
      <w:proofErr w:type="gramEnd"/>
    </w:p>
  </w:footnote>
  <w:footnote w:id="73">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w:t>
      </w:r>
      <w:proofErr w:type="spellStart"/>
      <w:proofErr w:type="gramStart"/>
      <w:r w:rsidRPr="00C106F2">
        <w:rPr>
          <w:rFonts w:cs="Times New Roman"/>
        </w:rPr>
        <w:t>Smalridge</w:t>
      </w:r>
      <w:proofErr w:type="spellEnd"/>
      <w:r w:rsidRPr="00C106F2">
        <w:rPr>
          <w:rFonts w:cs="Times New Roman"/>
        </w:rPr>
        <w:t xml:space="preserve"> to Caroline, 4 March 1715, LH 4, 4, 1 Bl. 4r.</w:t>
      </w:r>
      <w:proofErr w:type="gramEnd"/>
    </w:p>
  </w:footnote>
  <w:footnote w:id="74">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w:t>
      </w:r>
      <w:proofErr w:type="spellStart"/>
      <w:proofErr w:type="gramStart"/>
      <w:r w:rsidRPr="00C106F2">
        <w:rPr>
          <w:rFonts w:cs="Times New Roman"/>
        </w:rPr>
        <w:t>Smalridge</w:t>
      </w:r>
      <w:proofErr w:type="spellEnd"/>
      <w:r w:rsidRPr="00C106F2">
        <w:rPr>
          <w:rFonts w:cs="Times New Roman"/>
        </w:rPr>
        <w:t xml:space="preserve"> to Caroline, 4 March 1715, LH 4, 4, 1 Bl. 4v.</w:t>
      </w:r>
      <w:proofErr w:type="gramEnd"/>
    </w:p>
  </w:footnote>
  <w:footnote w:id="75">
    <w:p w:rsidR="0077041C" w:rsidRPr="00C106F2" w:rsidRDefault="0077041C" w:rsidP="00594E81">
      <w:pPr>
        <w:spacing w:line="480" w:lineRule="auto"/>
        <w:rPr>
          <w:rFonts w:cs="Times New Roman"/>
          <w:sz w:val="20"/>
          <w:szCs w:val="20"/>
        </w:rPr>
      </w:pPr>
      <w:r w:rsidRPr="00C106F2">
        <w:rPr>
          <w:rStyle w:val="FootnoteReference"/>
          <w:rFonts w:cs="Times New Roman"/>
          <w:sz w:val="20"/>
          <w:szCs w:val="20"/>
          <w:vertAlign w:val="baseline"/>
        </w:rPr>
        <w:footnoteRef/>
      </w:r>
      <w:r w:rsidRPr="00C106F2">
        <w:rPr>
          <w:rFonts w:cs="Times New Roman"/>
          <w:sz w:val="20"/>
          <w:szCs w:val="20"/>
        </w:rPr>
        <w:t xml:space="preserve"> </w:t>
      </w:r>
      <w:proofErr w:type="spellStart"/>
      <w:proofErr w:type="gramStart"/>
      <w:r w:rsidRPr="00C106F2">
        <w:rPr>
          <w:rFonts w:cs="Times New Roman"/>
          <w:sz w:val="20"/>
          <w:szCs w:val="20"/>
        </w:rPr>
        <w:t>Smalridge</w:t>
      </w:r>
      <w:proofErr w:type="spellEnd"/>
      <w:r w:rsidRPr="00C106F2">
        <w:rPr>
          <w:rFonts w:cs="Times New Roman"/>
          <w:sz w:val="20"/>
          <w:szCs w:val="20"/>
        </w:rPr>
        <w:t xml:space="preserve"> to Caroline, 4 March 1715, LH 4, 4, 1 Bl. 4v and 5r.</w:t>
      </w:r>
      <w:proofErr w:type="gramEnd"/>
      <w:r w:rsidRPr="00C106F2">
        <w:rPr>
          <w:rFonts w:cs="Times New Roman"/>
          <w:sz w:val="20"/>
          <w:szCs w:val="20"/>
        </w:rPr>
        <w:t xml:space="preserve"> </w:t>
      </w:r>
      <w:proofErr w:type="spellStart"/>
      <w:r w:rsidRPr="00C106F2">
        <w:rPr>
          <w:rFonts w:cs="Times New Roman"/>
          <w:sz w:val="20"/>
          <w:szCs w:val="20"/>
        </w:rPr>
        <w:t>Tillotson’s</w:t>
      </w:r>
      <w:proofErr w:type="spellEnd"/>
      <w:r w:rsidRPr="00C106F2">
        <w:rPr>
          <w:rFonts w:cs="Times New Roman"/>
          <w:sz w:val="20"/>
          <w:szCs w:val="20"/>
        </w:rPr>
        <w:t xml:space="preserve"> sermon is based on Psalm 145.9, and can be found in J</w:t>
      </w:r>
      <w:r w:rsidR="006270A8">
        <w:rPr>
          <w:rFonts w:cs="Times New Roman"/>
          <w:sz w:val="20"/>
          <w:szCs w:val="20"/>
        </w:rPr>
        <w:t>.</w:t>
      </w:r>
      <w:r w:rsidRPr="00C106F2">
        <w:rPr>
          <w:rFonts w:cs="Times New Roman"/>
          <w:sz w:val="20"/>
          <w:szCs w:val="20"/>
        </w:rPr>
        <w:t xml:space="preserve"> </w:t>
      </w:r>
      <w:proofErr w:type="spellStart"/>
      <w:r w:rsidRPr="00C106F2">
        <w:rPr>
          <w:rFonts w:cs="Times New Roman"/>
          <w:sz w:val="20"/>
          <w:szCs w:val="20"/>
        </w:rPr>
        <w:t>Tillotson</w:t>
      </w:r>
      <w:proofErr w:type="spellEnd"/>
      <w:r w:rsidRPr="00C106F2">
        <w:rPr>
          <w:rFonts w:cs="Times New Roman"/>
          <w:sz w:val="20"/>
          <w:szCs w:val="20"/>
        </w:rPr>
        <w:t xml:space="preserve">, </w:t>
      </w:r>
      <w:r w:rsidRPr="00C106F2">
        <w:rPr>
          <w:rFonts w:cs="Times New Roman"/>
          <w:i/>
          <w:sz w:val="20"/>
          <w:szCs w:val="20"/>
        </w:rPr>
        <w:t>The Remaining Discourses, on the Attributes of God</w:t>
      </w:r>
      <w:r w:rsidRPr="00C106F2">
        <w:rPr>
          <w:rFonts w:cs="Times New Roman"/>
          <w:sz w:val="20"/>
          <w:szCs w:val="20"/>
        </w:rPr>
        <w:t xml:space="preserve">, 7 vols. (London, 1700), VII: </w:t>
      </w:r>
      <w:r w:rsidR="00D92D94">
        <w:rPr>
          <w:rFonts w:cs="Times New Roman"/>
          <w:sz w:val="20"/>
          <w:szCs w:val="20"/>
        </w:rPr>
        <w:t xml:space="preserve">pp. </w:t>
      </w:r>
      <w:r w:rsidRPr="00C106F2">
        <w:rPr>
          <w:rFonts w:cs="Times New Roman"/>
          <w:sz w:val="20"/>
          <w:szCs w:val="20"/>
        </w:rPr>
        <w:t>51-80.</w:t>
      </w:r>
    </w:p>
  </w:footnote>
  <w:footnote w:id="76">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w:t>
      </w:r>
      <w:proofErr w:type="spellStart"/>
      <w:r w:rsidRPr="00C106F2">
        <w:rPr>
          <w:rFonts w:cs="Times New Roman"/>
        </w:rPr>
        <w:t>Tillotson</w:t>
      </w:r>
      <w:proofErr w:type="spellEnd"/>
      <w:r w:rsidRPr="00C106F2">
        <w:rPr>
          <w:rFonts w:cs="Times New Roman"/>
        </w:rPr>
        <w:t xml:space="preserve">, </w:t>
      </w:r>
      <w:proofErr w:type="gramStart"/>
      <w:r w:rsidRPr="00C106F2">
        <w:rPr>
          <w:rFonts w:cs="Times New Roman"/>
          <w:i/>
        </w:rPr>
        <w:t>The</w:t>
      </w:r>
      <w:proofErr w:type="gramEnd"/>
      <w:r w:rsidRPr="00C106F2">
        <w:rPr>
          <w:rFonts w:cs="Times New Roman"/>
          <w:i/>
        </w:rPr>
        <w:t xml:space="preserve"> Remaining Discourses</w:t>
      </w:r>
      <w:r w:rsidRPr="00C106F2">
        <w:rPr>
          <w:rFonts w:cs="Times New Roman"/>
        </w:rPr>
        <w:t xml:space="preserve">, VII: </w:t>
      </w:r>
      <w:r w:rsidR="00D92D94">
        <w:rPr>
          <w:rFonts w:cs="Times New Roman"/>
        </w:rPr>
        <w:t xml:space="preserve">p. </w:t>
      </w:r>
      <w:r w:rsidRPr="00C106F2">
        <w:rPr>
          <w:rFonts w:cs="Times New Roman"/>
        </w:rPr>
        <w:t>58.</w:t>
      </w:r>
    </w:p>
  </w:footnote>
  <w:footnote w:id="77">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w:t>
      </w:r>
      <w:proofErr w:type="spellStart"/>
      <w:r w:rsidRPr="00C106F2">
        <w:rPr>
          <w:rFonts w:cs="Times New Roman"/>
        </w:rPr>
        <w:t>Tillotson</w:t>
      </w:r>
      <w:proofErr w:type="spellEnd"/>
      <w:r w:rsidRPr="00C106F2">
        <w:rPr>
          <w:rFonts w:cs="Times New Roman"/>
        </w:rPr>
        <w:t xml:space="preserve">, </w:t>
      </w:r>
      <w:proofErr w:type="gramStart"/>
      <w:r w:rsidRPr="00C106F2">
        <w:rPr>
          <w:rFonts w:cs="Times New Roman"/>
          <w:i/>
        </w:rPr>
        <w:t>The</w:t>
      </w:r>
      <w:proofErr w:type="gramEnd"/>
      <w:r w:rsidRPr="00C106F2">
        <w:rPr>
          <w:rFonts w:cs="Times New Roman"/>
          <w:i/>
        </w:rPr>
        <w:t xml:space="preserve"> Remaining Discourses</w:t>
      </w:r>
      <w:r w:rsidRPr="00C106F2">
        <w:rPr>
          <w:rFonts w:cs="Times New Roman"/>
        </w:rPr>
        <w:t xml:space="preserve">, VII: </w:t>
      </w:r>
      <w:r w:rsidR="00D92D94">
        <w:rPr>
          <w:rFonts w:cs="Times New Roman"/>
        </w:rPr>
        <w:t xml:space="preserve">p. </w:t>
      </w:r>
      <w:r w:rsidRPr="00C106F2">
        <w:rPr>
          <w:rFonts w:cs="Times New Roman"/>
        </w:rPr>
        <w:t>62.</w:t>
      </w:r>
    </w:p>
  </w:footnote>
  <w:footnote w:id="78">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w:t>
      </w:r>
      <w:proofErr w:type="spellStart"/>
      <w:r w:rsidRPr="00C106F2">
        <w:rPr>
          <w:rFonts w:cs="Times New Roman"/>
        </w:rPr>
        <w:t>Tillotson</w:t>
      </w:r>
      <w:proofErr w:type="spellEnd"/>
      <w:r w:rsidRPr="00C106F2">
        <w:rPr>
          <w:rFonts w:cs="Times New Roman"/>
        </w:rPr>
        <w:t xml:space="preserve">, </w:t>
      </w:r>
      <w:proofErr w:type="gramStart"/>
      <w:r w:rsidRPr="00C106F2">
        <w:rPr>
          <w:rFonts w:cs="Times New Roman"/>
          <w:i/>
        </w:rPr>
        <w:t>The</w:t>
      </w:r>
      <w:proofErr w:type="gramEnd"/>
      <w:r w:rsidRPr="00C106F2">
        <w:rPr>
          <w:rFonts w:cs="Times New Roman"/>
          <w:i/>
        </w:rPr>
        <w:t xml:space="preserve"> Remaining Discourses</w:t>
      </w:r>
      <w:r w:rsidRPr="00C106F2">
        <w:rPr>
          <w:rFonts w:cs="Times New Roman"/>
        </w:rPr>
        <w:t xml:space="preserve">, VII: </w:t>
      </w:r>
      <w:r w:rsidR="00D92D94">
        <w:rPr>
          <w:rFonts w:cs="Times New Roman"/>
        </w:rPr>
        <w:t xml:space="preserve">p. </w:t>
      </w:r>
      <w:r w:rsidRPr="00C106F2">
        <w:rPr>
          <w:rFonts w:cs="Times New Roman"/>
        </w:rPr>
        <w:t>65.</w:t>
      </w:r>
    </w:p>
  </w:footnote>
  <w:footnote w:id="79">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w:t>
      </w:r>
      <w:proofErr w:type="spellStart"/>
      <w:r w:rsidRPr="00C106F2">
        <w:rPr>
          <w:rFonts w:cs="Times New Roman"/>
        </w:rPr>
        <w:t>Tillotson</w:t>
      </w:r>
      <w:proofErr w:type="spellEnd"/>
      <w:r w:rsidRPr="00C106F2">
        <w:rPr>
          <w:rFonts w:cs="Times New Roman"/>
        </w:rPr>
        <w:t xml:space="preserve">, </w:t>
      </w:r>
      <w:proofErr w:type="gramStart"/>
      <w:r w:rsidRPr="00C106F2">
        <w:rPr>
          <w:rFonts w:cs="Times New Roman"/>
          <w:i/>
        </w:rPr>
        <w:t>The</w:t>
      </w:r>
      <w:proofErr w:type="gramEnd"/>
      <w:r w:rsidRPr="00C106F2">
        <w:rPr>
          <w:rFonts w:cs="Times New Roman"/>
          <w:i/>
        </w:rPr>
        <w:t xml:space="preserve"> Remaining Discourses</w:t>
      </w:r>
      <w:r w:rsidRPr="00C106F2">
        <w:rPr>
          <w:rFonts w:cs="Times New Roman"/>
        </w:rPr>
        <w:t xml:space="preserve">, VII: </w:t>
      </w:r>
      <w:r w:rsidR="00D92D94">
        <w:rPr>
          <w:rFonts w:cs="Times New Roman"/>
        </w:rPr>
        <w:t xml:space="preserve">pp. </w:t>
      </w:r>
      <w:r w:rsidRPr="00C106F2">
        <w:rPr>
          <w:rFonts w:cs="Times New Roman"/>
        </w:rPr>
        <w:t>71-80.</w:t>
      </w:r>
    </w:p>
  </w:footnote>
  <w:footnote w:id="80">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The closest he comes is in </w:t>
      </w:r>
      <w:r w:rsidRPr="00C106F2">
        <w:rPr>
          <w:rFonts w:cs="Times New Roman"/>
          <w:i/>
        </w:rPr>
        <w:t>Theodicy</w:t>
      </w:r>
      <w:r w:rsidRPr="00C106F2">
        <w:rPr>
          <w:rFonts w:cs="Times New Roman"/>
        </w:rPr>
        <w:t xml:space="preserve"> §275 (G</w:t>
      </w:r>
      <w:r w:rsidR="00D92D94">
        <w:rPr>
          <w:rFonts w:cs="Times New Roman"/>
        </w:rPr>
        <w:t>P</w:t>
      </w:r>
      <w:r w:rsidRPr="00C106F2">
        <w:rPr>
          <w:rFonts w:cs="Times New Roman"/>
        </w:rPr>
        <w:t xml:space="preserve"> VI</w:t>
      </w:r>
      <w:r w:rsidR="004F2841">
        <w:rPr>
          <w:rFonts w:cs="Times New Roman"/>
        </w:rPr>
        <w:t>,</w:t>
      </w:r>
      <w:r w:rsidRPr="00C106F2">
        <w:rPr>
          <w:rFonts w:cs="Times New Roman"/>
        </w:rPr>
        <w:t xml:space="preserve"> 281), where he examines scriptural passages which might initially suggest that God commits evil rather than just permits it. But nowhere in the book does he consider biblical events such as God’s destruction of Sodom and Gomorrah, the extermination of Canaanites etc., and so he does not attempt to show how such God’s bringing about such events might be consistent with his goodness.</w:t>
      </w:r>
    </w:p>
  </w:footnote>
  <w:footnote w:id="81">
    <w:p w:rsidR="0077041C" w:rsidRPr="00C106F2" w:rsidRDefault="0077041C" w:rsidP="00594E81">
      <w:pPr>
        <w:spacing w:line="480" w:lineRule="auto"/>
        <w:rPr>
          <w:rFonts w:cs="Times New Roman"/>
          <w:sz w:val="20"/>
          <w:szCs w:val="20"/>
        </w:rPr>
      </w:pPr>
      <w:r w:rsidRPr="00C106F2">
        <w:rPr>
          <w:rStyle w:val="FootnoteReference"/>
          <w:rFonts w:cs="Times New Roman"/>
          <w:sz w:val="20"/>
          <w:szCs w:val="20"/>
          <w:vertAlign w:val="baseline"/>
        </w:rPr>
        <w:footnoteRef/>
      </w:r>
      <w:r w:rsidRPr="00C106F2">
        <w:rPr>
          <w:rFonts w:cs="Times New Roman"/>
          <w:sz w:val="20"/>
          <w:szCs w:val="20"/>
        </w:rPr>
        <w:t xml:space="preserve"> </w:t>
      </w:r>
      <w:proofErr w:type="spellStart"/>
      <w:proofErr w:type="gramStart"/>
      <w:r w:rsidRPr="00C106F2">
        <w:rPr>
          <w:rFonts w:cs="Times New Roman"/>
          <w:sz w:val="20"/>
          <w:szCs w:val="20"/>
        </w:rPr>
        <w:t>Smalridge</w:t>
      </w:r>
      <w:proofErr w:type="spellEnd"/>
      <w:r w:rsidRPr="00C106F2">
        <w:rPr>
          <w:rFonts w:cs="Times New Roman"/>
          <w:sz w:val="20"/>
          <w:szCs w:val="20"/>
        </w:rPr>
        <w:t xml:space="preserve"> to Caroline, 4 March 1715, LH 4, 4, 1 Bl. 5v and 6r.</w:t>
      </w:r>
      <w:proofErr w:type="gramEnd"/>
    </w:p>
  </w:footnote>
  <w:footnote w:id="82">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See for example his sermon entitled “The use of reason in religion”</w:t>
      </w:r>
      <w:r w:rsidR="00990764">
        <w:rPr>
          <w:rFonts w:cs="Times New Roman"/>
        </w:rPr>
        <w:t xml:space="preserve"> in</w:t>
      </w:r>
      <w:r w:rsidRPr="00C106F2">
        <w:rPr>
          <w:rFonts w:cs="Times New Roman"/>
        </w:rPr>
        <w:t>: G</w:t>
      </w:r>
      <w:r w:rsidR="006270A8">
        <w:rPr>
          <w:rFonts w:cs="Times New Roman"/>
        </w:rPr>
        <w:t>.</w:t>
      </w:r>
      <w:r w:rsidRPr="00C106F2">
        <w:rPr>
          <w:rFonts w:cs="Times New Roman"/>
        </w:rPr>
        <w:t xml:space="preserve"> </w:t>
      </w:r>
      <w:proofErr w:type="spellStart"/>
      <w:r w:rsidRPr="00C106F2">
        <w:rPr>
          <w:rFonts w:cs="Times New Roman"/>
        </w:rPr>
        <w:t>Smalridge</w:t>
      </w:r>
      <w:proofErr w:type="spellEnd"/>
      <w:r w:rsidRPr="00C106F2">
        <w:rPr>
          <w:rFonts w:cs="Times New Roman"/>
        </w:rPr>
        <w:t xml:space="preserve">, </w:t>
      </w:r>
      <w:r w:rsidRPr="00C106F2">
        <w:rPr>
          <w:rFonts w:cs="Times New Roman"/>
          <w:i/>
        </w:rPr>
        <w:t xml:space="preserve">Sixty Sermons </w:t>
      </w:r>
      <w:proofErr w:type="spellStart"/>
      <w:r w:rsidRPr="00C106F2">
        <w:rPr>
          <w:rFonts w:cs="Times New Roman"/>
          <w:i/>
        </w:rPr>
        <w:t>Preach’d</w:t>
      </w:r>
      <w:proofErr w:type="spellEnd"/>
      <w:r w:rsidRPr="00C106F2">
        <w:rPr>
          <w:rFonts w:cs="Times New Roman"/>
          <w:i/>
        </w:rPr>
        <w:t xml:space="preserve"> on Several Occasions </w:t>
      </w:r>
      <w:proofErr w:type="spellStart"/>
      <w:r w:rsidRPr="00C106F2">
        <w:rPr>
          <w:rFonts w:cs="Times New Roman"/>
          <w:i/>
        </w:rPr>
        <w:t>Publish’d</w:t>
      </w:r>
      <w:proofErr w:type="spellEnd"/>
      <w:r w:rsidRPr="00C106F2">
        <w:rPr>
          <w:rFonts w:cs="Times New Roman"/>
          <w:i/>
        </w:rPr>
        <w:t xml:space="preserve"> from the Originals </w:t>
      </w:r>
      <w:r w:rsidRPr="00C106F2">
        <w:rPr>
          <w:rFonts w:cs="Times New Roman"/>
        </w:rPr>
        <w:t xml:space="preserve">(Oxford, 1724), </w:t>
      </w:r>
      <w:r w:rsidR="00D92D94">
        <w:rPr>
          <w:rFonts w:cs="Times New Roman"/>
        </w:rPr>
        <w:t xml:space="preserve">pp. </w:t>
      </w:r>
      <w:r w:rsidRPr="00C106F2">
        <w:rPr>
          <w:rFonts w:cs="Times New Roman"/>
        </w:rPr>
        <w:t>338-</w:t>
      </w:r>
      <w:r w:rsidR="00D92D94">
        <w:rPr>
          <w:rFonts w:cs="Times New Roman"/>
        </w:rPr>
        <w:t>3</w:t>
      </w:r>
      <w:r w:rsidRPr="00C106F2">
        <w:rPr>
          <w:rFonts w:cs="Times New Roman"/>
        </w:rPr>
        <w:t>48.</w:t>
      </w:r>
    </w:p>
  </w:footnote>
  <w:footnote w:id="83">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w:t>
      </w:r>
      <w:proofErr w:type="spellStart"/>
      <w:r w:rsidRPr="00C106F2">
        <w:rPr>
          <w:rFonts w:cs="Times New Roman"/>
        </w:rPr>
        <w:t>Smalridge</w:t>
      </w:r>
      <w:proofErr w:type="spellEnd"/>
      <w:r w:rsidRPr="00C106F2">
        <w:rPr>
          <w:rFonts w:cs="Times New Roman"/>
        </w:rPr>
        <w:t xml:space="preserve"> did occasionally do this, however; e.g. inferring from God’s justice that some sinners would be punished more harshly in the future life than would others, depending on the severity of their crimes, and the extent to which they had already been punished in this life. See </w:t>
      </w:r>
      <w:proofErr w:type="spellStart"/>
      <w:r w:rsidRPr="00C106F2">
        <w:rPr>
          <w:rFonts w:cs="Times New Roman"/>
        </w:rPr>
        <w:t>Smalridge</w:t>
      </w:r>
      <w:proofErr w:type="spellEnd"/>
      <w:r w:rsidRPr="00C106F2">
        <w:rPr>
          <w:rFonts w:cs="Times New Roman"/>
        </w:rPr>
        <w:t xml:space="preserve">, </w:t>
      </w:r>
      <w:r w:rsidRPr="00C106F2">
        <w:rPr>
          <w:rFonts w:cs="Times New Roman"/>
          <w:i/>
        </w:rPr>
        <w:t>Sixty Sermons</w:t>
      </w:r>
      <w:r w:rsidRPr="00C106F2">
        <w:rPr>
          <w:rFonts w:cs="Times New Roman"/>
        </w:rPr>
        <w:t xml:space="preserve">, </w:t>
      </w:r>
      <w:r w:rsidR="00D92D94">
        <w:rPr>
          <w:rFonts w:cs="Times New Roman"/>
        </w:rPr>
        <w:t xml:space="preserve">p. </w:t>
      </w:r>
      <w:r w:rsidRPr="00C106F2">
        <w:rPr>
          <w:rFonts w:cs="Times New Roman"/>
        </w:rPr>
        <w:t>477.</w:t>
      </w:r>
    </w:p>
  </w:footnote>
  <w:footnote w:id="84">
    <w:p w:rsidR="0077041C" w:rsidRPr="00C106F2" w:rsidRDefault="0077041C" w:rsidP="00594E81">
      <w:pPr>
        <w:autoSpaceDE w:val="0"/>
        <w:autoSpaceDN w:val="0"/>
        <w:adjustRightInd w:val="0"/>
        <w:spacing w:line="480" w:lineRule="auto"/>
        <w:rPr>
          <w:rFonts w:cs="Times New Roman"/>
          <w:sz w:val="20"/>
          <w:szCs w:val="20"/>
        </w:rPr>
      </w:pPr>
      <w:r w:rsidRPr="00C106F2">
        <w:rPr>
          <w:rStyle w:val="FootnoteReference"/>
          <w:rFonts w:cs="Times New Roman"/>
          <w:sz w:val="20"/>
          <w:szCs w:val="20"/>
          <w:vertAlign w:val="baseline"/>
        </w:rPr>
        <w:footnoteRef/>
      </w:r>
      <w:r w:rsidRPr="00C106F2">
        <w:rPr>
          <w:rFonts w:cs="Times New Roman"/>
          <w:sz w:val="20"/>
          <w:szCs w:val="20"/>
        </w:rPr>
        <w:t xml:space="preserve"> On the list of journals that had not complained of the </w:t>
      </w:r>
      <w:r w:rsidRPr="00C106F2">
        <w:rPr>
          <w:rFonts w:cs="Times New Roman"/>
          <w:i/>
          <w:sz w:val="20"/>
          <w:szCs w:val="20"/>
        </w:rPr>
        <w:t>Theodicy</w:t>
      </w:r>
      <w:r w:rsidRPr="00C106F2">
        <w:rPr>
          <w:rFonts w:cs="Times New Roman"/>
          <w:sz w:val="20"/>
          <w:szCs w:val="20"/>
        </w:rPr>
        <w:t xml:space="preserve">’s obscurity, Leibniz included the </w:t>
      </w:r>
      <w:r w:rsidRPr="00C106F2">
        <w:rPr>
          <w:rFonts w:cs="Times New Roman"/>
          <w:i/>
          <w:sz w:val="20"/>
          <w:szCs w:val="20"/>
        </w:rPr>
        <w:t xml:space="preserve">Memoires pour </w:t>
      </w:r>
      <w:proofErr w:type="spellStart"/>
      <w:r w:rsidRPr="00C106F2">
        <w:rPr>
          <w:rFonts w:cs="Times New Roman"/>
          <w:i/>
          <w:sz w:val="20"/>
          <w:szCs w:val="20"/>
        </w:rPr>
        <w:t>l’histoire</w:t>
      </w:r>
      <w:proofErr w:type="spellEnd"/>
      <w:r w:rsidRPr="00C106F2">
        <w:rPr>
          <w:rFonts w:cs="Times New Roman"/>
          <w:i/>
          <w:sz w:val="20"/>
          <w:szCs w:val="20"/>
        </w:rPr>
        <w:t xml:space="preserve"> des sciences &amp; des beaux Arts </w:t>
      </w:r>
      <w:r w:rsidRPr="00C106F2">
        <w:rPr>
          <w:rFonts w:cs="Times New Roman"/>
          <w:sz w:val="20"/>
          <w:szCs w:val="20"/>
        </w:rPr>
        <w:t xml:space="preserve">[a.k.a. </w:t>
      </w:r>
      <w:r w:rsidRPr="00C106F2">
        <w:rPr>
          <w:rFonts w:cs="Times New Roman"/>
          <w:i/>
          <w:sz w:val="20"/>
          <w:szCs w:val="20"/>
        </w:rPr>
        <w:t xml:space="preserve">Journal de </w:t>
      </w:r>
      <w:proofErr w:type="spellStart"/>
      <w:r w:rsidRPr="00C106F2">
        <w:rPr>
          <w:rFonts w:cs="Times New Roman"/>
          <w:i/>
          <w:sz w:val="20"/>
          <w:szCs w:val="20"/>
        </w:rPr>
        <w:t>Trévoux</w:t>
      </w:r>
      <w:proofErr w:type="spellEnd"/>
      <w:r w:rsidRPr="00C106F2">
        <w:rPr>
          <w:rFonts w:cs="Times New Roman"/>
          <w:sz w:val="20"/>
          <w:szCs w:val="20"/>
        </w:rPr>
        <w:t xml:space="preserve">]. However, it was rather disingenuous of him to do this, as he was well aware that the editor of that journal had found some things in the book obscure, having been informed of this by a correspondent, </w:t>
      </w:r>
      <w:proofErr w:type="spellStart"/>
      <w:r w:rsidRPr="00C106F2">
        <w:rPr>
          <w:rFonts w:cs="Times New Roman"/>
          <w:sz w:val="20"/>
          <w:szCs w:val="20"/>
        </w:rPr>
        <w:t>Barthélémy</w:t>
      </w:r>
      <w:proofErr w:type="spellEnd"/>
      <w:r w:rsidRPr="00C106F2">
        <w:rPr>
          <w:rFonts w:cs="Times New Roman"/>
          <w:sz w:val="20"/>
          <w:szCs w:val="20"/>
        </w:rPr>
        <w:t xml:space="preserve"> des Bosses. See </w:t>
      </w:r>
      <w:r w:rsidRPr="00C106F2">
        <w:rPr>
          <w:rFonts w:cs="Times New Roman"/>
          <w:i/>
          <w:sz w:val="20"/>
          <w:szCs w:val="20"/>
        </w:rPr>
        <w:t>The Leibniz–Des Bosses Correspondence</w:t>
      </w:r>
      <w:r w:rsidRPr="00C106F2">
        <w:rPr>
          <w:rFonts w:cs="Times New Roman"/>
          <w:sz w:val="20"/>
          <w:szCs w:val="20"/>
        </w:rPr>
        <w:t xml:space="preserve">, </w:t>
      </w:r>
      <w:r w:rsidR="00D92D94">
        <w:rPr>
          <w:rFonts w:cs="Times New Roman"/>
          <w:sz w:val="20"/>
          <w:szCs w:val="20"/>
        </w:rPr>
        <w:t xml:space="preserve">p. </w:t>
      </w:r>
      <w:r w:rsidRPr="00C106F2">
        <w:rPr>
          <w:rFonts w:cs="Times New Roman"/>
          <w:sz w:val="20"/>
          <w:szCs w:val="20"/>
        </w:rPr>
        <w:t xml:space="preserve">447. And Leibniz clearly acknowledged the charge, for to Des Bosses he wrote “I should very much like to know as soon as possible what the criticisms were from the </w:t>
      </w:r>
      <w:proofErr w:type="spellStart"/>
      <w:r w:rsidRPr="00C106F2">
        <w:rPr>
          <w:rFonts w:cs="Times New Roman"/>
          <w:i/>
          <w:iCs/>
          <w:sz w:val="20"/>
          <w:szCs w:val="20"/>
        </w:rPr>
        <w:t>Mémoires</w:t>
      </w:r>
      <w:proofErr w:type="spellEnd"/>
      <w:r w:rsidRPr="00C106F2">
        <w:rPr>
          <w:rFonts w:cs="Times New Roman"/>
          <w:i/>
          <w:iCs/>
          <w:sz w:val="20"/>
          <w:szCs w:val="20"/>
        </w:rPr>
        <w:t xml:space="preserve"> de </w:t>
      </w:r>
      <w:proofErr w:type="spellStart"/>
      <w:r w:rsidRPr="00C106F2">
        <w:rPr>
          <w:rFonts w:cs="Times New Roman"/>
          <w:i/>
          <w:iCs/>
          <w:sz w:val="20"/>
          <w:szCs w:val="20"/>
        </w:rPr>
        <w:t>Trévoux</w:t>
      </w:r>
      <w:proofErr w:type="spellEnd"/>
      <w:r w:rsidRPr="00C106F2">
        <w:rPr>
          <w:rFonts w:cs="Times New Roman"/>
          <w:i/>
          <w:iCs/>
          <w:sz w:val="20"/>
          <w:szCs w:val="20"/>
        </w:rPr>
        <w:t xml:space="preserve"> </w:t>
      </w:r>
      <w:r w:rsidRPr="00C106F2">
        <w:rPr>
          <w:rFonts w:cs="Times New Roman"/>
          <w:sz w:val="20"/>
          <w:szCs w:val="20"/>
        </w:rPr>
        <w:t>concerning the things that might appear erroneous or obscure in my book”</w:t>
      </w:r>
      <w:r w:rsidR="00D92D94">
        <w:rPr>
          <w:rFonts w:cs="Times New Roman"/>
          <w:sz w:val="20"/>
          <w:szCs w:val="20"/>
        </w:rPr>
        <w:t>.</w:t>
      </w:r>
      <w:r w:rsidRPr="00C106F2">
        <w:rPr>
          <w:rFonts w:cs="Times New Roman"/>
          <w:sz w:val="20"/>
          <w:szCs w:val="20"/>
        </w:rPr>
        <w:t xml:space="preserve"> Leibniz to des Bosses, 21 April 1714, G</w:t>
      </w:r>
      <w:r w:rsidR="00D92D94">
        <w:rPr>
          <w:rFonts w:cs="Times New Roman"/>
          <w:sz w:val="20"/>
          <w:szCs w:val="20"/>
        </w:rPr>
        <w:t>P</w:t>
      </w:r>
      <w:r w:rsidRPr="00C106F2">
        <w:rPr>
          <w:rFonts w:cs="Times New Roman"/>
          <w:sz w:val="20"/>
          <w:szCs w:val="20"/>
        </w:rPr>
        <w:t xml:space="preserve"> II</w:t>
      </w:r>
      <w:r w:rsidR="004F2841">
        <w:rPr>
          <w:rFonts w:cs="Times New Roman"/>
          <w:sz w:val="20"/>
          <w:szCs w:val="20"/>
        </w:rPr>
        <w:t>,</w:t>
      </w:r>
      <w:r w:rsidRPr="00C106F2">
        <w:rPr>
          <w:rFonts w:cs="Times New Roman"/>
          <w:sz w:val="20"/>
          <w:szCs w:val="20"/>
        </w:rPr>
        <w:t xml:space="preserve"> 486/</w:t>
      </w:r>
      <w:r w:rsidRPr="00C106F2">
        <w:rPr>
          <w:rFonts w:cs="Times New Roman"/>
          <w:i/>
          <w:sz w:val="20"/>
          <w:szCs w:val="20"/>
        </w:rPr>
        <w:t>The Leibniz-Des Bosses Correspondence</w:t>
      </w:r>
      <w:r w:rsidRPr="00C106F2">
        <w:rPr>
          <w:rFonts w:cs="Times New Roman"/>
          <w:sz w:val="20"/>
          <w:szCs w:val="20"/>
        </w:rPr>
        <w:t xml:space="preserve">, </w:t>
      </w:r>
      <w:r w:rsidR="00D92D94">
        <w:rPr>
          <w:rFonts w:cs="Times New Roman"/>
          <w:sz w:val="20"/>
          <w:szCs w:val="20"/>
        </w:rPr>
        <w:t xml:space="preserve">p. </w:t>
      </w:r>
      <w:r w:rsidRPr="00C106F2">
        <w:rPr>
          <w:rFonts w:cs="Times New Roman"/>
          <w:sz w:val="20"/>
          <w:szCs w:val="20"/>
        </w:rPr>
        <w:t>327.</w:t>
      </w:r>
    </w:p>
  </w:footnote>
  <w:footnote w:id="85">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w:t>
      </w:r>
      <w:proofErr w:type="gramStart"/>
      <w:r w:rsidRPr="00C106F2">
        <w:rPr>
          <w:rFonts w:cs="Times New Roman"/>
        </w:rPr>
        <w:t>Leibniz to Caroline, 29 March 1715, LH 4, 4, 1 Bl. 8r.</w:t>
      </w:r>
      <w:proofErr w:type="gramEnd"/>
    </w:p>
  </w:footnote>
  <w:footnote w:id="86">
    <w:p w:rsidR="0077041C" w:rsidRPr="00C106F2" w:rsidRDefault="0077041C" w:rsidP="00594E81">
      <w:pPr>
        <w:pStyle w:val="FootnoteText"/>
        <w:spacing w:line="480" w:lineRule="auto"/>
        <w:rPr>
          <w:rFonts w:cs="Times New Roman"/>
        </w:rPr>
      </w:pPr>
      <w:r w:rsidRPr="00C106F2">
        <w:rPr>
          <w:rStyle w:val="FootnoteReference"/>
          <w:rFonts w:cs="Times New Roman"/>
          <w:vertAlign w:val="baseline"/>
        </w:rPr>
        <w:footnoteRef/>
      </w:r>
      <w:r w:rsidRPr="00C106F2">
        <w:rPr>
          <w:rFonts w:cs="Times New Roman"/>
        </w:rPr>
        <w:t xml:space="preserve"> Leibniz argues the same way in a letter to </w:t>
      </w:r>
      <w:proofErr w:type="spellStart"/>
      <w:r w:rsidRPr="00C106F2">
        <w:rPr>
          <w:rFonts w:cs="Times New Roman"/>
        </w:rPr>
        <w:t>Jacquelot</w:t>
      </w:r>
      <w:proofErr w:type="spellEnd"/>
      <w:r w:rsidRPr="00C106F2">
        <w:rPr>
          <w:rFonts w:cs="Times New Roman"/>
        </w:rPr>
        <w:t xml:space="preserve">, 6 October 1706, </w:t>
      </w:r>
      <w:proofErr w:type="spellStart"/>
      <w:r w:rsidRPr="00C106F2">
        <w:rPr>
          <w:rFonts w:cs="Times New Roman"/>
        </w:rPr>
        <w:t>Grua</w:t>
      </w:r>
      <w:proofErr w:type="spellEnd"/>
      <w:r w:rsidRPr="00C106F2">
        <w:rPr>
          <w:rFonts w:cs="Times New Roman"/>
        </w:rPr>
        <w:t xml:space="preserve"> I, 65-6.</w:t>
      </w:r>
    </w:p>
  </w:footnote>
  <w:footnote w:id="87">
    <w:p w:rsidR="0077041C" w:rsidRPr="00C106F2" w:rsidRDefault="0077041C" w:rsidP="00594E81">
      <w:pPr>
        <w:pStyle w:val="FootnoteText"/>
        <w:spacing w:line="480" w:lineRule="auto"/>
      </w:pPr>
      <w:r w:rsidRPr="00C106F2">
        <w:rPr>
          <w:rStyle w:val="FootnoteReference"/>
          <w:vertAlign w:val="baseline"/>
        </w:rPr>
        <w:footnoteRef/>
      </w:r>
      <w:r w:rsidRPr="00C106F2">
        <w:t xml:space="preserve"> </w:t>
      </w:r>
      <w:proofErr w:type="spellStart"/>
      <w:r w:rsidRPr="00C106F2">
        <w:rPr>
          <w:rFonts w:cs="Times New Roman"/>
        </w:rPr>
        <w:t>Tillotson’s</w:t>
      </w:r>
      <w:proofErr w:type="spellEnd"/>
      <w:r w:rsidRPr="00C106F2">
        <w:rPr>
          <w:rFonts w:cs="Times New Roman"/>
        </w:rPr>
        <w:t xml:space="preserve"> sermon (</w:t>
      </w:r>
      <w:r w:rsidRPr="00C106F2">
        <w:t xml:space="preserve">“The goodness of God”) </w:t>
      </w:r>
      <w:r w:rsidRPr="00C106F2">
        <w:rPr>
          <w:rFonts w:cs="Times New Roman"/>
        </w:rPr>
        <w:t>can be found in J</w:t>
      </w:r>
      <w:r w:rsidR="00990764">
        <w:rPr>
          <w:rFonts w:cs="Times New Roman"/>
        </w:rPr>
        <w:t xml:space="preserve">. </w:t>
      </w:r>
      <w:proofErr w:type="spellStart"/>
      <w:r w:rsidRPr="00C106F2">
        <w:rPr>
          <w:rFonts w:cs="Times New Roman"/>
        </w:rPr>
        <w:t>Tillotson</w:t>
      </w:r>
      <w:proofErr w:type="spellEnd"/>
      <w:r w:rsidRPr="00C106F2">
        <w:rPr>
          <w:rFonts w:cs="Times New Roman"/>
        </w:rPr>
        <w:t xml:space="preserve">, </w:t>
      </w:r>
      <w:r w:rsidRPr="00C106F2">
        <w:rPr>
          <w:rFonts w:cs="Times New Roman"/>
          <w:i/>
        </w:rPr>
        <w:t>The Remaining Discourses, on the Attributes of God</w:t>
      </w:r>
      <w:r w:rsidRPr="00C106F2">
        <w:rPr>
          <w:rFonts w:cs="Times New Roman"/>
        </w:rPr>
        <w:t xml:space="preserve">, 7 vols. (London, 1700), VII: </w:t>
      </w:r>
      <w:r w:rsidR="00D92D94">
        <w:rPr>
          <w:rFonts w:cs="Times New Roman"/>
        </w:rPr>
        <w:t xml:space="preserve">pp. </w:t>
      </w:r>
      <w:r w:rsidRPr="00C106F2">
        <w:rPr>
          <w:rFonts w:cs="Times New Roman"/>
        </w:rPr>
        <w:t>51-80.</w:t>
      </w:r>
    </w:p>
  </w:footnote>
  <w:footnote w:id="88">
    <w:p w:rsidR="0077041C" w:rsidRPr="00C106F2" w:rsidRDefault="0077041C" w:rsidP="00594E81">
      <w:pPr>
        <w:pStyle w:val="FootnoteText"/>
        <w:spacing w:line="480" w:lineRule="auto"/>
      </w:pPr>
      <w:r w:rsidRPr="00C106F2">
        <w:rPr>
          <w:rStyle w:val="FootnoteReference"/>
          <w:vertAlign w:val="baseline"/>
        </w:rPr>
        <w:footnoteRef/>
      </w:r>
      <w:r w:rsidRPr="00C106F2">
        <w:t xml:space="preserve"> It was English convention at the time to treat the months of January through March as belonging to the previous year. I would like to thank Monika Meier for pointing this out to me.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F4E686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E55B23"/>
    <w:multiLevelType w:val="hybridMultilevel"/>
    <w:tmpl w:val="2AB6D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993E24"/>
    <w:multiLevelType w:val="hybridMultilevel"/>
    <w:tmpl w:val="6B24CA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CA6115"/>
    <w:multiLevelType w:val="hybridMultilevel"/>
    <w:tmpl w:val="3A424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C25A7A"/>
    <w:rsid w:val="00002B57"/>
    <w:rsid w:val="00002C4C"/>
    <w:rsid w:val="00011F70"/>
    <w:rsid w:val="00012A1C"/>
    <w:rsid w:val="000144F9"/>
    <w:rsid w:val="0002184F"/>
    <w:rsid w:val="00022FA5"/>
    <w:rsid w:val="000233DE"/>
    <w:rsid w:val="0003475C"/>
    <w:rsid w:val="000363F4"/>
    <w:rsid w:val="00043AC3"/>
    <w:rsid w:val="00046E20"/>
    <w:rsid w:val="00052096"/>
    <w:rsid w:val="00052C2E"/>
    <w:rsid w:val="00053F81"/>
    <w:rsid w:val="00060211"/>
    <w:rsid w:val="0006234B"/>
    <w:rsid w:val="000628FA"/>
    <w:rsid w:val="000647C7"/>
    <w:rsid w:val="000723DA"/>
    <w:rsid w:val="00072988"/>
    <w:rsid w:val="00072D59"/>
    <w:rsid w:val="00077205"/>
    <w:rsid w:val="00080EC5"/>
    <w:rsid w:val="00085B5F"/>
    <w:rsid w:val="000871EE"/>
    <w:rsid w:val="00092656"/>
    <w:rsid w:val="00094416"/>
    <w:rsid w:val="000960CF"/>
    <w:rsid w:val="00097677"/>
    <w:rsid w:val="0009770F"/>
    <w:rsid w:val="000A0A25"/>
    <w:rsid w:val="000A0C6C"/>
    <w:rsid w:val="000A23D5"/>
    <w:rsid w:val="000A4981"/>
    <w:rsid w:val="000A75C4"/>
    <w:rsid w:val="000B5949"/>
    <w:rsid w:val="000B6C8D"/>
    <w:rsid w:val="000C458D"/>
    <w:rsid w:val="000C73DA"/>
    <w:rsid w:val="000C77DD"/>
    <w:rsid w:val="000D1FA9"/>
    <w:rsid w:val="000D2760"/>
    <w:rsid w:val="000D652E"/>
    <w:rsid w:val="000D78D4"/>
    <w:rsid w:val="000E1875"/>
    <w:rsid w:val="000F16D2"/>
    <w:rsid w:val="000F4056"/>
    <w:rsid w:val="001003B1"/>
    <w:rsid w:val="00102811"/>
    <w:rsid w:val="0010438D"/>
    <w:rsid w:val="001100D3"/>
    <w:rsid w:val="001210A1"/>
    <w:rsid w:val="00124F75"/>
    <w:rsid w:val="001270A1"/>
    <w:rsid w:val="001338B3"/>
    <w:rsid w:val="00134E2A"/>
    <w:rsid w:val="0013777B"/>
    <w:rsid w:val="0014538C"/>
    <w:rsid w:val="0016588D"/>
    <w:rsid w:val="001701E5"/>
    <w:rsid w:val="001709C7"/>
    <w:rsid w:val="001736DF"/>
    <w:rsid w:val="00173731"/>
    <w:rsid w:val="001846E9"/>
    <w:rsid w:val="0018683B"/>
    <w:rsid w:val="001877E9"/>
    <w:rsid w:val="00195367"/>
    <w:rsid w:val="001A6798"/>
    <w:rsid w:val="001A6FF1"/>
    <w:rsid w:val="001A70BE"/>
    <w:rsid w:val="001B238E"/>
    <w:rsid w:val="001B2C19"/>
    <w:rsid w:val="001C4493"/>
    <w:rsid w:val="001D4F92"/>
    <w:rsid w:val="001D577D"/>
    <w:rsid w:val="001D70E1"/>
    <w:rsid w:val="001E1634"/>
    <w:rsid w:val="00202793"/>
    <w:rsid w:val="002045CB"/>
    <w:rsid w:val="002125BD"/>
    <w:rsid w:val="00214568"/>
    <w:rsid w:val="00214A89"/>
    <w:rsid w:val="00216431"/>
    <w:rsid w:val="00217EC7"/>
    <w:rsid w:val="002212FC"/>
    <w:rsid w:val="00227B9A"/>
    <w:rsid w:val="00232AD4"/>
    <w:rsid w:val="00233DD9"/>
    <w:rsid w:val="002354BF"/>
    <w:rsid w:val="0023672F"/>
    <w:rsid w:val="00236E2E"/>
    <w:rsid w:val="00237409"/>
    <w:rsid w:val="00242CD2"/>
    <w:rsid w:val="00251205"/>
    <w:rsid w:val="002536CA"/>
    <w:rsid w:val="00255924"/>
    <w:rsid w:val="00256FBC"/>
    <w:rsid w:val="00264081"/>
    <w:rsid w:val="00274F3C"/>
    <w:rsid w:val="002761BC"/>
    <w:rsid w:val="00277232"/>
    <w:rsid w:val="002774B4"/>
    <w:rsid w:val="002800AA"/>
    <w:rsid w:val="00284371"/>
    <w:rsid w:val="0028774F"/>
    <w:rsid w:val="002952F8"/>
    <w:rsid w:val="002A02A6"/>
    <w:rsid w:val="002B7DA5"/>
    <w:rsid w:val="002C10C6"/>
    <w:rsid w:val="002C147A"/>
    <w:rsid w:val="002C1859"/>
    <w:rsid w:val="002C2919"/>
    <w:rsid w:val="002C2BD6"/>
    <w:rsid w:val="002D1C07"/>
    <w:rsid w:val="002D5FA8"/>
    <w:rsid w:val="002E2086"/>
    <w:rsid w:val="002F35C0"/>
    <w:rsid w:val="002F46EA"/>
    <w:rsid w:val="002F5282"/>
    <w:rsid w:val="0030498A"/>
    <w:rsid w:val="00307DD0"/>
    <w:rsid w:val="00321A90"/>
    <w:rsid w:val="00322150"/>
    <w:rsid w:val="003224B0"/>
    <w:rsid w:val="00326CBB"/>
    <w:rsid w:val="00351031"/>
    <w:rsid w:val="003518A0"/>
    <w:rsid w:val="00355759"/>
    <w:rsid w:val="00356CD5"/>
    <w:rsid w:val="00362161"/>
    <w:rsid w:val="00363491"/>
    <w:rsid w:val="00363F12"/>
    <w:rsid w:val="00365110"/>
    <w:rsid w:val="00372657"/>
    <w:rsid w:val="00387335"/>
    <w:rsid w:val="00390263"/>
    <w:rsid w:val="00390641"/>
    <w:rsid w:val="00390B6C"/>
    <w:rsid w:val="0039216A"/>
    <w:rsid w:val="00397B4F"/>
    <w:rsid w:val="003A096B"/>
    <w:rsid w:val="003A1F8E"/>
    <w:rsid w:val="003A366D"/>
    <w:rsid w:val="003A604E"/>
    <w:rsid w:val="003A65CA"/>
    <w:rsid w:val="003B0A52"/>
    <w:rsid w:val="003B3EE2"/>
    <w:rsid w:val="003B4E5C"/>
    <w:rsid w:val="003B5D70"/>
    <w:rsid w:val="003C6168"/>
    <w:rsid w:val="003C7757"/>
    <w:rsid w:val="003E0880"/>
    <w:rsid w:val="003E2A99"/>
    <w:rsid w:val="003E428C"/>
    <w:rsid w:val="003E6F21"/>
    <w:rsid w:val="003F7C88"/>
    <w:rsid w:val="003F7EAA"/>
    <w:rsid w:val="004002BB"/>
    <w:rsid w:val="004003E5"/>
    <w:rsid w:val="00403534"/>
    <w:rsid w:val="00407710"/>
    <w:rsid w:val="0041249D"/>
    <w:rsid w:val="00423D7E"/>
    <w:rsid w:val="0042743B"/>
    <w:rsid w:val="00427D52"/>
    <w:rsid w:val="004330F0"/>
    <w:rsid w:val="004428D2"/>
    <w:rsid w:val="00443EE7"/>
    <w:rsid w:val="004560C3"/>
    <w:rsid w:val="004569B1"/>
    <w:rsid w:val="004606A3"/>
    <w:rsid w:val="00461350"/>
    <w:rsid w:val="00462529"/>
    <w:rsid w:val="0046327E"/>
    <w:rsid w:val="00463405"/>
    <w:rsid w:val="00466E98"/>
    <w:rsid w:val="00476937"/>
    <w:rsid w:val="004779D8"/>
    <w:rsid w:val="00481E2E"/>
    <w:rsid w:val="00487CCC"/>
    <w:rsid w:val="00490F46"/>
    <w:rsid w:val="00491DB8"/>
    <w:rsid w:val="00494D7D"/>
    <w:rsid w:val="0049504E"/>
    <w:rsid w:val="004A3F02"/>
    <w:rsid w:val="004C18B2"/>
    <w:rsid w:val="004D17F2"/>
    <w:rsid w:val="004D29C1"/>
    <w:rsid w:val="004E18F3"/>
    <w:rsid w:val="004E2750"/>
    <w:rsid w:val="004E3918"/>
    <w:rsid w:val="004E4879"/>
    <w:rsid w:val="004F0017"/>
    <w:rsid w:val="004F2841"/>
    <w:rsid w:val="004F53B2"/>
    <w:rsid w:val="004F6D16"/>
    <w:rsid w:val="004F750A"/>
    <w:rsid w:val="00507D8D"/>
    <w:rsid w:val="00513A09"/>
    <w:rsid w:val="00520FF7"/>
    <w:rsid w:val="005317AD"/>
    <w:rsid w:val="0053311E"/>
    <w:rsid w:val="00536B51"/>
    <w:rsid w:val="00537A55"/>
    <w:rsid w:val="00541273"/>
    <w:rsid w:val="005449A5"/>
    <w:rsid w:val="005453A3"/>
    <w:rsid w:val="00546A6A"/>
    <w:rsid w:val="00547C36"/>
    <w:rsid w:val="00550886"/>
    <w:rsid w:val="00553A30"/>
    <w:rsid w:val="00557151"/>
    <w:rsid w:val="00561707"/>
    <w:rsid w:val="00561C9A"/>
    <w:rsid w:val="00570775"/>
    <w:rsid w:val="005751BB"/>
    <w:rsid w:val="00575A9B"/>
    <w:rsid w:val="00577404"/>
    <w:rsid w:val="00584D7A"/>
    <w:rsid w:val="00593664"/>
    <w:rsid w:val="005946CF"/>
    <w:rsid w:val="0059483E"/>
    <w:rsid w:val="00594E81"/>
    <w:rsid w:val="00595150"/>
    <w:rsid w:val="005A20ED"/>
    <w:rsid w:val="005A5A3E"/>
    <w:rsid w:val="005B6E5F"/>
    <w:rsid w:val="005C5767"/>
    <w:rsid w:val="005C6DD3"/>
    <w:rsid w:val="005D0D9B"/>
    <w:rsid w:val="005D40F0"/>
    <w:rsid w:val="005D5250"/>
    <w:rsid w:val="005E272C"/>
    <w:rsid w:val="005E3918"/>
    <w:rsid w:val="005F399B"/>
    <w:rsid w:val="006045D4"/>
    <w:rsid w:val="00604DA9"/>
    <w:rsid w:val="00606248"/>
    <w:rsid w:val="00610405"/>
    <w:rsid w:val="006105EB"/>
    <w:rsid w:val="0061164F"/>
    <w:rsid w:val="006144C1"/>
    <w:rsid w:val="0061664E"/>
    <w:rsid w:val="00617DCF"/>
    <w:rsid w:val="00621402"/>
    <w:rsid w:val="006244F9"/>
    <w:rsid w:val="00626251"/>
    <w:rsid w:val="006270A8"/>
    <w:rsid w:val="00637FEA"/>
    <w:rsid w:val="006501F5"/>
    <w:rsid w:val="00666553"/>
    <w:rsid w:val="0067341F"/>
    <w:rsid w:val="006850BE"/>
    <w:rsid w:val="0069074C"/>
    <w:rsid w:val="006946B9"/>
    <w:rsid w:val="006A61F3"/>
    <w:rsid w:val="006A68D0"/>
    <w:rsid w:val="006A6935"/>
    <w:rsid w:val="006A7D88"/>
    <w:rsid w:val="006B110F"/>
    <w:rsid w:val="006B2709"/>
    <w:rsid w:val="006B3959"/>
    <w:rsid w:val="006B4F88"/>
    <w:rsid w:val="006B6C88"/>
    <w:rsid w:val="006C03B5"/>
    <w:rsid w:val="006C2473"/>
    <w:rsid w:val="006D01FB"/>
    <w:rsid w:val="006D4050"/>
    <w:rsid w:val="006E25E1"/>
    <w:rsid w:val="006E4ED4"/>
    <w:rsid w:val="006F09EF"/>
    <w:rsid w:val="006F5160"/>
    <w:rsid w:val="006F5C54"/>
    <w:rsid w:val="00700CA8"/>
    <w:rsid w:val="007013B6"/>
    <w:rsid w:val="00713D07"/>
    <w:rsid w:val="0071534B"/>
    <w:rsid w:val="00716CF0"/>
    <w:rsid w:val="0072167A"/>
    <w:rsid w:val="0072219E"/>
    <w:rsid w:val="00722B98"/>
    <w:rsid w:val="00730586"/>
    <w:rsid w:val="00730A21"/>
    <w:rsid w:val="00732FB4"/>
    <w:rsid w:val="0074073D"/>
    <w:rsid w:val="007461E0"/>
    <w:rsid w:val="00750073"/>
    <w:rsid w:val="007500E5"/>
    <w:rsid w:val="0075051A"/>
    <w:rsid w:val="00751D26"/>
    <w:rsid w:val="00754CA6"/>
    <w:rsid w:val="00760516"/>
    <w:rsid w:val="007619EB"/>
    <w:rsid w:val="00765693"/>
    <w:rsid w:val="0077041C"/>
    <w:rsid w:val="00787047"/>
    <w:rsid w:val="007906B5"/>
    <w:rsid w:val="0079254C"/>
    <w:rsid w:val="00793EC1"/>
    <w:rsid w:val="007A11DC"/>
    <w:rsid w:val="007B0D7D"/>
    <w:rsid w:val="007B5CA0"/>
    <w:rsid w:val="007B6560"/>
    <w:rsid w:val="007C6317"/>
    <w:rsid w:val="007D19A0"/>
    <w:rsid w:val="007D5CC6"/>
    <w:rsid w:val="007E0899"/>
    <w:rsid w:val="007E3DE0"/>
    <w:rsid w:val="007E413B"/>
    <w:rsid w:val="007E6536"/>
    <w:rsid w:val="007F008F"/>
    <w:rsid w:val="007F0422"/>
    <w:rsid w:val="007F1833"/>
    <w:rsid w:val="007F327E"/>
    <w:rsid w:val="008000CE"/>
    <w:rsid w:val="008016BE"/>
    <w:rsid w:val="00811547"/>
    <w:rsid w:val="00811CFF"/>
    <w:rsid w:val="00812F97"/>
    <w:rsid w:val="00813514"/>
    <w:rsid w:val="00814010"/>
    <w:rsid w:val="00816186"/>
    <w:rsid w:val="00823DEF"/>
    <w:rsid w:val="00823E39"/>
    <w:rsid w:val="0082432E"/>
    <w:rsid w:val="008258BA"/>
    <w:rsid w:val="00830DF7"/>
    <w:rsid w:val="00841A15"/>
    <w:rsid w:val="00846C90"/>
    <w:rsid w:val="00862D31"/>
    <w:rsid w:val="0088485B"/>
    <w:rsid w:val="008907CD"/>
    <w:rsid w:val="00897F76"/>
    <w:rsid w:val="008A0E62"/>
    <w:rsid w:val="008A2D6D"/>
    <w:rsid w:val="008A7929"/>
    <w:rsid w:val="008B0A3F"/>
    <w:rsid w:val="008B0AFC"/>
    <w:rsid w:val="008B2499"/>
    <w:rsid w:val="008B27EA"/>
    <w:rsid w:val="008B537A"/>
    <w:rsid w:val="008C23DA"/>
    <w:rsid w:val="008C2F0B"/>
    <w:rsid w:val="008C41D3"/>
    <w:rsid w:val="008C429C"/>
    <w:rsid w:val="008C5016"/>
    <w:rsid w:val="008D152E"/>
    <w:rsid w:val="008D385F"/>
    <w:rsid w:val="008D6360"/>
    <w:rsid w:val="008E41C5"/>
    <w:rsid w:val="008E66C9"/>
    <w:rsid w:val="008F57A4"/>
    <w:rsid w:val="008F6CEF"/>
    <w:rsid w:val="00902262"/>
    <w:rsid w:val="0090300B"/>
    <w:rsid w:val="009064B4"/>
    <w:rsid w:val="00907094"/>
    <w:rsid w:val="00921739"/>
    <w:rsid w:val="00923D83"/>
    <w:rsid w:val="00926C74"/>
    <w:rsid w:val="009326E3"/>
    <w:rsid w:val="00932E2C"/>
    <w:rsid w:val="00935A0A"/>
    <w:rsid w:val="00935A3C"/>
    <w:rsid w:val="00941B23"/>
    <w:rsid w:val="009453A9"/>
    <w:rsid w:val="00947033"/>
    <w:rsid w:val="00950565"/>
    <w:rsid w:val="00952924"/>
    <w:rsid w:val="009564E5"/>
    <w:rsid w:val="00960955"/>
    <w:rsid w:val="009618CB"/>
    <w:rsid w:val="00964DFD"/>
    <w:rsid w:val="009663AA"/>
    <w:rsid w:val="0096700A"/>
    <w:rsid w:val="009731F8"/>
    <w:rsid w:val="00985FDA"/>
    <w:rsid w:val="00990764"/>
    <w:rsid w:val="00993390"/>
    <w:rsid w:val="00994CA9"/>
    <w:rsid w:val="009960BA"/>
    <w:rsid w:val="009A0740"/>
    <w:rsid w:val="009A08E7"/>
    <w:rsid w:val="009A2CAE"/>
    <w:rsid w:val="009A5CEE"/>
    <w:rsid w:val="009B12ED"/>
    <w:rsid w:val="009B5097"/>
    <w:rsid w:val="009C6073"/>
    <w:rsid w:val="009D222E"/>
    <w:rsid w:val="009D29F4"/>
    <w:rsid w:val="009D2B1B"/>
    <w:rsid w:val="009D5900"/>
    <w:rsid w:val="009D652B"/>
    <w:rsid w:val="009E3FB3"/>
    <w:rsid w:val="009F134D"/>
    <w:rsid w:val="009F44D4"/>
    <w:rsid w:val="009F5659"/>
    <w:rsid w:val="00A01C29"/>
    <w:rsid w:val="00A05AA2"/>
    <w:rsid w:val="00A067EF"/>
    <w:rsid w:val="00A119C4"/>
    <w:rsid w:val="00A1279C"/>
    <w:rsid w:val="00A127D5"/>
    <w:rsid w:val="00A25A8E"/>
    <w:rsid w:val="00A274E8"/>
    <w:rsid w:val="00A2778E"/>
    <w:rsid w:val="00A32E44"/>
    <w:rsid w:val="00A33D61"/>
    <w:rsid w:val="00A36C29"/>
    <w:rsid w:val="00A36F66"/>
    <w:rsid w:val="00A378D6"/>
    <w:rsid w:val="00A44C81"/>
    <w:rsid w:val="00A45669"/>
    <w:rsid w:val="00A51CD3"/>
    <w:rsid w:val="00A56FCB"/>
    <w:rsid w:val="00A630A2"/>
    <w:rsid w:val="00A7105E"/>
    <w:rsid w:val="00A72381"/>
    <w:rsid w:val="00A76882"/>
    <w:rsid w:val="00A80F47"/>
    <w:rsid w:val="00A83AC7"/>
    <w:rsid w:val="00A90E15"/>
    <w:rsid w:val="00A92747"/>
    <w:rsid w:val="00A94FD9"/>
    <w:rsid w:val="00A96B2B"/>
    <w:rsid w:val="00AA0426"/>
    <w:rsid w:val="00AA34C8"/>
    <w:rsid w:val="00AA4354"/>
    <w:rsid w:val="00AB36EA"/>
    <w:rsid w:val="00AB5B20"/>
    <w:rsid w:val="00AC080A"/>
    <w:rsid w:val="00AC368C"/>
    <w:rsid w:val="00AD1197"/>
    <w:rsid w:val="00AD154C"/>
    <w:rsid w:val="00AD528C"/>
    <w:rsid w:val="00AF0D81"/>
    <w:rsid w:val="00AF45A9"/>
    <w:rsid w:val="00AF5F44"/>
    <w:rsid w:val="00B01A34"/>
    <w:rsid w:val="00B02B84"/>
    <w:rsid w:val="00B076DE"/>
    <w:rsid w:val="00B14068"/>
    <w:rsid w:val="00B14FF2"/>
    <w:rsid w:val="00B1799B"/>
    <w:rsid w:val="00B24005"/>
    <w:rsid w:val="00B31B71"/>
    <w:rsid w:val="00B34A5B"/>
    <w:rsid w:val="00B35B05"/>
    <w:rsid w:val="00B55BF0"/>
    <w:rsid w:val="00B71313"/>
    <w:rsid w:val="00B752AD"/>
    <w:rsid w:val="00B76C4E"/>
    <w:rsid w:val="00B80B12"/>
    <w:rsid w:val="00B819AB"/>
    <w:rsid w:val="00B832DD"/>
    <w:rsid w:val="00B83CDA"/>
    <w:rsid w:val="00B91C9E"/>
    <w:rsid w:val="00B95762"/>
    <w:rsid w:val="00BA1258"/>
    <w:rsid w:val="00BA2846"/>
    <w:rsid w:val="00BA4408"/>
    <w:rsid w:val="00BB0EC0"/>
    <w:rsid w:val="00BB1278"/>
    <w:rsid w:val="00BB3286"/>
    <w:rsid w:val="00BB4C95"/>
    <w:rsid w:val="00BC017D"/>
    <w:rsid w:val="00BC3C26"/>
    <w:rsid w:val="00BC45A4"/>
    <w:rsid w:val="00BC4CA3"/>
    <w:rsid w:val="00BC5B16"/>
    <w:rsid w:val="00BC6A59"/>
    <w:rsid w:val="00BC6B37"/>
    <w:rsid w:val="00BC7476"/>
    <w:rsid w:val="00BD6D1A"/>
    <w:rsid w:val="00BD734D"/>
    <w:rsid w:val="00BE25D5"/>
    <w:rsid w:val="00BE385F"/>
    <w:rsid w:val="00BF2324"/>
    <w:rsid w:val="00C013D1"/>
    <w:rsid w:val="00C0254D"/>
    <w:rsid w:val="00C03B51"/>
    <w:rsid w:val="00C03D92"/>
    <w:rsid w:val="00C106F2"/>
    <w:rsid w:val="00C142A9"/>
    <w:rsid w:val="00C2020D"/>
    <w:rsid w:val="00C25A7A"/>
    <w:rsid w:val="00C2600F"/>
    <w:rsid w:val="00C309AD"/>
    <w:rsid w:val="00C33755"/>
    <w:rsid w:val="00C35158"/>
    <w:rsid w:val="00C35869"/>
    <w:rsid w:val="00C40561"/>
    <w:rsid w:val="00C408D6"/>
    <w:rsid w:val="00C40F06"/>
    <w:rsid w:val="00C429CF"/>
    <w:rsid w:val="00C4431C"/>
    <w:rsid w:val="00C71DD3"/>
    <w:rsid w:val="00C72B35"/>
    <w:rsid w:val="00C812B8"/>
    <w:rsid w:val="00C82DBE"/>
    <w:rsid w:val="00C85BFD"/>
    <w:rsid w:val="00C870EB"/>
    <w:rsid w:val="00C87861"/>
    <w:rsid w:val="00C942BF"/>
    <w:rsid w:val="00C9685D"/>
    <w:rsid w:val="00CA4EBC"/>
    <w:rsid w:val="00CA5DD9"/>
    <w:rsid w:val="00CB049B"/>
    <w:rsid w:val="00CB2442"/>
    <w:rsid w:val="00CB32FE"/>
    <w:rsid w:val="00CB7C4D"/>
    <w:rsid w:val="00CC3011"/>
    <w:rsid w:val="00CC31BC"/>
    <w:rsid w:val="00CD05A8"/>
    <w:rsid w:val="00CD122A"/>
    <w:rsid w:val="00CE2FD8"/>
    <w:rsid w:val="00CE4B84"/>
    <w:rsid w:val="00CE7AA8"/>
    <w:rsid w:val="00CF22A5"/>
    <w:rsid w:val="00CF247F"/>
    <w:rsid w:val="00CF5DAD"/>
    <w:rsid w:val="00D0052F"/>
    <w:rsid w:val="00D00DE6"/>
    <w:rsid w:val="00D0742A"/>
    <w:rsid w:val="00D07AAA"/>
    <w:rsid w:val="00D11EB6"/>
    <w:rsid w:val="00D14AC6"/>
    <w:rsid w:val="00D20E2C"/>
    <w:rsid w:val="00D307BB"/>
    <w:rsid w:val="00D40489"/>
    <w:rsid w:val="00D41681"/>
    <w:rsid w:val="00D43BC9"/>
    <w:rsid w:val="00D461B1"/>
    <w:rsid w:val="00D50AB5"/>
    <w:rsid w:val="00D520BB"/>
    <w:rsid w:val="00D52166"/>
    <w:rsid w:val="00D52485"/>
    <w:rsid w:val="00D638E9"/>
    <w:rsid w:val="00D64539"/>
    <w:rsid w:val="00D709FB"/>
    <w:rsid w:val="00D83448"/>
    <w:rsid w:val="00D8695D"/>
    <w:rsid w:val="00D9216B"/>
    <w:rsid w:val="00D92D94"/>
    <w:rsid w:val="00D9335F"/>
    <w:rsid w:val="00D93F74"/>
    <w:rsid w:val="00D95EA1"/>
    <w:rsid w:val="00DA2706"/>
    <w:rsid w:val="00DA7A50"/>
    <w:rsid w:val="00DB0BBD"/>
    <w:rsid w:val="00DB39E7"/>
    <w:rsid w:val="00DC2755"/>
    <w:rsid w:val="00DC2801"/>
    <w:rsid w:val="00DC4D2C"/>
    <w:rsid w:val="00DD079D"/>
    <w:rsid w:val="00DD1F76"/>
    <w:rsid w:val="00DD4F7A"/>
    <w:rsid w:val="00DD6A5B"/>
    <w:rsid w:val="00DE562F"/>
    <w:rsid w:val="00DE6439"/>
    <w:rsid w:val="00DE78E4"/>
    <w:rsid w:val="00DF1068"/>
    <w:rsid w:val="00DF2B3A"/>
    <w:rsid w:val="00DF70CB"/>
    <w:rsid w:val="00DF74B2"/>
    <w:rsid w:val="00DF7A52"/>
    <w:rsid w:val="00E01470"/>
    <w:rsid w:val="00E06624"/>
    <w:rsid w:val="00E100D1"/>
    <w:rsid w:val="00E10BBF"/>
    <w:rsid w:val="00E1177A"/>
    <w:rsid w:val="00E162A6"/>
    <w:rsid w:val="00E270F4"/>
    <w:rsid w:val="00E32CAF"/>
    <w:rsid w:val="00E359DE"/>
    <w:rsid w:val="00E379E6"/>
    <w:rsid w:val="00E41514"/>
    <w:rsid w:val="00E419F9"/>
    <w:rsid w:val="00E42234"/>
    <w:rsid w:val="00E47472"/>
    <w:rsid w:val="00E532EA"/>
    <w:rsid w:val="00E56134"/>
    <w:rsid w:val="00E56661"/>
    <w:rsid w:val="00E56EA8"/>
    <w:rsid w:val="00E5777A"/>
    <w:rsid w:val="00E67DCC"/>
    <w:rsid w:val="00E72F91"/>
    <w:rsid w:val="00E738D6"/>
    <w:rsid w:val="00E73BC2"/>
    <w:rsid w:val="00E7400F"/>
    <w:rsid w:val="00E748A3"/>
    <w:rsid w:val="00E77DCC"/>
    <w:rsid w:val="00E8577E"/>
    <w:rsid w:val="00E8774A"/>
    <w:rsid w:val="00E919F5"/>
    <w:rsid w:val="00E937D4"/>
    <w:rsid w:val="00E94AF1"/>
    <w:rsid w:val="00E95BF4"/>
    <w:rsid w:val="00EA459B"/>
    <w:rsid w:val="00EB400F"/>
    <w:rsid w:val="00EB5948"/>
    <w:rsid w:val="00EB7390"/>
    <w:rsid w:val="00EC125D"/>
    <w:rsid w:val="00ED3A45"/>
    <w:rsid w:val="00EE01A2"/>
    <w:rsid w:val="00EE3D09"/>
    <w:rsid w:val="00EF2640"/>
    <w:rsid w:val="00EF448E"/>
    <w:rsid w:val="00F04935"/>
    <w:rsid w:val="00F06502"/>
    <w:rsid w:val="00F114F0"/>
    <w:rsid w:val="00F121A3"/>
    <w:rsid w:val="00F16F60"/>
    <w:rsid w:val="00F1721C"/>
    <w:rsid w:val="00F22427"/>
    <w:rsid w:val="00F25FF0"/>
    <w:rsid w:val="00F264CF"/>
    <w:rsid w:val="00F27ED9"/>
    <w:rsid w:val="00F31A8A"/>
    <w:rsid w:val="00F33818"/>
    <w:rsid w:val="00F3777D"/>
    <w:rsid w:val="00F40659"/>
    <w:rsid w:val="00F41D03"/>
    <w:rsid w:val="00F45D96"/>
    <w:rsid w:val="00F46A58"/>
    <w:rsid w:val="00F53122"/>
    <w:rsid w:val="00F54C78"/>
    <w:rsid w:val="00F63F64"/>
    <w:rsid w:val="00F653EB"/>
    <w:rsid w:val="00F67796"/>
    <w:rsid w:val="00F67D6A"/>
    <w:rsid w:val="00F71357"/>
    <w:rsid w:val="00F73D86"/>
    <w:rsid w:val="00F73F50"/>
    <w:rsid w:val="00F74813"/>
    <w:rsid w:val="00F91656"/>
    <w:rsid w:val="00F93FF8"/>
    <w:rsid w:val="00F943AE"/>
    <w:rsid w:val="00F97682"/>
    <w:rsid w:val="00FB07C7"/>
    <w:rsid w:val="00FB1FA3"/>
    <w:rsid w:val="00FB3BCB"/>
    <w:rsid w:val="00FB6E6F"/>
    <w:rsid w:val="00FC01B9"/>
    <w:rsid w:val="00FC1AEB"/>
    <w:rsid w:val="00FD49D6"/>
    <w:rsid w:val="00FD6D47"/>
    <w:rsid w:val="00FE20D7"/>
    <w:rsid w:val="00FE3969"/>
    <w:rsid w:val="00FE3A56"/>
    <w:rsid w:val="00FF3374"/>
    <w:rsid w:val="00FF4A5C"/>
    <w:rsid w:val="00FF4DFA"/>
    <w:rsid w:val="00FF5A1F"/>
    <w:rsid w:val="00FF614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CBB"/>
    <w:pPr>
      <w:spacing w:after="0" w:line="240" w:lineRule="auto"/>
    </w:pPr>
    <w:rPr>
      <w:rFonts w:ascii="Times New Roman" w:hAnsi="Times New Roman"/>
      <w:sz w:val="24"/>
    </w:rPr>
  </w:style>
  <w:style w:type="paragraph" w:styleId="Heading1">
    <w:name w:val="heading 1"/>
    <w:basedOn w:val="Normal"/>
    <w:link w:val="Heading1Char"/>
    <w:autoRedefine/>
    <w:uiPriority w:val="9"/>
    <w:qFormat/>
    <w:rsid w:val="00F31A8A"/>
    <w:pPr>
      <w:outlineLvl w:val="0"/>
    </w:pPr>
    <w:rPr>
      <w:rFonts w:eastAsia="Times New Roman" w:cs="Times New Roman"/>
      <w:b/>
      <w:bCs/>
      <w:kern w:val="36"/>
      <w:sz w:val="48"/>
      <w:szCs w:val="48"/>
      <w:lang w:eastAsia="en-GB"/>
    </w:rPr>
  </w:style>
  <w:style w:type="paragraph" w:styleId="Heading2">
    <w:name w:val="heading 2"/>
    <w:basedOn w:val="Normal"/>
    <w:link w:val="Heading2Char"/>
    <w:autoRedefine/>
    <w:uiPriority w:val="9"/>
    <w:qFormat/>
    <w:rsid w:val="00F31A8A"/>
    <w:pPr>
      <w:outlineLvl w:val="1"/>
    </w:pPr>
    <w:rPr>
      <w:rFonts w:eastAsia="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A8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31A8A"/>
    <w:rPr>
      <w:rFonts w:ascii="Times New Roman" w:eastAsia="Times New Roman" w:hAnsi="Times New Roman" w:cs="Times New Roman"/>
      <w:b/>
      <w:bCs/>
      <w:sz w:val="36"/>
      <w:szCs w:val="36"/>
      <w:lang w:eastAsia="en-GB"/>
    </w:rPr>
  </w:style>
  <w:style w:type="paragraph" w:styleId="FootnoteText">
    <w:name w:val="footnote text"/>
    <w:basedOn w:val="Normal"/>
    <w:link w:val="FootnoteTextChar"/>
    <w:uiPriority w:val="99"/>
    <w:unhideWhenUsed/>
    <w:rsid w:val="00C25A7A"/>
    <w:rPr>
      <w:sz w:val="20"/>
      <w:szCs w:val="20"/>
    </w:rPr>
  </w:style>
  <w:style w:type="character" w:customStyle="1" w:styleId="FootnoteTextChar">
    <w:name w:val="Footnote Text Char"/>
    <w:basedOn w:val="DefaultParagraphFont"/>
    <w:link w:val="FootnoteText"/>
    <w:uiPriority w:val="99"/>
    <w:rsid w:val="00C25A7A"/>
    <w:rPr>
      <w:rFonts w:ascii="Times New Roman" w:hAnsi="Times New Roman"/>
      <w:sz w:val="20"/>
      <w:szCs w:val="20"/>
    </w:rPr>
  </w:style>
  <w:style w:type="character" w:styleId="FootnoteReference">
    <w:name w:val="footnote reference"/>
    <w:basedOn w:val="DefaultParagraphFont"/>
    <w:uiPriority w:val="99"/>
    <w:semiHidden/>
    <w:unhideWhenUsed/>
    <w:rsid w:val="00C25A7A"/>
    <w:rPr>
      <w:vertAlign w:val="superscript"/>
    </w:rPr>
  </w:style>
  <w:style w:type="paragraph" w:styleId="Header">
    <w:name w:val="header"/>
    <w:basedOn w:val="Normal"/>
    <w:link w:val="HeaderChar"/>
    <w:uiPriority w:val="99"/>
    <w:semiHidden/>
    <w:unhideWhenUsed/>
    <w:rsid w:val="00F22427"/>
    <w:pPr>
      <w:tabs>
        <w:tab w:val="center" w:pos="4513"/>
        <w:tab w:val="right" w:pos="9026"/>
      </w:tabs>
    </w:pPr>
  </w:style>
  <w:style w:type="character" w:customStyle="1" w:styleId="HeaderChar">
    <w:name w:val="Header Char"/>
    <w:basedOn w:val="DefaultParagraphFont"/>
    <w:link w:val="Header"/>
    <w:uiPriority w:val="99"/>
    <w:semiHidden/>
    <w:rsid w:val="00F22427"/>
    <w:rPr>
      <w:rFonts w:ascii="Times New Roman" w:hAnsi="Times New Roman"/>
      <w:sz w:val="24"/>
    </w:rPr>
  </w:style>
  <w:style w:type="paragraph" w:styleId="Footer">
    <w:name w:val="footer"/>
    <w:basedOn w:val="Normal"/>
    <w:link w:val="FooterChar"/>
    <w:uiPriority w:val="99"/>
    <w:unhideWhenUsed/>
    <w:rsid w:val="00F22427"/>
    <w:pPr>
      <w:tabs>
        <w:tab w:val="center" w:pos="4513"/>
        <w:tab w:val="right" w:pos="9026"/>
      </w:tabs>
    </w:pPr>
  </w:style>
  <w:style w:type="character" w:customStyle="1" w:styleId="FooterChar">
    <w:name w:val="Footer Char"/>
    <w:basedOn w:val="DefaultParagraphFont"/>
    <w:link w:val="Footer"/>
    <w:uiPriority w:val="99"/>
    <w:rsid w:val="00F22427"/>
    <w:rPr>
      <w:rFonts w:ascii="Times New Roman" w:hAnsi="Times New Roman"/>
      <w:sz w:val="24"/>
    </w:rPr>
  </w:style>
  <w:style w:type="character" w:customStyle="1" w:styleId="value">
    <w:name w:val="value"/>
    <w:basedOn w:val="DefaultParagraphFont"/>
    <w:rsid w:val="00BB3286"/>
  </w:style>
  <w:style w:type="character" w:styleId="HTMLVariable">
    <w:name w:val="HTML Variable"/>
    <w:basedOn w:val="DefaultParagraphFont"/>
    <w:uiPriority w:val="99"/>
    <w:semiHidden/>
    <w:unhideWhenUsed/>
    <w:rsid w:val="00372657"/>
    <w:rPr>
      <w:i/>
      <w:iCs/>
    </w:rPr>
  </w:style>
  <w:style w:type="character" w:styleId="Hyperlink">
    <w:name w:val="Hyperlink"/>
    <w:basedOn w:val="DefaultParagraphFont"/>
    <w:uiPriority w:val="99"/>
    <w:unhideWhenUsed/>
    <w:rsid w:val="009D29F4"/>
    <w:rPr>
      <w:color w:val="0000FF"/>
      <w:u w:val="single"/>
    </w:rPr>
  </w:style>
  <w:style w:type="paragraph" w:styleId="ListParagraph">
    <w:name w:val="List Paragraph"/>
    <w:basedOn w:val="Normal"/>
    <w:uiPriority w:val="34"/>
    <w:qFormat/>
    <w:rsid w:val="00264081"/>
    <w:pPr>
      <w:ind w:left="720"/>
      <w:contextualSpacing/>
    </w:pPr>
  </w:style>
  <w:style w:type="character" w:customStyle="1" w:styleId="st">
    <w:name w:val="st"/>
    <w:basedOn w:val="DefaultParagraphFont"/>
    <w:rsid w:val="00DE6439"/>
  </w:style>
  <w:style w:type="character" w:styleId="Emphasis">
    <w:name w:val="Emphasis"/>
    <w:basedOn w:val="DefaultParagraphFont"/>
    <w:uiPriority w:val="20"/>
    <w:qFormat/>
    <w:rsid w:val="00DE6439"/>
    <w:rPr>
      <w:i/>
      <w:iCs/>
    </w:rPr>
  </w:style>
  <w:style w:type="table" w:styleId="TableGrid">
    <w:name w:val="Table Grid"/>
    <w:basedOn w:val="TableNormal"/>
    <w:uiPriority w:val="59"/>
    <w:rsid w:val="00CF24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2">
    <w:name w:val="Light List Accent 2"/>
    <w:basedOn w:val="TableNormal"/>
    <w:uiPriority w:val="61"/>
    <w:rsid w:val="00CF247F"/>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Pa51">
    <w:name w:val="Pa5+1"/>
    <w:basedOn w:val="Normal"/>
    <w:next w:val="Normal"/>
    <w:uiPriority w:val="99"/>
    <w:rsid w:val="00BA2846"/>
    <w:pPr>
      <w:autoSpaceDE w:val="0"/>
      <w:autoSpaceDN w:val="0"/>
      <w:adjustRightInd w:val="0"/>
      <w:spacing w:line="160" w:lineRule="atLeast"/>
    </w:pPr>
    <w:rPr>
      <w:rFonts w:ascii="Minion Pro" w:hAnsi="Minion Pro"/>
      <w:szCs w:val="24"/>
    </w:rPr>
  </w:style>
  <w:style w:type="paragraph" w:styleId="Title">
    <w:name w:val="Title"/>
    <w:basedOn w:val="Normal"/>
    <w:next w:val="Normal"/>
    <w:link w:val="TitleChar"/>
    <w:uiPriority w:val="10"/>
    <w:qFormat/>
    <w:rsid w:val="00BA284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2846"/>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9453A9"/>
    <w:rPr>
      <w:sz w:val="16"/>
      <w:szCs w:val="16"/>
    </w:rPr>
  </w:style>
  <w:style w:type="paragraph" w:styleId="CommentText">
    <w:name w:val="annotation text"/>
    <w:basedOn w:val="Normal"/>
    <w:link w:val="CommentTextChar"/>
    <w:uiPriority w:val="99"/>
    <w:semiHidden/>
    <w:unhideWhenUsed/>
    <w:rsid w:val="009453A9"/>
    <w:rPr>
      <w:sz w:val="20"/>
      <w:szCs w:val="20"/>
    </w:rPr>
  </w:style>
  <w:style w:type="character" w:customStyle="1" w:styleId="CommentTextChar">
    <w:name w:val="Comment Text Char"/>
    <w:basedOn w:val="DefaultParagraphFont"/>
    <w:link w:val="CommentText"/>
    <w:uiPriority w:val="99"/>
    <w:semiHidden/>
    <w:rsid w:val="009453A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453A9"/>
    <w:rPr>
      <w:b/>
      <w:bCs/>
    </w:rPr>
  </w:style>
  <w:style w:type="character" w:customStyle="1" w:styleId="CommentSubjectChar">
    <w:name w:val="Comment Subject Char"/>
    <w:basedOn w:val="CommentTextChar"/>
    <w:link w:val="CommentSubject"/>
    <w:uiPriority w:val="99"/>
    <w:semiHidden/>
    <w:rsid w:val="009453A9"/>
    <w:rPr>
      <w:rFonts w:ascii="Times New Roman" w:hAnsi="Times New Roman"/>
      <w:b/>
      <w:bCs/>
      <w:sz w:val="20"/>
      <w:szCs w:val="20"/>
    </w:rPr>
  </w:style>
  <w:style w:type="paragraph" w:styleId="BalloonText">
    <w:name w:val="Balloon Text"/>
    <w:basedOn w:val="Normal"/>
    <w:link w:val="BalloonTextChar"/>
    <w:uiPriority w:val="99"/>
    <w:semiHidden/>
    <w:unhideWhenUsed/>
    <w:rsid w:val="009453A9"/>
    <w:rPr>
      <w:rFonts w:ascii="Tahoma" w:hAnsi="Tahoma" w:cs="Tahoma"/>
      <w:sz w:val="16"/>
      <w:szCs w:val="16"/>
    </w:rPr>
  </w:style>
  <w:style w:type="character" w:customStyle="1" w:styleId="BalloonTextChar">
    <w:name w:val="Balloon Text Char"/>
    <w:basedOn w:val="DefaultParagraphFont"/>
    <w:link w:val="BalloonText"/>
    <w:uiPriority w:val="99"/>
    <w:semiHidden/>
    <w:rsid w:val="009453A9"/>
    <w:rPr>
      <w:rFonts w:ascii="Tahoma" w:hAnsi="Tahoma" w:cs="Tahoma"/>
      <w:sz w:val="16"/>
      <w:szCs w:val="16"/>
    </w:rPr>
  </w:style>
  <w:style w:type="paragraph" w:styleId="EndnoteText">
    <w:name w:val="endnote text"/>
    <w:basedOn w:val="Normal"/>
    <w:link w:val="EndnoteTextChar"/>
    <w:uiPriority w:val="99"/>
    <w:semiHidden/>
    <w:unhideWhenUsed/>
    <w:rsid w:val="00EC125D"/>
    <w:rPr>
      <w:sz w:val="20"/>
      <w:szCs w:val="20"/>
    </w:rPr>
  </w:style>
  <w:style w:type="character" w:customStyle="1" w:styleId="EndnoteTextChar">
    <w:name w:val="Endnote Text Char"/>
    <w:basedOn w:val="DefaultParagraphFont"/>
    <w:link w:val="EndnoteText"/>
    <w:uiPriority w:val="99"/>
    <w:semiHidden/>
    <w:rsid w:val="00EC125D"/>
    <w:rPr>
      <w:rFonts w:ascii="Times New Roman" w:hAnsi="Times New Roman"/>
      <w:sz w:val="20"/>
      <w:szCs w:val="20"/>
    </w:rPr>
  </w:style>
  <w:style w:type="character" w:styleId="EndnoteReference">
    <w:name w:val="endnote reference"/>
    <w:basedOn w:val="DefaultParagraphFont"/>
    <w:uiPriority w:val="99"/>
    <w:semiHidden/>
    <w:unhideWhenUsed/>
    <w:rsid w:val="00EC125D"/>
    <w:rPr>
      <w:vertAlign w:val="superscript"/>
    </w:rPr>
  </w:style>
  <w:style w:type="paragraph" w:styleId="ListBullet">
    <w:name w:val="List Bullet"/>
    <w:basedOn w:val="Normal"/>
    <w:uiPriority w:val="99"/>
    <w:unhideWhenUsed/>
    <w:rsid w:val="008A7929"/>
    <w:pPr>
      <w:numPr>
        <w:numId w:val="4"/>
      </w:numPr>
      <w:contextualSpacing/>
    </w:pPr>
  </w:style>
  <w:style w:type="character" w:styleId="FollowedHyperlink">
    <w:name w:val="FollowedHyperlink"/>
    <w:basedOn w:val="DefaultParagraphFont"/>
    <w:uiPriority w:val="99"/>
    <w:semiHidden/>
    <w:unhideWhenUsed/>
    <w:rsid w:val="0072219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gwlb.de/Leibniz/Leibnizarchiv/Veroeffentlichungen/Transkriptionen1711.pdf" TargetMode="External"/><Relationship Id="rId2" Type="http://schemas.openxmlformats.org/officeDocument/2006/relationships/hyperlink" Target="http://www.gwlb.de/Leibniz/Leibnizarchiv/Veroeffentlichungen/Transkriptionen1710.pdf" TargetMode="External"/><Relationship Id="rId1" Type="http://schemas.openxmlformats.org/officeDocument/2006/relationships/hyperlink" Target="http://www.gwlb.de/Leibniz/Leibnizarchiv/Veroeffentlichungen/Transkriptionen1711.pdf" TargetMode="External"/><Relationship Id="rId5" Type="http://schemas.openxmlformats.org/officeDocument/2006/relationships/hyperlink" Target="http://www.gwlb.de/Leibniz/Leibnizarchiv/Veroeffentlichungen/Transkriptionen1714.pdf" TargetMode="External"/><Relationship Id="rId4" Type="http://schemas.openxmlformats.org/officeDocument/2006/relationships/hyperlink" Target="http://www.gwlb.de/Leibniz/Leibnizarchiv/Veroeffentlichungen/Transkriptionen17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4361573-59F2-4288-9452-89E3C8F3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33</Pages>
  <Words>6637</Words>
  <Characters>37836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dc:creator>
  <cp:lastModifiedBy>Lloyd</cp:lastModifiedBy>
  <cp:revision>19</cp:revision>
  <dcterms:created xsi:type="dcterms:W3CDTF">2014-10-20T19:32:00Z</dcterms:created>
  <dcterms:modified xsi:type="dcterms:W3CDTF">2014-10-28T18:01:00Z</dcterms:modified>
</cp:coreProperties>
</file>