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7A8F9" w14:textId="77777777" w:rsidR="00FE5D7C" w:rsidRDefault="00192055" w:rsidP="00192055">
      <w:pPr>
        <w:pStyle w:val="NoSpacing"/>
        <w:jc w:val="center"/>
        <w:rPr>
          <w:b/>
        </w:rPr>
      </w:pPr>
      <w:r>
        <w:rPr>
          <w:b/>
        </w:rPr>
        <w:t>Memory</w:t>
      </w:r>
    </w:p>
    <w:p w14:paraId="59EA5A3B" w14:textId="77777777" w:rsidR="00192055" w:rsidRDefault="00192055" w:rsidP="00192055">
      <w:pPr>
        <w:pStyle w:val="NoSpacing"/>
      </w:pPr>
    </w:p>
    <w:p w14:paraId="0E947A5B" w14:textId="77777777" w:rsidR="00192055" w:rsidRDefault="00192055" w:rsidP="00192055">
      <w:pPr>
        <w:pStyle w:val="NoSpacing"/>
      </w:pPr>
      <w:r>
        <w:t>John Sutton, Macquarie University, Sydney</w:t>
      </w:r>
    </w:p>
    <w:p w14:paraId="71269E44" w14:textId="77777777" w:rsidR="00192055" w:rsidRDefault="00D25808" w:rsidP="00192055">
      <w:pPr>
        <w:pStyle w:val="NoSpacing"/>
      </w:pPr>
      <w:hyperlink r:id="rId4" w:history="1">
        <w:r w:rsidR="00192055" w:rsidRPr="005C4E37">
          <w:rPr>
            <w:rStyle w:val="Hyperlink"/>
          </w:rPr>
          <w:t>john.sutton@mq.edu.au</w:t>
        </w:r>
      </w:hyperlink>
      <w:r w:rsidR="00192055">
        <w:t xml:space="preserve"> </w:t>
      </w:r>
    </w:p>
    <w:p w14:paraId="50B08271" w14:textId="77777777" w:rsidR="008B28B1" w:rsidRDefault="008B28B1" w:rsidP="00192055">
      <w:pPr>
        <w:pStyle w:val="NoSpacing"/>
      </w:pPr>
    </w:p>
    <w:p w14:paraId="1E890DC2" w14:textId="1691725C" w:rsidR="008B28B1" w:rsidRDefault="00B50F39" w:rsidP="00192055">
      <w:pPr>
        <w:pStyle w:val="NoSpacing"/>
      </w:pPr>
      <w:r>
        <w:t xml:space="preserve">Descartes thought about memory </w:t>
      </w:r>
      <w:r w:rsidR="00272994">
        <w:t xml:space="preserve">in </w:t>
      </w:r>
      <w:r w:rsidR="007806A3">
        <w:t>the</w:t>
      </w:r>
      <w:r>
        <w:t xml:space="preserve"> distinct contexts</w:t>
      </w:r>
      <w:r w:rsidR="007806A3">
        <w:t xml:space="preserve"> of</w:t>
      </w:r>
      <w:r>
        <w:t xml:space="preserve"> </w:t>
      </w:r>
      <w:r w:rsidRPr="000B0E4E">
        <w:rPr>
          <w:b/>
        </w:rPr>
        <w:t>method</w:t>
      </w:r>
      <w:r>
        <w:t xml:space="preserve">, </w:t>
      </w:r>
      <w:r w:rsidRPr="000B0E4E">
        <w:rPr>
          <w:b/>
        </w:rPr>
        <w:t>metaphysics</w:t>
      </w:r>
      <w:r>
        <w:t xml:space="preserve">, </w:t>
      </w:r>
      <w:r w:rsidRPr="000B0E4E">
        <w:rPr>
          <w:b/>
        </w:rPr>
        <w:t>medicine</w:t>
      </w:r>
      <w:r>
        <w:t xml:space="preserve">, </w:t>
      </w:r>
      <w:r w:rsidR="007806A3">
        <w:t xml:space="preserve">mortality, </w:t>
      </w:r>
      <w:r>
        <w:t>and morals. Keenly aware of the fallibility and instability of natural corporeal memory, he considered various w</w:t>
      </w:r>
      <w:r w:rsidR="007806A3">
        <w:t>ays to bypass it or avoid</w:t>
      </w:r>
      <w:r>
        <w:t xml:space="preserve"> rely</w:t>
      </w:r>
      <w:r w:rsidR="007806A3">
        <w:t>ing</w:t>
      </w:r>
      <w:r>
        <w:t xml:space="preserve"> on it, but also came to see its importance in understanding and dealing with the </w:t>
      </w:r>
      <w:r w:rsidRPr="000B0E4E">
        <w:rPr>
          <w:b/>
        </w:rPr>
        <w:t>passions</w:t>
      </w:r>
      <w:r>
        <w:t xml:space="preserve"> and the union of </w:t>
      </w:r>
      <w:r w:rsidRPr="004E202C">
        <w:rPr>
          <w:b/>
        </w:rPr>
        <w:t>mind</w:t>
      </w:r>
      <w:r>
        <w:t xml:space="preserve"> and </w:t>
      </w:r>
      <w:r w:rsidRPr="004E202C">
        <w:rPr>
          <w:b/>
        </w:rPr>
        <w:t>body</w:t>
      </w:r>
      <w:r>
        <w:t>. His account of memory influence</w:t>
      </w:r>
      <w:r w:rsidR="00161193">
        <w:t xml:space="preserve">d Malebranche and </w:t>
      </w:r>
      <w:r>
        <w:t>associationist tradition</w:t>
      </w:r>
      <w:r w:rsidR="00F743DB">
        <w:t>s</w:t>
      </w:r>
      <w:r>
        <w:t>, but was subject to sharp attack from</w:t>
      </w:r>
      <w:r w:rsidR="001C73CA">
        <w:t xml:space="preserve"> critics who saw it as dangerou</w:t>
      </w:r>
      <w:r w:rsidR="004A7EC0">
        <w:t>sly materialist and chaotic</w:t>
      </w:r>
      <w:r w:rsidR="001C73CA">
        <w:t>.</w:t>
      </w:r>
    </w:p>
    <w:p w14:paraId="0AE183C0" w14:textId="64DCEB17" w:rsidR="001C73CA" w:rsidRDefault="001C73CA" w:rsidP="00E4550B">
      <w:pPr>
        <w:pStyle w:val="NoSpacing"/>
        <w:ind w:firstLine="720"/>
      </w:pPr>
      <w:r>
        <w:t xml:space="preserve">In the </w:t>
      </w:r>
      <w:r w:rsidR="00360400" w:rsidRPr="00360400">
        <w:rPr>
          <w:i/>
        </w:rPr>
        <w:t>Rules</w:t>
      </w:r>
      <w:r>
        <w:rPr>
          <w:i/>
        </w:rPr>
        <w:t xml:space="preserve">, </w:t>
      </w:r>
      <w:r>
        <w:t xml:space="preserve">Descartes worries that the </w:t>
      </w:r>
      <w:r w:rsidRPr="004E202C">
        <w:rPr>
          <w:b/>
        </w:rPr>
        <w:t>intellect</w:t>
      </w:r>
      <w:r>
        <w:t xml:space="preserve"> must rely on memory to connect the ste</w:t>
      </w:r>
      <w:r w:rsidR="00360400">
        <w:t>ps in a reasoning process. But “</w:t>
      </w:r>
      <w:r>
        <w:t>since memory is weak and unstable, it mus</w:t>
      </w:r>
      <w:r w:rsidR="00360400">
        <w:t>t be refreshed and strengthened”</w:t>
      </w:r>
      <w:r w:rsidR="006866C3">
        <w:t xml:space="preserve"> by a continuous and repeated “</w:t>
      </w:r>
      <w:r>
        <w:t xml:space="preserve">movement of </w:t>
      </w:r>
      <w:r w:rsidRPr="004E202C">
        <w:rPr>
          <w:b/>
        </w:rPr>
        <w:t>thought</w:t>
      </w:r>
      <w:r w:rsidR="006866C3">
        <w:t>,”</w:t>
      </w:r>
      <w:r>
        <w:t xml:space="preserve"> </w:t>
      </w:r>
      <w:r w:rsidR="00161193">
        <w:t>until</w:t>
      </w:r>
      <w:r>
        <w:t xml:space="preserve"> </w:t>
      </w:r>
      <w:r w:rsidR="00F81FA5">
        <w:t xml:space="preserve">the </w:t>
      </w:r>
      <w:r>
        <w:t>thinker can intuit the whole series of operation</w:t>
      </w:r>
      <w:r w:rsidR="00360400">
        <w:t>s, passing over them all “</w:t>
      </w:r>
      <w:r>
        <w:t>so quickly that memory is left w</w:t>
      </w:r>
      <w:r w:rsidR="00360400">
        <w:t xml:space="preserve">ith practically no role to play” (AT X, 409; CSM I, </w:t>
      </w:r>
      <w:r>
        <w:t>38)</w:t>
      </w:r>
      <w:r w:rsidR="005C1FEA">
        <w:t xml:space="preserve"> (see </w:t>
      </w:r>
      <w:r w:rsidR="005C1FEA">
        <w:rPr>
          <w:b/>
        </w:rPr>
        <w:t>deduction</w:t>
      </w:r>
      <w:r w:rsidR="005C1FEA">
        <w:t>)</w:t>
      </w:r>
      <w:r>
        <w:t>. Descartes was not attracted to artificial memory techniques</w:t>
      </w:r>
      <w:r w:rsidR="005354CE">
        <w:t xml:space="preserve">, </w:t>
      </w:r>
      <w:r w:rsidR="00F81FA5">
        <w:t>turning</w:t>
      </w:r>
      <w:r w:rsidR="005354CE">
        <w:t xml:space="preserve"> instead </w:t>
      </w:r>
      <w:r w:rsidR="002716DA">
        <w:t xml:space="preserve">to </w:t>
      </w:r>
      <w:r w:rsidR="002716DA" w:rsidRPr="004E202C">
        <w:rPr>
          <w:b/>
        </w:rPr>
        <w:t>anatomy and physiology</w:t>
      </w:r>
      <w:r w:rsidR="002716DA">
        <w:t xml:space="preserve"> to “</w:t>
      </w:r>
      <w:r w:rsidR="005354CE">
        <w:t xml:space="preserve">explain what </w:t>
      </w:r>
      <w:r w:rsidR="005354CE" w:rsidRPr="004E202C">
        <w:rPr>
          <w:b/>
        </w:rPr>
        <w:t>imagination</w:t>
      </w:r>
      <w:r w:rsidR="005354CE">
        <w:t>, memory,</w:t>
      </w:r>
      <w:r w:rsidR="005520C8">
        <w:t xml:space="preserve"> etc</w:t>
      </w:r>
      <w:r w:rsidR="002716DA">
        <w:t>. consist in”</w:t>
      </w:r>
      <w:r w:rsidR="005354CE">
        <w:t xml:space="preserve"> (</w:t>
      </w:r>
      <w:r w:rsidR="002716DA">
        <w:t>AT I, 263; CSM</w:t>
      </w:r>
      <w:r w:rsidR="00124506">
        <w:t>K</w:t>
      </w:r>
      <w:r w:rsidR="002716DA">
        <w:t xml:space="preserve"> III,</w:t>
      </w:r>
      <w:r w:rsidR="00124506">
        <w:t xml:space="preserve"> 40). I</w:t>
      </w:r>
      <w:r w:rsidR="005354CE">
        <w:t xml:space="preserve">n the </w:t>
      </w:r>
      <w:r w:rsidR="005354CE">
        <w:rPr>
          <w:i/>
        </w:rPr>
        <w:t xml:space="preserve">Treatise on Man, </w:t>
      </w:r>
      <w:r w:rsidR="00124506">
        <w:t>Descartes writes</w:t>
      </w:r>
      <w:r w:rsidR="002A675B">
        <w:t xml:space="preserve"> that “</w:t>
      </w:r>
      <w:r w:rsidR="005354CE">
        <w:t xml:space="preserve">the effect of memory that seems to me to be most worthy of consideration here is that, without there being any soul present in this </w:t>
      </w:r>
      <w:r w:rsidR="005354CE" w:rsidRPr="004E202C">
        <w:rPr>
          <w:b/>
        </w:rPr>
        <w:t>machine</w:t>
      </w:r>
      <w:r w:rsidR="005354CE">
        <w:t>, it can naturally be dispose</w:t>
      </w:r>
      <w:r w:rsidR="002A675B">
        <w:t xml:space="preserve">d to imitate all the movements” </w:t>
      </w:r>
      <w:r w:rsidR="004C7ADD">
        <w:t>of real humans (AT XI, 15;</w:t>
      </w:r>
      <w:r w:rsidR="005354CE">
        <w:t xml:space="preserve"> Gaukroger 157). So there is genuine memory in soul-less bodies</w:t>
      </w:r>
      <w:r w:rsidR="00962381">
        <w:t>:</w:t>
      </w:r>
      <w:r w:rsidR="005354CE">
        <w:t xml:space="preserve"> Descartes is consistent in attri</w:t>
      </w:r>
      <w:r w:rsidR="001410E8">
        <w:t xml:space="preserve">buting memory to </w:t>
      </w:r>
      <w:r w:rsidR="001410E8" w:rsidRPr="00AB5556">
        <w:rPr>
          <w:b/>
        </w:rPr>
        <w:t>animals</w:t>
      </w:r>
      <w:r w:rsidR="001410E8">
        <w:t xml:space="preserve"> (AT IV, 310; CSM</w:t>
      </w:r>
      <w:r w:rsidR="005354CE">
        <w:t xml:space="preserve">K </w:t>
      </w:r>
      <w:r w:rsidR="001410E8">
        <w:t xml:space="preserve">III, </w:t>
      </w:r>
      <w:r w:rsidR="005354CE">
        <w:t>270).</w:t>
      </w:r>
    </w:p>
    <w:p w14:paraId="0888200A" w14:textId="0A33CFFD" w:rsidR="006E6709" w:rsidRDefault="006E6709" w:rsidP="00E4550B">
      <w:pPr>
        <w:pStyle w:val="NoSpacing"/>
        <w:ind w:firstLine="720"/>
      </w:pPr>
      <w:r>
        <w:t xml:space="preserve">Corporeal ideas are figures traced by </w:t>
      </w:r>
      <w:r w:rsidRPr="001651B4">
        <w:rPr>
          <w:b/>
        </w:rPr>
        <w:t>animal spirits</w:t>
      </w:r>
      <w:r>
        <w:t xml:space="preserve"> on the surface of the </w:t>
      </w:r>
      <w:r w:rsidRPr="0095029E">
        <w:rPr>
          <w:b/>
        </w:rPr>
        <w:t>pineal gland</w:t>
      </w:r>
      <w:r>
        <w:t>. These occurrent</w:t>
      </w:r>
      <w:r w:rsidR="00003B4D">
        <w:t xml:space="preserve"> impressions then leave traces “</w:t>
      </w:r>
      <w:r>
        <w:t>on</w:t>
      </w:r>
      <w:r w:rsidR="00003B4D">
        <w:t xml:space="preserve"> the internal part of the brain…which is the seat of memory” </w:t>
      </w:r>
      <w:r w:rsidR="00307274">
        <w:t>(AT XI, 176-7; CSM I, 106; Hall 86-7;</w:t>
      </w:r>
      <w:r>
        <w:t xml:space="preserve"> Gaukroger 149-150). Flowing through</w:t>
      </w:r>
      <w:r w:rsidR="001706A3">
        <w:t xml:space="preserve"> the gaps between the tiny fiber</w:t>
      </w:r>
      <w:r>
        <w:t>s of the brain, the spirits enlarge or alter these pores, continually b</w:t>
      </w:r>
      <w:r w:rsidR="00CD7064">
        <w:t>ending and rearranging the fiber</w:t>
      </w:r>
      <w:r>
        <w:t>s and tubes. When the movement of the spirits is stronger, long-lasting, or often repeated, these patt</w:t>
      </w:r>
      <w:r w:rsidR="00FC4B5D">
        <w:t>erns “</w:t>
      </w:r>
      <w:r>
        <w:t xml:space="preserve">are retained there in such a way that by means of them the ideas that existed previously on this gland can be formed again long afterward, without requiring the presence of the objects to which they correspond. And it is in this that </w:t>
      </w:r>
      <w:r>
        <w:rPr>
          <w:i/>
        </w:rPr>
        <w:t xml:space="preserve">Memory </w:t>
      </w:r>
      <w:r w:rsidR="00FC4B5D">
        <w:t>consists”</w:t>
      </w:r>
      <w:r w:rsidR="008568CC">
        <w:t xml:space="preserve"> (AT XI, 178; CSM I, 107; </w:t>
      </w:r>
      <w:r>
        <w:t>Gaukroger 150).</w:t>
      </w:r>
      <w:r w:rsidR="00AF5C00">
        <w:t xml:space="preserve"> In this account, all but repeated in the </w:t>
      </w:r>
      <w:r w:rsidR="00AF5C00">
        <w:rPr>
          <w:i/>
        </w:rPr>
        <w:t xml:space="preserve">Passions of the Soul </w:t>
      </w:r>
      <w:r w:rsidR="00100343">
        <w:t xml:space="preserve">(AT XI, 360; CSM I, </w:t>
      </w:r>
      <w:r w:rsidR="00AF5C00">
        <w:t xml:space="preserve">344), remembering is the reconstruction of a patterned </w:t>
      </w:r>
      <w:r w:rsidR="00AF5C00" w:rsidRPr="009E0EC5">
        <w:rPr>
          <w:b/>
        </w:rPr>
        <w:t>motion</w:t>
      </w:r>
      <w:r w:rsidR="00AF5C00">
        <w:t xml:space="preserve">, not the retrieval of a discrete body. The internal dynamics of brain and body, and the array of factors influencing the state of the animal spirits, introduce causal complexity into the process, even without input from the </w:t>
      </w:r>
      <w:r w:rsidR="00432669">
        <w:t>soul or the external world</w:t>
      </w:r>
      <w:r w:rsidR="009E0EC5">
        <w:t xml:space="preserve"> (see </w:t>
      </w:r>
      <w:r w:rsidR="009E0EC5">
        <w:rPr>
          <w:b/>
        </w:rPr>
        <w:t>cause</w:t>
      </w:r>
      <w:r w:rsidR="009E0EC5">
        <w:t>)</w:t>
      </w:r>
      <w:r w:rsidR="00432669">
        <w:t>. It “</w:t>
      </w:r>
      <w:r w:rsidR="00AF5C00">
        <w:t>usually happens that several different figures are traced i</w:t>
      </w:r>
      <w:r w:rsidR="004567E5">
        <w:t>n the same region of the brain,” so that “</w:t>
      </w:r>
      <w:r w:rsidR="00AF5C00">
        <w:t>the spirits will acquire a [c</w:t>
      </w:r>
      <w:r w:rsidR="00432669">
        <w:t>ombined] impression of them all</w:t>
      </w:r>
      <w:r w:rsidR="00C50BEE">
        <w:t>.</w:t>
      </w:r>
      <w:r w:rsidR="00432669">
        <w:t>”</w:t>
      </w:r>
      <w:r w:rsidR="00C50BEE">
        <w:t xml:space="preserve">  T</w:t>
      </w:r>
      <w:r w:rsidR="00AF5C00">
        <w:t>his explains both</w:t>
      </w:r>
      <w:r w:rsidR="004567E5">
        <w:t xml:space="preserve"> imaginative fantasies and why “</w:t>
      </w:r>
      <w:r w:rsidR="00AF5C00">
        <w:t xml:space="preserve">past things sometimes return to </w:t>
      </w:r>
      <w:r w:rsidR="004567E5">
        <w:t>thought as if by chance”</w:t>
      </w:r>
      <w:r w:rsidR="000E090E">
        <w:t xml:space="preserve"> (AT XI, 184-5; </w:t>
      </w:r>
      <w:r w:rsidR="00AF5C00">
        <w:t>Gaukroger 156).</w:t>
      </w:r>
    </w:p>
    <w:p w14:paraId="6941D774" w14:textId="3324F973" w:rsidR="004A7EC0" w:rsidRDefault="004A7EC0" w:rsidP="00E4550B">
      <w:pPr>
        <w:pStyle w:val="NoSpacing"/>
        <w:ind w:firstLine="720"/>
      </w:pPr>
      <w:r>
        <w:t>Descartes was aware that this account brought memory and imagination uncomfortably close. Critics complained t</w:t>
      </w:r>
      <w:r w:rsidR="009851DC">
        <w:t>hat our memories would thus be “</w:t>
      </w:r>
      <w:r>
        <w:t>stored with infinite variety of divers, yea contrary motions, which must needs interfere, thwart, and obstruct one another: and there would be nothing wi</w:t>
      </w:r>
      <w:r w:rsidR="009851DC">
        <w:t>thin us, but ataxy and disorder”</w:t>
      </w:r>
      <w:r>
        <w:t xml:space="preserve"> (Glanvill 1661</w:t>
      </w:r>
      <w:r w:rsidR="00F81FA5">
        <w:t>, 39</w:t>
      </w:r>
      <w:r>
        <w:t xml:space="preserve">). But Descartes had solved the puzzle of finding room in the brain for all a person’s memories, which exercised him in the </w:t>
      </w:r>
      <w:r w:rsidR="00E47912">
        <w:rPr>
          <w:i/>
        </w:rPr>
        <w:t>Rules</w:t>
      </w:r>
      <w:r w:rsidR="00E47912">
        <w:t xml:space="preserve"> (AT X, 415; CSM I, </w:t>
      </w:r>
      <w:r>
        <w:t>41-2): there need</w:t>
      </w:r>
      <w:r w:rsidR="00C75237">
        <w:t xml:space="preserve"> not be a large number of “folds” in the brain “</w:t>
      </w:r>
      <w:r>
        <w:t>to supply all the things we remember, because a single fold will do for all the t</w:t>
      </w:r>
      <w:r w:rsidR="00C75237">
        <w:t>hings which resemble each other”</w:t>
      </w:r>
      <w:r>
        <w:t xml:space="preserve"> (</w:t>
      </w:r>
      <w:r w:rsidR="00C862D3">
        <w:t>AT III, 143; CSMK III,</w:t>
      </w:r>
      <w:r>
        <w:t xml:space="preserve"> 151).</w:t>
      </w:r>
      <w:r w:rsidR="006A7BBD">
        <w:t xml:space="preserve"> </w:t>
      </w:r>
      <w:r w:rsidR="00962381">
        <w:t xml:space="preserve">On this </w:t>
      </w:r>
      <w:r w:rsidR="006A7BBD">
        <w:t>dynamic distributed model of corporeal memory, many enduring traces are layered or superposed in the same physi</w:t>
      </w:r>
      <w:r w:rsidR="00962381">
        <w:t>cal resources. A</w:t>
      </w:r>
      <w:r w:rsidR="006A7BBD">
        <w:t>nimals or automata without a soul, and humans when the soul is elsewhere, are capable of complex learning and experience-dependent interaction with their world (Sutton 1998</w:t>
      </w:r>
      <w:r w:rsidR="00962381">
        <w:t>, 74-93</w:t>
      </w:r>
      <w:r w:rsidR="006A7BBD">
        <w:t>).</w:t>
      </w:r>
    </w:p>
    <w:p w14:paraId="1DF36358" w14:textId="0BD7142F" w:rsidR="00BC1369" w:rsidRPr="005E4FFA" w:rsidRDefault="00C95176" w:rsidP="00E4550B">
      <w:pPr>
        <w:pStyle w:val="NoSpacing"/>
        <w:ind w:firstLine="720"/>
      </w:pPr>
      <w:r>
        <w:t>In other contexts,</w:t>
      </w:r>
      <w:r w:rsidR="00B63F0E">
        <w:t xml:space="preserve"> </w:t>
      </w:r>
      <w:r w:rsidR="005E4FFA">
        <w:t xml:space="preserve">however, </w:t>
      </w:r>
      <w:r w:rsidR="00B63F0E">
        <w:t xml:space="preserve">Descartes also </w:t>
      </w:r>
      <w:r w:rsidR="005E4FFA">
        <w:t>invoked an incorporeal</w:t>
      </w:r>
      <w:r w:rsidR="009605B8">
        <w:t xml:space="preserve"> memory of </w:t>
      </w:r>
      <w:r w:rsidR="009605B8" w:rsidRPr="001651B4">
        <w:rPr>
          <w:b/>
        </w:rPr>
        <w:t>un</w:t>
      </w:r>
      <w:r w:rsidR="00536A5A" w:rsidRPr="001651B4">
        <w:rPr>
          <w:b/>
        </w:rPr>
        <w:t>iversals</w:t>
      </w:r>
      <w:r w:rsidR="00536A5A">
        <w:t xml:space="preserve">, assuring </w:t>
      </w:r>
      <w:r w:rsidR="00536A5A" w:rsidRPr="00F07CCA">
        <w:rPr>
          <w:b/>
        </w:rPr>
        <w:t>Burman</w:t>
      </w:r>
      <w:r w:rsidR="00536A5A">
        <w:t xml:space="preserve"> that “</w:t>
      </w:r>
      <w:r w:rsidR="009605B8">
        <w:t>I do not refuse to admit int</w:t>
      </w:r>
      <w:r w:rsidR="00536A5A">
        <w:t>ellectual memory: it does exist”</w:t>
      </w:r>
      <w:r w:rsidR="00CF000D">
        <w:t xml:space="preserve"> (AT V, 150; CSM</w:t>
      </w:r>
      <w:r w:rsidR="009605B8">
        <w:t>K</w:t>
      </w:r>
      <w:r w:rsidR="00CF000D">
        <w:t xml:space="preserve"> </w:t>
      </w:r>
      <w:r w:rsidR="00CF000D">
        <w:lastRenderedPageBreak/>
        <w:t>III,</w:t>
      </w:r>
      <w:r w:rsidR="009605B8">
        <w:t xml:space="preserve"> 336)</w:t>
      </w:r>
      <w:r w:rsidR="00EB4107">
        <w:t>, and depen</w:t>
      </w:r>
      <w:r w:rsidR="002E086A">
        <w:t>ds on traces “</w:t>
      </w:r>
      <w:r w:rsidR="00EB4107">
        <w:t>in the mind itself</w:t>
      </w:r>
      <w:r w:rsidR="002E086A">
        <w:t>.”</w:t>
      </w:r>
      <w:r w:rsidR="00432F7F">
        <w:t xml:space="preserve"> Its objects are “purely intellectual things,”</w:t>
      </w:r>
      <w:r w:rsidR="00EB4107">
        <w:t xml:space="preserve"> and </w:t>
      </w:r>
      <w:r w:rsidR="00C65D87">
        <w:t xml:space="preserve">it </w:t>
      </w:r>
      <w:r w:rsidR="00EB4107">
        <w:t>does not retain particulars or any spec</w:t>
      </w:r>
      <w:r w:rsidR="00D07024">
        <w:t>ial connection to the past: so “</w:t>
      </w:r>
      <w:r w:rsidR="00EB4107">
        <w:t>memory in t</w:t>
      </w:r>
      <w:r w:rsidR="00D07024">
        <w:t>he strict sense is not involved”</w:t>
      </w:r>
      <w:r w:rsidR="00B86FAF">
        <w:t xml:space="preserve"> (AT V, 150; CSM</w:t>
      </w:r>
      <w:r w:rsidR="00EB4107">
        <w:t xml:space="preserve">K </w:t>
      </w:r>
      <w:r w:rsidR="00B86FAF">
        <w:t xml:space="preserve">III, </w:t>
      </w:r>
      <w:r w:rsidR="00EB4107">
        <w:t xml:space="preserve">337; AT </w:t>
      </w:r>
      <w:r w:rsidR="00B86FAF">
        <w:t>III, 425; CSM</w:t>
      </w:r>
      <w:r w:rsidR="00EB4107">
        <w:t xml:space="preserve">K </w:t>
      </w:r>
      <w:r w:rsidR="00B86FAF">
        <w:t xml:space="preserve">III, </w:t>
      </w:r>
      <w:r w:rsidR="00EB4107">
        <w:t xml:space="preserve">190; </w:t>
      </w:r>
      <w:r w:rsidR="00B86FAF">
        <w:t>AT IV, 114; CSMK III,</w:t>
      </w:r>
      <w:r w:rsidR="00EB4107">
        <w:t xml:space="preserve"> 233).</w:t>
      </w:r>
      <w:r w:rsidR="003D20BF">
        <w:t xml:space="preserve"> </w:t>
      </w:r>
      <w:r w:rsidR="005E4FFA">
        <w:t xml:space="preserve">Nonetheless, </w:t>
      </w:r>
      <w:r w:rsidR="003D20BF">
        <w:t>Desca</w:t>
      </w:r>
      <w:r w:rsidR="005E4FFA">
        <w:t xml:space="preserve">rtes tells the bereaved </w:t>
      </w:r>
      <w:r w:rsidR="005E4FFA" w:rsidRPr="00F07CCA">
        <w:rPr>
          <w:b/>
        </w:rPr>
        <w:t>Huygens</w:t>
      </w:r>
      <w:r w:rsidR="005E4FFA">
        <w:t xml:space="preserve"> that</w:t>
      </w:r>
      <w:r w:rsidR="00F07CCA">
        <w:t xml:space="preserve"> even after death “</w:t>
      </w:r>
      <w:r w:rsidR="003D20BF">
        <w:t>w</w:t>
      </w:r>
      <w:r w:rsidR="00F07CCA">
        <w:t>e shall still remember the past” by way of this “</w:t>
      </w:r>
      <w:r w:rsidR="003D20BF">
        <w:t>intellectual memory which is ce</w:t>
      </w:r>
      <w:r w:rsidR="00F07CCA">
        <w:t>rtainly independent of the body”</w:t>
      </w:r>
      <w:r w:rsidR="00E956E4">
        <w:t xml:space="preserve"> (AT III, 598; CSMK III,</w:t>
      </w:r>
      <w:r w:rsidR="003D20BF">
        <w:t xml:space="preserve"> 216).</w:t>
      </w:r>
      <w:r w:rsidR="008C5BA0">
        <w:t xml:space="preserve"> The relations between the “two different powers of memory” </w:t>
      </w:r>
      <w:r>
        <w:t>(</w:t>
      </w:r>
      <w:r w:rsidR="008C5BA0">
        <w:t>AT V, 192; CSM</w:t>
      </w:r>
      <w:r>
        <w:t xml:space="preserve">K </w:t>
      </w:r>
      <w:r w:rsidR="008C5BA0">
        <w:t xml:space="preserve">III, </w:t>
      </w:r>
      <w:r>
        <w:t xml:space="preserve">354) remain unresolved, and Descartes’ focus stayed with corporeal memory in the </w:t>
      </w:r>
      <w:r w:rsidRPr="008C5BA0">
        <w:rPr>
          <w:b/>
          <w:i/>
        </w:rPr>
        <w:t>Passions of the Soul</w:t>
      </w:r>
      <w:r>
        <w:rPr>
          <w:i/>
        </w:rPr>
        <w:t>.</w:t>
      </w:r>
      <w:r w:rsidR="005E4FFA">
        <w:t xml:space="preserve"> </w:t>
      </w:r>
    </w:p>
    <w:p w14:paraId="60C266E8" w14:textId="42617397" w:rsidR="005354CE" w:rsidRDefault="005E4FFA" w:rsidP="00B47D60">
      <w:pPr>
        <w:pStyle w:val="NoSpacing"/>
        <w:ind w:firstLine="720"/>
      </w:pPr>
      <w:r>
        <w:t>It is due to experience</w:t>
      </w:r>
      <w:r w:rsidR="00FA08B4">
        <w:t xml:space="preserve"> and memory</w:t>
      </w:r>
      <w:r w:rsidR="00962381">
        <w:t>, as much as</w:t>
      </w:r>
      <w:r w:rsidR="00D06477">
        <w:t xml:space="preserve"> biology, that “</w:t>
      </w:r>
      <w:r>
        <w:t xml:space="preserve">all brains are </w:t>
      </w:r>
      <w:r w:rsidR="00D06477">
        <w:t>not disposed in the same manner”</w:t>
      </w:r>
      <w:r>
        <w:t xml:space="preserve"> (</w:t>
      </w:r>
      <w:r w:rsidR="00E14E9B">
        <w:t xml:space="preserve">AT XI, </w:t>
      </w:r>
      <w:r>
        <w:t>358</w:t>
      </w:r>
      <w:bookmarkStart w:id="0" w:name="_GoBack"/>
      <w:bookmarkEnd w:id="0"/>
      <w:r>
        <w:t>). Therefore</w:t>
      </w:r>
      <w:r w:rsidR="00D06477">
        <w:t>,</w:t>
      </w:r>
      <w:r>
        <w:t xml:space="preserve"> memory underpins the mor</w:t>
      </w:r>
      <w:r w:rsidR="005D4ABC">
        <w:t>e effective, though difficult, “remedy”</w:t>
      </w:r>
      <w:r>
        <w:t xml:space="preserve"> for the passions which Descartes considers. When </w:t>
      </w:r>
      <w:r w:rsidR="00F743DB">
        <w:t>our</w:t>
      </w:r>
      <w:r>
        <w:t xml:space="preserve"> soul is united with our body-machine, we can </w:t>
      </w:r>
      <w:r w:rsidR="00FA08B4">
        <w:t xml:space="preserve">come to understand the mechanisms of association which </w:t>
      </w:r>
      <w:r w:rsidR="00F743DB">
        <w:t>link</w:t>
      </w:r>
      <w:r w:rsidR="00FA08B4">
        <w:t xml:space="preserve"> particular physical movements with thoughts and passions.</w:t>
      </w:r>
      <w:r w:rsidR="0043770C">
        <w:t xml:space="preserve"> Considering examples of the complex alterations wrought by experience on body and brain, Descartes suggests that we</w:t>
      </w:r>
      <w:r w:rsidR="00DC0AE3">
        <w:t xml:space="preserve"> can</w:t>
      </w:r>
      <w:r w:rsidR="0043770C">
        <w:t xml:space="preserve">, within limits, control the passions </w:t>
      </w:r>
      <w:r w:rsidR="00F743DB">
        <w:t>through</w:t>
      </w:r>
      <w:r w:rsidR="0043770C">
        <w:t xml:space="preserve"> new habituation (Sutton 2000; Hatfield 2007)</w:t>
      </w:r>
      <w:r w:rsidR="005D4ABC">
        <w:t xml:space="preserve"> (see </w:t>
      </w:r>
      <w:r w:rsidR="005D4ABC">
        <w:rPr>
          <w:b/>
        </w:rPr>
        <w:t>habits</w:t>
      </w:r>
      <w:r w:rsidR="005D4ABC">
        <w:t>)</w:t>
      </w:r>
      <w:r w:rsidR="0043770C">
        <w:t>. Descartes did not</w:t>
      </w:r>
      <w:r w:rsidR="00F743DB">
        <w:t xml:space="preserve"> </w:t>
      </w:r>
      <w:r w:rsidR="0043770C">
        <w:t>argue that we should root out and challenge every memory or pre-reflective idea:</w:t>
      </w:r>
      <w:r w:rsidR="00DC0AE3">
        <w:t xml:space="preserve"> </w:t>
      </w:r>
      <w:r w:rsidR="0043770C">
        <w:t>there can be no total epistemological re-evaluation, no wholesale destruction of the fabric of belief</w:t>
      </w:r>
      <w:r w:rsidR="00DC0AE3">
        <w:t>, because of the holistic nature of memory storage in the patterned motions of animal spirits through the pores of the brain</w:t>
      </w:r>
      <w:r w:rsidR="0043770C">
        <w:t>.</w:t>
      </w:r>
    </w:p>
    <w:p w14:paraId="104F35DA" w14:textId="462C2E0F" w:rsidR="00B47D60" w:rsidRPr="00B47D60" w:rsidRDefault="00B47D60" w:rsidP="00192055">
      <w:pPr>
        <w:pStyle w:val="NoSpacing"/>
        <w:rPr>
          <w:i/>
        </w:rPr>
      </w:pPr>
      <w:r>
        <w:br/>
        <w:t xml:space="preserve">See Anatomy and Physiology; Animal Spirits; Automaton; Dualism; Habits; Human Being; Imagination; Machine; Mind; Passions; </w:t>
      </w:r>
      <w:r>
        <w:rPr>
          <w:i/>
        </w:rPr>
        <w:t xml:space="preserve">Passions of the Soul; </w:t>
      </w:r>
      <w:r>
        <w:t xml:space="preserve">Pineal Gland; Soul, Immortality of; </w:t>
      </w:r>
      <w:r>
        <w:rPr>
          <w:i/>
        </w:rPr>
        <w:t>Treatise on Man.</w:t>
      </w:r>
    </w:p>
    <w:p w14:paraId="49D1A537" w14:textId="77777777" w:rsidR="00B47D60" w:rsidRPr="005354CE" w:rsidRDefault="00B47D60" w:rsidP="00192055">
      <w:pPr>
        <w:pStyle w:val="NoSpacing"/>
      </w:pPr>
    </w:p>
    <w:p w14:paraId="1CF2B7F6" w14:textId="715183B2" w:rsidR="00192055" w:rsidRDefault="00B47D60" w:rsidP="009605B8">
      <w:pPr>
        <w:pStyle w:val="NoSpacing"/>
        <w:rPr>
          <w:b/>
        </w:rPr>
      </w:pPr>
      <w:r>
        <w:rPr>
          <w:b/>
        </w:rPr>
        <w:t>For Further Reading</w:t>
      </w:r>
    </w:p>
    <w:p w14:paraId="3388F73B" w14:textId="77777777" w:rsidR="00B47D60" w:rsidRDefault="00B47D60" w:rsidP="009605B8">
      <w:pPr>
        <w:pStyle w:val="NoSpacing"/>
        <w:rPr>
          <w:b/>
        </w:rPr>
      </w:pPr>
    </w:p>
    <w:p w14:paraId="08010CA8" w14:textId="1B694689" w:rsidR="00B47D60" w:rsidRDefault="00B47D60" w:rsidP="007B0369">
      <w:pPr>
        <w:pStyle w:val="NoSpacing"/>
        <w:ind w:left="720" w:hanging="720"/>
        <w:rPr>
          <w:b/>
        </w:rPr>
      </w:pPr>
      <w:r>
        <w:rPr>
          <w:b/>
        </w:rPr>
        <w:t>Primary Sources</w:t>
      </w:r>
    </w:p>
    <w:p w14:paraId="6C36AB7C" w14:textId="77777777" w:rsidR="007C5663" w:rsidRPr="00346203" w:rsidRDefault="007C5663" w:rsidP="007B0369">
      <w:pPr>
        <w:pStyle w:val="NoSpacing"/>
        <w:ind w:left="720" w:hanging="720"/>
      </w:pPr>
      <w:r>
        <w:t>Bitbol-Hesp</w:t>
      </w:r>
      <w:r>
        <w:rPr>
          <w:rFonts w:cstheme="minorHAnsi"/>
        </w:rPr>
        <w:t>é</w:t>
      </w:r>
      <w:r>
        <w:t>ri</w:t>
      </w:r>
      <w:r>
        <w:rPr>
          <w:rFonts w:cstheme="minorHAnsi"/>
        </w:rPr>
        <w:t>è</w:t>
      </w:r>
      <w:r>
        <w:t xml:space="preserve">s, Annie </w:t>
      </w:r>
      <w:r>
        <w:rPr>
          <w:i/>
        </w:rPr>
        <w:t xml:space="preserve">ed. </w:t>
      </w:r>
      <w:r>
        <w:t xml:space="preserve">1996. </w:t>
      </w:r>
      <w:r>
        <w:rPr>
          <w:i/>
        </w:rPr>
        <w:t xml:space="preserve">Le Monde, L’Homme. </w:t>
      </w:r>
      <w:r>
        <w:t xml:space="preserve">Paris: </w:t>
      </w:r>
      <w:r>
        <w:rPr>
          <w:rFonts w:cstheme="minorHAnsi"/>
        </w:rPr>
        <w:t>Éditions du Seuil.</w:t>
      </w:r>
    </w:p>
    <w:p w14:paraId="085DA39E" w14:textId="77777777" w:rsidR="007C5663" w:rsidRDefault="007C5663" w:rsidP="007B0369">
      <w:pPr>
        <w:pStyle w:val="NoSpacing"/>
        <w:ind w:left="720" w:hanging="720"/>
      </w:pPr>
      <w:r>
        <w:t xml:space="preserve">Gaukroger, Stephen </w:t>
      </w:r>
      <w:r>
        <w:rPr>
          <w:i/>
        </w:rPr>
        <w:t xml:space="preserve">trans. </w:t>
      </w:r>
      <w:r>
        <w:t xml:space="preserve">and </w:t>
      </w:r>
      <w:r>
        <w:rPr>
          <w:i/>
        </w:rPr>
        <w:t xml:space="preserve">ed. </w:t>
      </w:r>
      <w:r>
        <w:t xml:space="preserve">1998. </w:t>
      </w:r>
      <w:r>
        <w:rPr>
          <w:i/>
        </w:rPr>
        <w:t xml:space="preserve">The World and Other Writings. </w:t>
      </w:r>
      <w:r>
        <w:t xml:space="preserve">Cambridge: Cambridge </w:t>
      </w:r>
    </w:p>
    <w:p w14:paraId="0B5AA9B6" w14:textId="77777777" w:rsidR="007C5663" w:rsidRDefault="007C5663" w:rsidP="007B0369">
      <w:pPr>
        <w:pStyle w:val="NoSpacing"/>
        <w:ind w:left="720" w:hanging="720"/>
      </w:pPr>
      <w:r>
        <w:tab/>
        <w:t>University Press.</w:t>
      </w:r>
    </w:p>
    <w:p w14:paraId="302D5F45" w14:textId="77777777" w:rsidR="007C5663" w:rsidRDefault="007C5663" w:rsidP="007B0369">
      <w:pPr>
        <w:pStyle w:val="NoSpacing"/>
        <w:ind w:left="720" w:hanging="720"/>
      </w:pPr>
      <w:r>
        <w:t xml:space="preserve">Hall, Thomas Steele </w:t>
      </w:r>
      <w:r>
        <w:rPr>
          <w:i/>
        </w:rPr>
        <w:t xml:space="preserve">trans. </w:t>
      </w:r>
      <w:r>
        <w:t xml:space="preserve">and </w:t>
      </w:r>
      <w:r>
        <w:rPr>
          <w:i/>
        </w:rPr>
        <w:t xml:space="preserve">ed. </w:t>
      </w:r>
      <w:r>
        <w:t xml:space="preserve">1972. </w:t>
      </w:r>
      <w:r>
        <w:rPr>
          <w:i/>
        </w:rPr>
        <w:t>Treatise of Man: Ren</w:t>
      </w:r>
      <w:r>
        <w:rPr>
          <w:rFonts w:cstheme="minorHAnsi"/>
          <w:i/>
        </w:rPr>
        <w:t>é</w:t>
      </w:r>
      <w:r>
        <w:rPr>
          <w:i/>
        </w:rPr>
        <w:t xml:space="preserve"> Descartes. </w:t>
      </w:r>
      <w:r>
        <w:t xml:space="preserve">Cambridge, MA: Harvard </w:t>
      </w:r>
    </w:p>
    <w:p w14:paraId="2B4F4726" w14:textId="142BC33D" w:rsidR="00B47D60" w:rsidRPr="007C5663" w:rsidRDefault="007C5663" w:rsidP="007B0369">
      <w:pPr>
        <w:pStyle w:val="NoSpacing"/>
        <w:ind w:left="720" w:hanging="720"/>
      </w:pPr>
      <w:r>
        <w:tab/>
        <w:t>University Press.</w:t>
      </w:r>
    </w:p>
    <w:p w14:paraId="0BD4793B" w14:textId="77777777" w:rsidR="00B47D60" w:rsidRDefault="00B47D60" w:rsidP="007B0369">
      <w:pPr>
        <w:pStyle w:val="NoSpacing"/>
        <w:ind w:left="720" w:hanging="720"/>
        <w:rPr>
          <w:b/>
        </w:rPr>
      </w:pPr>
    </w:p>
    <w:p w14:paraId="4F06EEF0" w14:textId="0295A194" w:rsidR="001450E3" w:rsidRPr="00CC6564" w:rsidRDefault="00B47D60" w:rsidP="00CC6564">
      <w:pPr>
        <w:pStyle w:val="NoSpacing"/>
        <w:ind w:left="720" w:hanging="720"/>
        <w:rPr>
          <w:b/>
        </w:rPr>
      </w:pPr>
      <w:r>
        <w:rPr>
          <w:b/>
        </w:rPr>
        <w:t>Secondary Sources</w:t>
      </w:r>
    </w:p>
    <w:p w14:paraId="5809503E" w14:textId="77777777" w:rsidR="001450E3" w:rsidRPr="001450E3" w:rsidRDefault="001450E3" w:rsidP="007B0369">
      <w:pPr>
        <w:pStyle w:val="NoSpacing"/>
        <w:ind w:left="720" w:hanging="720"/>
      </w:pPr>
      <w:r>
        <w:t xml:space="preserve">Draaisma, Douwe. 2000. </w:t>
      </w:r>
      <w:r>
        <w:rPr>
          <w:i/>
        </w:rPr>
        <w:t xml:space="preserve">Metaphors of Memory. </w:t>
      </w:r>
      <w:r>
        <w:t xml:space="preserve"> Cambridge: Cambridge University Press.</w:t>
      </w:r>
    </w:p>
    <w:p w14:paraId="6B9B5CEB" w14:textId="016AD27F" w:rsidR="009001DE" w:rsidRPr="00735938" w:rsidRDefault="009001DE" w:rsidP="00735938">
      <w:pPr>
        <w:pStyle w:val="NoSpacing"/>
        <w:ind w:left="720" w:hanging="720"/>
      </w:pPr>
      <w:r>
        <w:t>F</w:t>
      </w:r>
      <w:r>
        <w:rPr>
          <w:rFonts w:cstheme="minorHAnsi"/>
        </w:rPr>
        <w:t>ó</w:t>
      </w:r>
      <w:r>
        <w:t>ti, V</w:t>
      </w:r>
      <w:r>
        <w:rPr>
          <w:rFonts w:cstheme="minorHAnsi"/>
        </w:rPr>
        <w:t>éronique M. 2000. “Descartes’ Intellectual and Corporeal Memories</w:t>
      </w:r>
      <w:r w:rsidR="009A19A8">
        <w:rPr>
          <w:rFonts w:cstheme="minorHAnsi"/>
        </w:rPr>
        <w:t>,”</w:t>
      </w:r>
      <w:r w:rsidR="00735938">
        <w:rPr>
          <w:rFonts w:cstheme="minorHAnsi"/>
        </w:rPr>
        <w:t xml:space="preserve"> in</w:t>
      </w:r>
      <w:r w:rsidR="00735938">
        <w:rPr>
          <w:i/>
        </w:rPr>
        <w:t xml:space="preserve"> Descartes’ Natural Philosophy</w:t>
      </w:r>
      <w:r w:rsidR="00735938">
        <w:t xml:space="preserve">, eds. S. Gaukroger, J. </w:t>
      </w:r>
      <w:r w:rsidR="00FD1E80">
        <w:t>Schuster, &amp; J. Sutton</w:t>
      </w:r>
      <w:r w:rsidR="00A4245C">
        <w:t>.</w:t>
      </w:r>
      <w:r w:rsidR="00735938">
        <w:t xml:space="preserve"> </w:t>
      </w:r>
      <w:r>
        <w:rPr>
          <w:i/>
        </w:rPr>
        <w:t xml:space="preserve"> </w:t>
      </w:r>
      <w:r w:rsidR="00735938">
        <w:t xml:space="preserve">London: Routledge, </w:t>
      </w:r>
      <w:r>
        <w:t>591-603.</w:t>
      </w:r>
    </w:p>
    <w:p w14:paraId="42489FAD" w14:textId="77777777" w:rsidR="004A7EC0" w:rsidRPr="004A7EC0" w:rsidRDefault="004A7EC0" w:rsidP="007B0369">
      <w:pPr>
        <w:pStyle w:val="NoSpacing"/>
        <w:ind w:left="720" w:hanging="720"/>
      </w:pPr>
      <w:r>
        <w:t xml:space="preserve">Glanvill, Joseph. 1661. </w:t>
      </w:r>
      <w:r>
        <w:rPr>
          <w:i/>
        </w:rPr>
        <w:t xml:space="preserve">The Vanity of Dogmatizing. </w:t>
      </w:r>
      <w:r>
        <w:t>London: Henry Eversden.</w:t>
      </w:r>
    </w:p>
    <w:p w14:paraId="772296DF" w14:textId="7618EBDB" w:rsidR="009001DE" w:rsidRDefault="009001DE" w:rsidP="007B0369">
      <w:pPr>
        <w:pStyle w:val="NoSpacing"/>
        <w:ind w:left="720" w:hanging="720"/>
        <w:rPr>
          <w:i/>
        </w:rPr>
      </w:pPr>
      <w:r>
        <w:t xml:space="preserve">Hatfield, Gary. 2007. “The </w:t>
      </w:r>
      <w:r>
        <w:rPr>
          <w:i/>
        </w:rPr>
        <w:t xml:space="preserve">Passions of the Soul </w:t>
      </w:r>
      <w:r>
        <w:t>and Descartes’s machine physiology</w:t>
      </w:r>
      <w:r w:rsidR="009A19A8">
        <w:t>,”</w:t>
      </w:r>
      <w:r>
        <w:t xml:space="preserve"> </w:t>
      </w:r>
      <w:r>
        <w:rPr>
          <w:i/>
        </w:rPr>
        <w:t xml:space="preserve">Studies in </w:t>
      </w:r>
    </w:p>
    <w:p w14:paraId="0502DFDA" w14:textId="77777777" w:rsidR="009001DE" w:rsidRPr="009001DE" w:rsidRDefault="009001DE" w:rsidP="007B0369">
      <w:pPr>
        <w:pStyle w:val="NoSpacing"/>
        <w:ind w:left="720" w:hanging="720"/>
      </w:pPr>
      <w:r>
        <w:rPr>
          <w:i/>
        </w:rPr>
        <w:tab/>
        <w:t xml:space="preserve">History and Philosophy of Science </w:t>
      </w:r>
      <w:r>
        <w:t>38: 1-35.</w:t>
      </w:r>
    </w:p>
    <w:p w14:paraId="5A5264F7" w14:textId="5840DBE2" w:rsidR="00192055" w:rsidRDefault="00192055" w:rsidP="007B0369">
      <w:pPr>
        <w:pStyle w:val="NoSpacing"/>
        <w:ind w:left="720" w:hanging="720"/>
      </w:pPr>
      <w:r>
        <w:t>Joyce, Richard</w:t>
      </w:r>
      <w:r w:rsidR="00993333">
        <w:t>. 1997. “Cartesian Memory</w:t>
      </w:r>
      <w:r w:rsidR="009A19A8">
        <w:t>,”</w:t>
      </w:r>
      <w:r w:rsidR="00993333">
        <w:t xml:space="preserve"> </w:t>
      </w:r>
      <w:r w:rsidR="00993333">
        <w:rPr>
          <w:i/>
        </w:rPr>
        <w:t xml:space="preserve">Journal of the History of Philosophy </w:t>
      </w:r>
      <w:r w:rsidR="00993333">
        <w:t>35: 375-393.</w:t>
      </w:r>
    </w:p>
    <w:p w14:paraId="25F84F78" w14:textId="77777777" w:rsidR="009001DE" w:rsidRDefault="0069601F" w:rsidP="007B0369">
      <w:pPr>
        <w:pStyle w:val="NoSpacing"/>
        <w:ind w:left="720" w:hanging="720"/>
        <w:rPr>
          <w:rFonts w:cstheme="minorHAnsi"/>
        </w:rPr>
      </w:pPr>
      <w:r>
        <w:t>Kieft, Xavier. 2006.</w:t>
      </w:r>
      <w:r w:rsidR="009001DE">
        <w:t xml:space="preserve"> “M</w:t>
      </w:r>
      <w:r w:rsidR="009001DE">
        <w:rPr>
          <w:rFonts w:cstheme="minorHAnsi"/>
        </w:rPr>
        <w:t xml:space="preserve">émoire corporelle, mémoire intellectuelle et unite de l’individu selon </w:t>
      </w:r>
    </w:p>
    <w:p w14:paraId="420D6C1C" w14:textId="1280250D" w:rsidR="009001DE" w:rsidRPr="009001DE" w:rsidRDefault="009001DE" w:rsidP="007B0369">
      <w:pPr>
        <w:pStyle w:val="NoSpacing"/>
        <w:ind w:left="720" w:hanging="720"/>
        <w:rPr>
          <w:rFonts w:cstheme="minorHAnsi"/>
        </w:rPr>
      </w:pPr>
      <w:r>
        <w:rPr>
          <w:rFonts w:cstheme="minorHAnsi"/>
        </w:rPr>
        <w:tab/>
        <w:t>Descartes</w:t>
      </w:r>
      <w:r w:rsidR="00174562">
        <w:rPr>
          <w:rFonts w:cstheme="minorHAnsi"/>
        </w:rPr>
        <w:t>,”</w:t>
      </w:r>
      <w:r>
        <w:rPr>
          <w:rFonts w:cstheme="minorHAnsi"/>
        </w:rPr>
        <w:t xml:space="preserve"> </w:t>
      </w:r>
      <w:r>
        <w:rPr>
          <w:rFonts w:cstheme="minorHAnsi"/>
          <w:i/>
        </w:rPr>
        <w:t xml:space="preserve">Revue Philosophique de Louvain </w:t>
      </w:r>
      <w:r>
        <w:rPr>
          <w:rFonts w:cstheme="minorHAnsi"/>
        </w:rPr>
        <w:t>104: 762-786.</w:t>
      </w:r>
    </w:p>
    <w:p w14:paraId="17F94CE2" w14:textId="77777777" w:rsidR="009001DE" w:rsidRDefault="00192055" w:rsidP="007B0369">
      <w:pPr>
        <w:pStyle w:val="NoSpacing"/>
        <w:ind w:left="720" w:hanging="720"/>
      </w:pPr>
      <w:r>
        <w:t>Krell, David F. 1990.</w:t>
      </w:r>
      <w:r w:rsidR="009001DE">
        <w:t xml:space="preserve"> </w:t>
      </w:r>
      <w:r w:rsidR="009001DE">
        <w:rPr>
          <w:i/>
        </w:rPr>
        <w:t xml:space="preserve">Of Memory, Reminiscence, and Writing: on the verge. </w:t>
      </w:r>
      <w:r w:rsidR="009001DE">
        <w:t xml:space="preserve">Bloomington, IN: Indiana </w:t>
      </w:r>
    </w:p>
    <w:p w14:paraId="5207445B" w14:textId="77777777" w:rsidR="00192055" w:rsidRPr="009001DE" w:rsidRDefault="009001DE" w:rsidP="007B0369">
      <w:pPr>
        <w:pStyle w:val="NoSpacing"/>
        <w:ind w:left="720" w:hanging="720"/>
      </w:pPr>
      <w:r>
        <w:tab/>
        <w:t>University Press.</w:t>
      </w:r>
    </w:p>
    <w:p w14:paraId="7BD6311E" w14:textId="3B709666" w:rsidR="009001DE" w:rsidRDefault="002E2395" w:rsidP="007B0369">
      <w:pPr>
        <w:pStyle w:val="NoSpacing"/>
        <w:ind w:left="720" w:hanging="720"/>
        <w:rPr>
          <w:i/>
        </w:rPr>
      </w:pPr>
      <w:r>
        <w:t xml:space="preserve">MacIntosh, J.J. 1983. </w:t>
      </w:r>
      <w:r w:rsidR="009001DE">
        <w:t>“Perception and Imagination in Descartes, Boyle, and Hooke</w:t>
      </w:r>
      <w:r w:rsidR="007749FF">
        <w:t>,”</w:t>
      </w:r>
      <w:r w:rsidR="009001DE">
        <w:t xml:space="preserve"> </w:t>
      </w:r>
      <w:r w:rsidR="009001DE">
        <w:rPr>
          <w:i/>
        </w:rPr>
        <w:t xml:space="preserve">Canadian Journal </w:t>
      </w:r>
    </w:p>
    <w:p w14:paraId="632758D6" w14:textId="0D3ED566" w:rsidR="002E2395" w:rsidRPr="009001DE" w:rsidRDefault="009001DE" w:rsidP="007B0369">
      <w:pPr>
        <w:pStyle w:val="NoSpacing"/>
        <w:ind w:left="720" w:hanging="720"/>
      </w:pPr>
      <w:r>
        <w:rPr>
          <w:i/>
        </w:rPr>
        <w:tab/>
        <w:t xml:space="preserve">of Philosophy </w:t>
      </w:r>
      <w:r w:rsidR="00D7366D">
        <w:t>13: 327-</w:t>
      </w:r>
      <w:r>
        <w:t>52.</w:t>
      </w:r>
    </w:p>
    <w:p w14:paraId="7787FD34" w14:textId="3D2EFE8E" w:rsidR="00192055" w:rsidRPr="00192055" w:rsidRDefault="00192055" w:rsidP="007B0369">
      <w:pPr>
        <w:pStyle w:val="NoSpacing"/>
        <w:ind w:left="720" w:hanging="720"/>
      </w:pPr>
      <w:r>
        <w:t>Morris, John. 1969. “Pattern Recognition in Descartes’ Automata</w:t>
      </w:r>
      <w:r w:rsidR="007749FF">
        <w:t>,”</w:t>
      </w:r>
      <w:r>
        <w:t xml:space="preserve"> </w:t>
      </w:r>
      <w:r>
        <w:rPr>
          <w:i/>
        </w:rPr>
        <w:t xml:space="preserve">Isis </w:t>
      </w:r>
      <w:r w:rsidR="005B069E">
        <w:t>60: 451-</w:t>
      </w:r>
      <w:r>
        <w:t>60.</w:t>
      </w:r>
    </w:p>
    <w:p w14:paraId="3709B092" w14:textId="77777777" w:rsidR="00192055" w:rsidRDefault="00192055" w:rsidP="007B0369">
      <w:pPr>
        <w:pStyle w:val="NoSpacing"/>
        <w:ind w:left="720" w:hanging="720"/>
        <w:rPr>
          <w:rFonts w:cstheme="minorHAnsi"/>
        </w:rPr>
      </w:pPr>
      <w:r>
        <w:t>Landormy, Paul. 1902. “La m</w:t>
      </w:r>
      <w:r>
        <w:rPr>
          <w:rFonts w:cstheme="minorHAnsi"/>
        </w:rPr>
        <w:t xml:space="preserve">émoire corporelle et la mémoire intellectuelle dans la philosophie de </w:t>
      </w:r>
    </w:p>
    <w:p w14:paraId="09C7B479" w14:textId="7B1FB5DA" w:rsidR="00192055" w:rsidRDefault="00192055" w:rsidP="007B0369">
      <w:pPr>
        <w:pStyle w:val="NoSpacing"/>
        <w:ind w:left="720" w:hanging="720"/>
        <w:rPr>
          <w:rFonts w:cstheme="minorHAnsi"/>
        </w:rPr>
      </w:pPr>
      <w:r>
        <w:rPr>
          <w:rFonts w:cstheme="minorHAnsi"/>
        </w:rPr>
        <w:tab/>
        <w:t>Descartes</w:t>
      </w:r>
      <w:r w:rsidR="007749FF">
        <w:rPr>
          <w:rFonts w:cstheme="minorHAnsi"/>
        </w:rPr>
        <w:t>,”</w:t>
      </w:r>
      <w:r>
        <w:rPr>
          <w:rFonts w:cstheme="minorHAnsi"/>
        </w:rPr>
        <w:t xml:space="preserve"> </w:t>
      </w:r>
      <w:r>
        <w:rPr>
          <w:rFonts w:cstheme="minorHAnsi"/>
          <w:i/>
        </w:rPr>
        <w:t xml:space="preserve">Bibliothèque du Congrès Internationale de Philosophie </w:t>
      </w:r>
      <w:r w:rsidR="005B069E">
        <w:rPr>
          <w:rFonts w:cstheme="minorHAnsi"/>
        </w:rPr>
        <w:t>4: 259-</w:t>
      </w:r>
      <w:r>
        <w:rPr>
          <w:rFonts w:cstheme="minorHAnsi"/>
        </w:rPr>
        <w:t>98.</w:t>
      </w:r>
    </w:p>
    <w:p w14:paraId="4D633ADB" w14:textId="15651182" w:rsidR="0069601F" w:rsidRDefault="0069601F" w:rsidP="007B0369">
      <w:pPr>
        <w:pStyle w:val="NoSpacing"/>
        <w:ind w:left="720" w:hanging="720"/>
        <w:rPr>
          <w:rFonts w:cstheme="minorHAnsi"/>
        </w:rPr>
      </w:pPr>
      <w:r>
        <w:rPr>
          <w:rFonts w:cstheme="minorHAnsi"/>
        </w:rPr>
        <w:t>Reiss, Timothy. 1996. “Denying the Body? Memory and the dilemmas of history in Descartes</w:t>
      </w:r>
      <w:r w:rsidR="007749FF">
        <w:rPr>
          <w:rFonts w:cstheme="minorHAnsi"/>
        </w:rPr>
        <w:t>,”</w:t>
      </w:r>
      <w:r>
        <w:rPr>
          <w:rFonts w:cstheme="minorHAnsi"/>
        </w:rPr>
        <w:t xml:space="preserve"> </w:t>
      </w:r>
    </w:p>
    <w:p w14:paraId="72D5C689" w14:textId="77777777" w:rsidR="009001DE" w:rsidRDefault="0069601F" w:rsidP="007B0369">
      <w:pPr>
        <w:pStyle w:val="NoSpacing"/>
        <w:ind w:left="720" w:hanging="720"/>
        <w:rPr>
          <w:rFonts w:cstheme="minorHAnsi"/>
          <w:i/>
        </w:rPr>
      </w:pPr>
      <w:r>
        <w:rPr>
          <w:rFonts w:cstheme="minorHAnsi"/>
        </w:rPr>
        <w:lastRenderedPageBreak/>
        <w:tab/>
      </w:r>
      <w:r>
        <w:rPr>
          <w:rFonts w:cstheme="minorHAnsi"/>
          <w:i/>
        </w:rPr>
        <w:t xml:space="preserve">Journal of the History of Ideas </w:t>
      </w:r>
      <w:r>
        <w:rPr>
          <w:rFonts w:cstheme="minorHAnsi"/>
        </w:rPr>
        <w:t xml:space="preserve">57: 587-607. (Revised version in Reiss, </w:t>
      </w:r>
      <w:r>
        <w:rPr>
          <w:rFonts w:cstheme="minorHAnsi"/>
          <w:i/>
        </w:rPr>
        <w:t>Against Autonomy</w:t>
      </w:r>
      <w:r w:rsidR="009001DE">
        <w:rPr>
          <w:rFonts w:cstheme="minorHAnsi"/>
          <w:i/>
        </w:rPr>
        <w:t xml:space="preserve">, </w:t>
      </w:r>
    </w:p>
    <w:p w14:paraId="0E2E73F4" w14:textId="5FCD4092" w:rsidR="0069601F" w:rsidRDefault="009001DE" w:rsidP="007B0369">
      <w:pPr>
        <w:pStyle w:val="NoSpacing"/>
        <w:ind w:left="720" w:hanging="720"/>
        <w:rPr>
          <w:rFonts w:cstheme="minorHAnsi"/>
        </w:rPr>
      </w:pPr>
      <w:r>
        <w:rPr>
          <w:rFonts w:cstheme="minorHAnsi"/>
          <w:i/>
        </w:rPr>
        <w:tab/>
      </w:r>
      <w:r>
        <w:rPr>
          <w:rFonts w:cstheme="minorHAnsi"/>
        </w:rPr>
        <w:t>Stanford, CA: Stan</w:t>
      </w:r>
      <w:r w:rsidR="0028695B">
        <w:rPr>
          <w:rFonts w:cstheme="minorHAnsi"/>
        </w:rPr>
        <w:t xml:space="preserve">ford University Press, 2002, </w:t>
      </w:r>
      <w:r>
        <w:rPr>
          <w:rFonts w:cstheme="minorHAnsi"/>
        </w:rPr>
        <w:t>184-218).</w:t>
      </w:r>
    </w:p>
    <w:p w14:paraId="2723069F" w14:textId="77777777" w:rsidR="00346203" w:rsidRDefault="00346203" w:rsidP="007B0369">
      <w:pPr>
        <w:pStyle w:val="NoSpacing"/>
        <w:ind w:left="720" w:hanging="720"/>
        <w:rPr>
          <w:rFonts w:cstheme="minorHAnsi"/>
        </w:rPr>
      </w:pPr>
      <w:r>
        <w:rPr>
          <w:rFonts w:cstheme="minorHAnsi"/>
        </w:rPr>
        <w:t>Sepper, Dennis. 1993. “</w:t>
      </w:r>
      <w:r>
        <w:rPr>
          <w:rFonts w:cstheme="minorHAnsi"/>
          <w:i/>
        </w:rPr>
        <w:t xml:space="preserve">Ingenium, </w:t>
      </w:r>
      <w:r>
        <w:rPr>
          <w:rFonts w:cstheme="minorHAnsi"/>
        </w:rPr>
        <w:t xml:space="preserve">Memory Art, and the Unity of Imaginative Knowing in the Early </w:t>
      </w:r>
    </w:p>
    <w:p w14:paraId="786E9BFC" w14:textId="23988B99" w:rsidR="00346203" w:rsidRPr="00346203" w:rsidRDefault="00346203" w:rsidP="007B0369">
      <w:pPr>
        <w:pStyle w:val="NoSpacing"/>
        <w:ind w:left="720" w:hanging="720"/>
      </w:pPr>
      <w:r>
        <w:rPr>
          <w:rFonts w:cstheme="minorHAnsi"/>
        </w:rPr>
        <w:tab/>
        <w:t>Descartes</w:t>
      </w:r>
      <w:r w:rsidR="009436D4">
        <w:rPr>
          <w:rFonts w:cstheme="minorHAnsi"/>
        </w:rPr>
        <w:t>,”</w:t>
      </w:r>
      <w:r>
        <w:rPr>
          <w:rFonts w:cstheme="minorHAnsi"/>
        </w:rPr>
        <w:t xml:space="preserve"> in </w:t>
      </w:r>
      <w:r>
        <w:rPr>
          <w:rFonts w:cstheme="minorHAnsi"/>
          <w:i/>
        </w:rPr>
        <w:t>Essays on the Philosophy and Science of René</w:t>
      </w:r>
      <w:r>
        <w:rPr>
          <w:i/>
        </w:rPr>
        <w:t xml:space="preserve"> Descartes</w:t>
      </w:r>
      <w:r w:rsidR="007B0369">
        <w:t xml:space="preserve">, </w:t>
      </w:r>
      <w:r w:rsidR="0041744A">
        <w:rPr>
          <w:rFonts w:cstheme="minorHAnsi"/>
        </w:rPr>
        <w:t>ed. S.</w:t>
      </w:r>
      <w:r w:rsidR="007B0369">
        <w:rPr>
          <w:rFonts w:cstheme="minorHAnsi"/>
        </w:rPr>
        <w:t xml:space="preserve"> Voss</w:t>
      </w:r>
      <w:r>
        <w:rPr>
          <w:i/>
        </w:rPr>
        <w:t>.</w:t>
      </w:r>
      <w:r w:rsidR="007B0369">
        <w:t xml:space="preserve"> </w:t>
      </w:r>
      <w:r>
        <w:t>Oxford: Ox</w:t>
      </w:r>
      <w:r w:rsidR="00A316D4">
        <w:t xml:space="preserve">ford University Press, </w:t>
      </w:r>
      <w:r w:rsidR="00D5489D">
        <w:t>142-</w:t>
      </w:r>
      <w:r>
        <w:t>61.</w:t>
      </w:r>
    </w:p>
    <w:p w14:paraId="418FCA3E" w14:textId="310F0DAA" w:rsidR="00BC55CE" w:rsidRDefault="00BC55CE" w:rsidP="00CC6564">
      <w:pPr>
        <w:pStyle w:val="NoSpacing"/>
        <w:ind w:left="720" w:hanging="720"/>
      </w:pPr>
      <w:r>
        <w:t xml:space="preserve">Sutton, John. 2000. “The Body and the Brain”, in S. Gaukroger, J. Schuster, &amp; J. Sutton (eds), </w:t>
      </w:r>
    </w:p>
    <w:p w14:paraId="6317803C" w14:textId="5B40A428" w:rsidR="00BC55CE" w:rsidRDefault="00BC55CE" w:rsidP="007B0369">
      <w:pPr>
        <w:pStyle w:val="NoSpacing"/>
        <w:ind w:left="720" w:hanging="720"/>
      </w:pPr>
      <w:r>
        <w:tab/>
      </w:r>
      <w:r>
        <w:rPr>
          <w:i/>
        </w:rPr>
        <w:t xml:space="preserve">Descartes’ Natural Philosophy. </w:t>
      </w:r>
      <w:r>
        <w:t>Londo</w:t>
      </w:r>
      <w:r w:rsidR="0028695B">
        <w:t xml:space="preserve">n: Routledge, </w:t>
      </w:r>
      <w:r>
        <w:t>697-722.</w:t>
      </w:r>
    </w:p>
    <w:p w14:paraId="46631705" w14:textId="3608E39B" w:rsidR="00192055" w:rsidRDefault="00BC55CE" w:rsidP="007B0369">
      <w:pPr>
        <w:pStyle w:val="NoSpacing"/>
        <w:ind w:left="720" w:hanging="720"/>
      </w:pPr>
      <w:r>
        <w:t>———</w:t>
      </w:r>
      <w:r w:rsidR="00192055">
        <w:t xml:space="preserve"> 1998. </w:t>
      </w:r>
      <w:r w:rsidR="00192055">
        <w:rPr>
          <w:i/>
        </w:rPr>
        <w:t xml:space="preserve">Philosophy and Memory Traces: Descartes to connectionism. </w:t>
      </w:r>
      <w:r w:rsidR="00192055">
        <w:t xml:space="preserve">Cambridge: </w:t>
      </w:r>
    </w:p>
    <w:p w14:paraId="6276FA0C" w14:textId="77777777" w:rsidR="00192055" w:rsidRDefault="00192055" w:rsidP="007B0369">
      <w:pPr>
        <w:pStyle w:val="NoSpacing"/>
        <w:ind w:left="720" w:hanging="720"/>
      </w:pPr>
      <w:r>
        <w:tab/>
        <w:t>Cambridge  University Press.</w:t>
      </w:r>
    </w:p>
    <w:sectPr w:rsidR="00192055" w:rsidSect="00E4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49"/>
    <w:rsid w:val="00003B4D"/>
    <w:rsid w:val="000B0E4E"/>
    <w:rsid w:val="000E090E"/>
    <w:rsid w:val="00100343"/>
    <w:rsid w:val="00124506"/>
    <w:rsid w:val="001410E8"/>
    <w:rsid w:val="001450E3"/>
    <w:rsid w:val="00161193"/>
    <w:rsid w:val="001651B4"/>
    <w:rsid w:val="001706A3"/>
    <w:rsid w:val="00174562"/>
    <w:rsid w:val="00192055"/>
    <w:rsid w:val="001C73CA"/>
    <w:rsid w:val="002716DA"/>
    <w:rsid w:val="00272994"/>
    <w:rsid w:val="0028695B"/>
    <w:rsid w:val="002A675B"/>
    <w:rsid w:val="002E086A"/>
    <w:rsid w:val="002E2395"/>
    <w:rsid w:val="00307274"/>
    <w:rsid w:val="0031762F"/>
    <w:rsid w:val="00346203"/>
    <w:rsid w:val="00360400"/>
    <w:rsid w:val="00393352"/>
    <w:rsid w:val="003D20BF"/>
    <w:rsid w:val="0041744A"/>
    <w:rsid w:val="00432669"/>
    <w:rsid w:val="00432F7F"/>
    <w:rsid w:val="0043770C"/>
    <w:rsid w:val="004567E5"/>
    <w:rsid w:val="004866C6"/>
    <w:rsid w:val="004A7EC0"/>
    <w:rsid w:val="004C7ADD"/>
    <w:rsid w:val="004E202C"/>
    <w:rsid w:val="004F7BAA"/>
    <w:rsid w:val="0050787C"/>
    <w:rsid w:val="005354CE"/>
    <w:rsid w:val="00536A5A"/>
    <w:rsid w:val="005520C8"/>
    <w:rsid w:val="005B069E"/>
    <w:rsid w:val="005C1FEA"/>
    <w:rsid w:val="005D4ABC"/>
    <w:rsid w:val="005E4FFA"/>
    <w:rsid w:val="005F673A"/>
    <w:rsid w:val="00624B49"/>
    <w:rsid w:val="006866C3"/>
    <w:rsid w:val="0069601F"/>
    <w:rsid w:val="006A7BBD"/>
    <w:rsid w:val="006E6709"/>
    <w:rsid w:val="00735938"/>
    <w:rsid w:val="007749FF"/>
    <w:rsid w:val="007806A3"/>
    <w:rsid w:val="007B0369"/>
    <w:rsid w:val="007C5663"/>
    <w:rsid w:val="008568CC"/>
    <w:rsid w:val="008A235B"/>
    <w:rsid w:val="008B28B1"/>
    <w:rsid w:val="008C5BA0"/>
    <w:rsid w:val="009001DE"/>
    <w:rsid w:val="009436D4"/>
    <w:rsid w:val="0095029E"/>
    <w:rsid w:val="009605B8"/>
    <w:rsid w:val="00962381"/>
    <w:rsid w:val="009851DC"/>
    <w:rsid w:val="00993333"/>
    <w:rsid w:val="009A19A8"/>
    <w:rsid w:val="009E0EC5"/>
    <w:rsid w:val="00A316D4"/>
    <w:rsid w:val="00A4245C"/>
    <w:rsid w:val="00AB5556"/>
    <w:rsid w:val="00AF5C00"/>
    <w:rsid w:val="00B47D60"/>
    <w:rsid w:val="00B50F39"/>
    <w:rsid w:val="00B63F0E"/>
    <w:rsid w:val="00B66E31"/>
    <w:rsid w:val="00B86FAF"/>
    <w:rsid w:val="00BC1369"/>
    <w:rsid w:val="00BC55CE"/>
    <w:rsid w:val="00C50BEE"/>
    <w:rsid w:val="00C65D87"/>
    <w:rsid w:val="00C75237"/>
    <w:rsid w:val="00C862D3"/>
    <w:rsid w:val="00C95176"/>
    <w:rsid w:val="00CC6564"/>
    <w:rsid w:val="00CD7064"/>
    <w:rsid w:val="00CF000D"/>
    <w:rsid w:val="00CF450C"/>
    <w:rsid w:val="00D06477"/>
    <w:rsid w:val="00D07024"/>
    <w:rsid w:val="00D25808"/>
    <w:rsid w:val="00D5489D"/>
    <w:rsid w:val="00D7366D"/>
    <w:rsid w:val="00DC0AE3"/>
    <w:rsid w:val="00E14E9B"/>
    <w:rsid w:val="00E4550B"/>
    <w:rsid w:val="00E47912"/>
    <w:rsid w:val="00E956E4"/>
    <w:rsid w:val="00EB4107"/>
    <w:rsid w:val="00F07CCA"/>
    <w:rsid w:val="00F743DB"/>
    <w:rsid w:val="00F81FA5"/>
    <w:rsid w:val="00FA08B4"/>
    <w:rsid w:val="00FC4B5D"/>
    <w:rsid w:val="00FD1E80"/>
    <w:rsid w:val="00FE24F3"/>
    <w:rsid w:val="00FE5D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4B726"/>
  <w15:docId w15:val="{5F4340FC-D93C-4C8A-B9D3-EBE67503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055"/>
    <w:pPr>
      <w:spacing w:after="0" w:line="240" w:lineRule="auto"/>
    </w:pPr>
  </w:style>
  <w:style w:type="character" w:styleId="Hyperlink">
    <w:name w:val="Hyperlink"/>
    <w:basedOn w:val="DefaultParagraphFont"/>
    <w:uiPriority w:val="99"/>
    <w:unhideWhenUsed/>
    <w:rsid w:val="00192055"/>
    <w:rPr>
      <w:color w:val="0000FF" w:themeColor="hyperlink"/>
      <w:u w:val="single"/>
    </w:rPr>
  </w:style>
  <w:style w:type="paragraph" w:styleId="BalloonText">
    <w:name w:val="Balloon Text"/>
    <w:basedOn w:val="Normal"/>
    <w:link w:val="BalloonTextChar"/>
    <w:uiPriority w:val="99"/>
    <w:semiHidden/>
    <w:unhideWhenUsed/>
    <w:rsid w:val="0078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A3"/>
    <w:rPr>
      <w:rFonts w:ascii="Tahoma" w:hAnsi="Tahoma" w:cs="Tahoma"/>
      <w:sz w:val="16"/>
      <w:szCs w:val="16"/>
    </w:rPr>
  </w:style>
  <w:style w:type="character" w:styleId="CommentReference">
    <w:name w:val="annotation reference"/>
    <w:basedOn w:val="DefaultParagraphFont"/>
    <w:uiPriority w:val="99"/>
    <w:semiHidden/>
    <w:unhideWhenUsed/>
    <w:rsid w:val="00E47912"/>
    <w:rPr>
      <w:sz w:val="18"/>
      <w:szCs w:val="18"/>
    </w:rPr>
  </w:style>
  <w:style w:type="paragraph" w:styleId="CommentText">
    <w:name w:val="annotation text"/>
    <w:basedOn w:val="Normal"/>
    <w:link w:val="CommentTextChar"/>
    <w:uiPriority w:val="99"/>
    <w:semiHidden/>
    <w:unhideWhenUsed/>
    <w:rsid w:val="00E47912"/>
    <w:pPr>
      <w:spacing w:line="240" w:lineRule="auto"/>
    </w:pPr>
    <w:rPr>
      <w:sz w:val="24"/>
      <w:szCs w:val="24"/>
    </w:rPr>
  </w:style>
  <w:style w:type="character" w:customStyle="1" w:styleId="CommentTextChar">
    <w:name w:val="Comment Text Char"/>
    <w:basedOn w:val="DefaultParagraphFont"/>
    <w:link w:val="CommentText"/>
    <w:uiPriority w:val="99"/>
    <w:semiHidden/>
    <w:rsid w:val="00E47912"/>
    <w:rPr>
      <w:sz w:val="24"/>
      <w:szCs w:val="24"/>
    </w:rPr>
  </w:style>
  <w:style w:type="paragraph" w:styleId="CommentSubject">
    <w:name w:val="annotation subject"/>
    <w:basedOn w:val="CommentText"/>
    <w:next w:val="CommentText"/>
    <w:link w:val="CommentSubjectChar"/>
    <w:uiPriority w:val="99"/>
    <w:semiHidden/>
    <w:unhideWhenUsed/>
    <w:rsid w:val="00E47912"/>
    <w:rPr>
      <w:b/>
      <w:bCs/>
      <w:sz w:val="20"/>
      <w:szCs w:val="20"/>
    </w:rPr>
  </w:style>
  <w:style w:type="character" w:customStyle="1" w:styleId="CommentSubjectChar">
    <w:name w:val="Comment Subject Char"/>
    <w:basedOn w:val="CommentTextChar"/>
    <w:link w:val="CommentSubject"/>
    <w:uiPriority w:val="99"/>
    <w:semiHidden/>
    <w:rsid w:val="00E47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sutton@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Sutton</dc:creator>
  <cp:lastModifiedBy>Richard</cp:lastModifiedBy>
  <cp:revision>2</cp:revision>
  <cp:lastPrinted>2011-04-08T07:07:00Z</cp:lastPrinted>
  <dcterms:created xsi:type="dcterms:W3CDTF">2014-01-20T21:58:00Z</dcterms:created>
  <dcterms:modified xsi:type="dcterms:W3CDTF">2014-01-20T21:58:00Z</dcterms:modified>
</cp:coreProperties>
</file>