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6D28A" w14:textId="4F6AEBB0" w:rsidR="00B74113" w:rsidRDefault="00B74113" w:rsidP="00B74113">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b/>
        </w:rPr>
        <w:t>Ought We to Forget What We Cannot Forget? A Response to Sybille Schmidt</w:t>
      </w:r>
    </w:p>
    <w:p w14:paraId="3407D50C" w14:textId="77777777" w:rsidR="00B74113" w:rsidRDefault="00B74113" w:rsidP="00653EB8">
      <w:pPr>
        <w:widowControl w:val="0"/>
        <w:autoSpaceDE w:val="0"/>
        <w:autoSpaceDN w:val="0"/>
        <w:adjustRightInd w:val="0"/>
        <w:spacing w:after="240"/>
        <w:jc w:val="both"/>
        <w:rPr>
          <w:rFonts w:ascii="Times New Roman" w:hAnsi="Times New Roman" w:cs="Times New Roman"/>
        </w:rPr>
      </w:pPr>
    </w:p>
    <w:p w14:paraId="3F54B171" w14:textId="3EAA550F" w:rsidR="001D44FC" w:rsidRDefault="00E96BF1" w:rsidP="00653EB8">
      <w:pPr>
        <w:widowControl w:val="0"/>
        <w:autoSpaceDE w:val="0"/>
        <w:autoSpaceDN w:val="0"/>
        <w:adjustRightInd w:val="0"/>
        <w:spacing w:after="240"/>
        <w:jc w:val="both"/>
        <w:rPr>
          <w:rFonts w:ascii="Times New Roman" w:hAnsi="Times New Roman" w:cs="Times New Roman"/>
        </w:rPr>
      </w:pPr>
      <w:r w:rsidRPr="00935C76">
        <w:rPr>
          <w:rFonts w:ascii="Times New Roman" w:hAnsi="Times New Roman" w:cs="Times New Roman"/>
        </w:rPr>
        <w:t>In her short essay “Is There an Ethics of Forgetting?” Sybille Schmidt reports Friedrich Nietzsche</w:t>
      </w:r>
      <w:r w:rsidR="001F39F1" w:rsidRPr="00935C76">
        <w:rPr>
          <w:rFonts w:ascii="Times New Roman" w:hAnsi="Times New Roman" w:cs="Times New Roman"/>
        </w:rPr>
        <w:t>’s</w:t>
      </w:r>
      <w:r w:rsidRPr="00935C76">
        <w:rPr>
          <w:rFonts w:ascii="Times New Roman" w:hAnsi="Times New Roman" w:cs="Times New Roman"/>
        </w:rPr>
        <w:t xml:space="preserve"> pondering about “the extremest possible example of a man who did not possess the power of forgetting at all and who was thus condemned to see everywhere a state of becoming.” According to Nietzsche</w:t>
      </w:r>
      <w:r w:rsidR="00B9642D">
        <w:rPr>
          <w:rFonts w:ascii="Times New Roman" w:hAnsi="Times New Roman" w:cs="Times New Roman"/>
        </w:rPr>
        <w:t xml:space="preserve"> (as quoted by Schmidt)</w:t>
      </w:r>
      <w:r w:rsidRPr="00935C76">
        <w:rPr>
          <w:rFonts w:ascii="Times New Roman" w:hAnsi="Times New Roman" w:cs="Times New Roman"/>
        </w:rPr>
        <w:t xml:space="preserve">, </w:t>
      </w:r>
    </w:p>
    <w:p w14:paraId="37AEC9C9" w14:textId="2F280B54" w:rsidR="00E96BF1" w:rsidRPr="00935C76" w:rsidRDefault="00E96BF1" w:rsidP="001D44FC">
      <w:pPr>
        <w:widowControl w:val="0"/>
        <w:autoSpaceDE w:val="0"/>
        <w:autoSpaceDN w:val="0"/>
        <w:adjustRightInd w:val="0"/>
        <w:spacing w:after="240"/>
        <w:ind w:left="720"/>
        <w:jc w:val="both"/>
        <w:rPr>
          <w:rFonts w:ascii="Times New Roman" w:hAnsi="Times New Roman" w:cs="Times New Roman"/>
          <w:i/>
        </w:rPr>
      </w:pPr>
      <w:r w:rsidRPr="00935C76">
        <w:rPr>
          <w:rFonts w:ascii="Times New Roman" w:hAnsi="Times New Roman" w:cs="Times New Roman"/>
        </w:rPr>
        <w:t xml:space="preserve">“such a man would no longer believe in his own being, would no longer believe in himself, would see everything flowing asunder in moving points and would lose himself in this stream of becoming: like a true pupil of Heraclitus, he would in the end hardly dare to raise his finger. Forgetting is essential to action of any kind, just as not only light but darkness too is essential for the life of everything organic.”  </w:t>
      </w:r>
    </w:p>
    <w:p w14:paraId="4780037A" w14:textId="00CABE4F" w:rsidR="00E96BF1" w:rsidRPr="00935C76" w:rsidRDefault="00BF7C0D" w:rsidP="00653EB8">
      <w:pPr>
        <w:widowControl w:val="0"/>
        <w:autoSpaceDE w:val="0"/>
        <w:autoSpaceDN w:val="0"/>
        <w:adjustRightInd w:val="0"/>
        <w:spacing w:after="240"/>
        <w:jc w:val="both"/>
        <w:rPr>
          <w:rFonts w:ascii="Times New Roman" w:hAnsi="Times New Roman" w:cs="Times New Roman"/>
        </w:rPr>
      </w:pPr>
      <w:r w:rsidRPr="00935C76">
        <w:rPr>
          <w:rFonts w:ascii="Times New Roman" w:hAnsi="Times New Roman" w:cs="Times New Roman"/>
        </w:rPr>
        <w:t xml:space="preserve">The man </w:t>
      </w:r>
      <w:r w:rsidR="00E96BF1" w:rsidRPr="00935C76">
        <w:rPr>
          <w:rFonts w:ascii="Times New Roman" w:hAnsi="Times New Roman" w:cs="Times New Roman"/>
        </w:rPr>
        <w:t>Nietzsche</w:t>
      </w:r>
      <w:r w:rsidRPr="00935C76">
        <w:rPr>
          <w:rFonts w:ascii="Times New Roman" w:hAnsi="Times New Roman" w:cs="Times New Roman"/>
        </w:rPr>
        <w:t xml:space="preserve"> is talking about is among us - and</w:t>
      </w:r>
      <w:r w:rsidR="001D44FC">
        <w:rPr>
          <w:rFonts w:ascii="Times New Roman" w:hAnsi="Times New Roman" w:cs="Times New Roman"/>
        </w:rPr>
        <w:t xml:space="preserve"> Nietzsche</w:t>
      </w:r>
      <w:r w:rsidR="001F39F1" w:rsidRPr="00935C76">
        <w:rPr>
          <w:rFonts w:ascii="Times New Roman" w:hAnsi="Times New Roman" w:cs="Times New Roman"/>
        </w:rPr>
        <w:t xml:space="preserve"> is right: he</w:t>
      </w:r>
      <w:r w:rsidR="00E96BF1" w:rsidRPr="00935C76">
        <w:rPr>
          <w:rFonts w:ascii="Times New Roman" w:hAnsi="Times New Roman" w:cs="Times New Roman"/>
        </w:rPr>
        <w:t xml:space="preserve"> suffer</w:t>
      </w:r>
      <w:r w:rsidR="001F39F1" w:rsidRPr="00935C76">
        <w:rPr>
          <w:rFonts w:ascii="Times New Roman" w:hAnsi="Times New Roman" w:cs="Times New Roman"/>
        </w:rPr>
        <w:t>s</w:t>
      </w:r>
      <w:r w:rsidR="00E96BF1" w:rsidRPr="00935C76">
        <w:rPr>
          <w:rFonts w:ascii="Times New Roman" w:hAnsi="Times New Roman" w:cs="Times New Roman"/>
        </w:rPr>
        <w:t>. Here is a case description</w:t>
      </w:r>
      <w:r w:rsidR="00490ACE">
        <w:rPr>
          <w:rFonts w:ascii="Times New Roman" w:hAnsi="Times New Roman" w:cs="Times New Roman"/>
        </w:rPr>
        <w:t xml:space="preserve"> (from Crane 2011)</w:t>
      </w:r>
      <w:r w:rsidR="00E96BF1" w:rsidRPr="00935C76">
        <w:rPr>
          <w:rFonts w:ascii="Times New Roman" w:hAnsi="Times New Roman" w:cs="Times New Roman"/>
        </w:rPr>
        <w:t>:</w:t>
      </w:r>
    </w:p>
    <w:p w14:paraId="151248E6" w14:textId="77777777" w:rsidR="00E96BF1" w:rsidRPr="00935C76" w:rsidRDefault="00E96BF1" w:rsidP="00D71534">
      <w:pPr>
        <w:widowControl w:val="0"/>
        <w:autoSpaceDE w:val="0"/>
        <w:autoSpaceDN w:val="0"/>
        <w:adjustRightInd w:val="0"/>
        <w:spacing w:after="240"/>
        <w:ind w:left="720"/>
        <w:jc w:val="both"/>
        <w:rPr>
          <w:rFonts w:ascii="Times New Roman" w:hAnsi="Times New Roman" w:cs="Times New Roman"/>
        </w:rPr>
      </w:pPr>
      <w:r w:rsidRPr="00935C76">
        <w:rPr>
          <w:rFonts w:ascii="Times New Roman" w:hAnsi="Times New Roman" w:cs="Times New Roman"/>
        </w:rPr>
        <w:t>“The great Russian neurologist Aleksandr Romanovich Luria wrote about a patient, S, who could not forget. S was a mnemonist – he used mnemonics, or patterns, to remember things. Moreover, his was a synaesthetic memory, combining all the senses into an integrative whole. Yellow was not merely a visual experience, it was emotional as well as tactical and tasty. Test after test revealed that S could recall series of words and numbers years after he first encountered them. It appeared that nothing slipped from his mind. Such an inexhaustible memory, however, was exhausting. S suffered. The past was always there, continuously present, inescapable.”</w:t>
      </w:r>
    </w:p>
    <w:p w14:paraId="79835068" w14:textId="0C44ADE4" w:rsidR="00BF7C0D" w:rsidRPr="00935C76" w:rsidRDefault="00BF7C0D" w:rsidP="00653EB8">
      <w:pPr>
        <w:jc w:val="both"/>
        <w:rPr>
          <w:rFonts w:ascii="Times New Roman" w:hAnsi="Times New Roman" w:cs="Times New Roman"/>
        </w:rPr>
      </w:pPr>
      <w:r w:rsidRPr="00935C76">
        <w:rPr>
          <w:rFonts w:ascii="Times New Roman" w:hAnsi="Times New Roman" w:cs="Times New Roman"/>
        </w:rPr>
        <w:t xml:space="preserve">Nietzsche’s main point, </w:t>
      </w:r>
      <w:r w:rsidR="00490ACE">
        <w:rPr>
          <w:rFonts w:ascii="Times New Roman" w:hAnsi="Times New Roman" w:cs="Times New Roman"/>
        </w:rPr>
        <w:t>though</w:t>
      </w:r>
      <w:r w:rsidRPr="00935C76">
        <w:rPr>
          <w:rFonts w:ascii="Times New Roman" w:hAnsi="Times New Roman" w:cs="Times New Roman"/>
        </w:rPr>
        <w:t xml:space="preserve">, as Schmidt correctly reports, appears to be not about suffering. It is rather that just as remembering is essential for life and action, so is forgetting. However, this in itself does not give us an ethics of forgetting; in fact, it does not give us even </w:t>
      </w:r>
      <w:r w:rsidRPr="00935C76">
        <w:rPr>
          <w:rFonts w:ascii="Times New Roman" w:hAnsi="Times New Roman" w:cs="Times New Roman"/>
          <w:i/>
        </w:rPr>
        <w:t>grounds</w:t>
      </w:r>
      <w:r w:rsidRPr="00935C76">
        <w:rPr>
          <w:rFonts w:ascii="Times New Roman" w:hAnsi="Times New Roman" w:cs="Times New Roman"/>
        </w:rPr>
        <w:t xml:space="preserve"> to believe that there is such a thing as an ethics of forgetting or that such a thing would be needed. All that Nietzsche’s discussion shows is that forgetting is an essential function of human existe</w:t>
      </w:r>
      <w:r w:rsidR="001F39F1" w:rsidRPr="00935C76">
        <w:rPr>
          <w:rFonts w:ascii="Times New Roman" w:hAnsi="Times New Roman" w:cs="Times New Roman"/>
        </w:rPr>
        <w:t>nce, that it serves, as it were</w:t>
      </w:r>
      <w:r w:rsidRPr="00935C76">
        <w:rPr>
          <w:rFonts w:ascii="Times New Roman" w:hAnsi="Times New Roman" w:cs="Times New Roman"/>
        </w:rPr>
        <w:t>, an important evolutionary function</w:t>
      </w:r>
      <w:r w:rsidR="00916A41">
        <w:rPr>
          <w:rFonts w:ascii="Times New Roman" w:hAnsi="Times New Roman" w:cs="Times New Roman"/>
        </w:rPr>
        <w:t xml:space="preserve">: that it is </w:t>
      </w:r>
      <w:r w:rsidR="00916A41" w:rsidRPr="00490ACE">
        <w:rPr>
          <w:rFonts w:ascii="Times New Roman" w:hAnsi="Times New Roman" w:cs="Times New Roman"/>
          <w:i/>
        </w:rPr>
        <w:t>good</w:t>
      </w:r>
      <w:r w:rsidR="00B9642D">
        <w:rPr>
          <w:rFonts w:ascii="Times New Roman" w:hAnsi="Times New Roman" w:cs="Times New Roman"/>
        </w:rPr>
        <w:t>, since it</w:t>
      </w:r>
      <w:r w:rsidR="00916A41">
        <w:rPr>
          <w:rFonts w:ascii="Times New Roman" w:hAnsi="Times New Roman" w:cs="Times New Roman"/>
        </w:rPr>
        <w:t xml:space="preserve"> contributes to our well-being</w:t>
      </w:r>
      <w:r w:rsidR="00B9642D">
        <w:rPr>
          <w:rFonts w:ascii="Times New Roman" w:hAnsi="Times New Roman" w:cs="Times New Roman"/>
        </w:rPr>
        <w:t>,</w:t>
      </w:r>
      <w:r w:rsidR="00916A41">
        <w:rPr>
          <w:rFonts w:ascii="Times New Roman" w:hAnsi="Times New Roman" w:cs="Times New Roman"/>
        </w:rPr>
        <w:t xml:space="preserve"> to have the ability to forget</w:t>
      </w:r>
      <w:r w:rsidRPr="00935C76">
        <w:rPr>
          <w:rFonts w:ascii="Times New Roman" w:hAnsi="Times New Roman" w:cs="Times New Roman"/>
        </w:rPr>
        <w:t>. But this does not give us as answer, affirmative or not, to Schmidt’s title question: “Is There an Ethics of Forgetting?”</w:t>
      </w:r>
    </w:p>
    <w:p w14:paraId="3DB0901B" w14:textId="77777777" w:rsidR="00BF7C0D" w:rsidRPr="00935C76" w:rsidRDefault="00BF7C0D" w:rsidP="00653EB8">
      <w:pPr>
        <w:jc w:val="both"/>
        <w:rPr>
          <w:rFonts w:ascii="Times New Roman" w:hAnsi="Times New Roman" w:cs="Times New Roman"/>
        </w:rPr>
      </w:pPr>
      <w:r w:rsidRPr="00935C76">
        <w:rPr>
          <w:rFonts w:ascii="Times New Roman" w:hAnsi="Times New Roman" w:cs="Times New Roman"/>
        </w:rPr>
        <w:t xml:space="preserve">The main impediment to answering this question, certainly </w:t>
      </w:r>
      <w:r w:rsidR="001F39F1" w:rsidRPr="00935C76">
        <w:rPr>
          <w:rFonts w:ascii="Times New Roman" w:hAnsi="Times New Roman" w:cs="Times New Roman"/>
        </w:rPr>
        <w:t xml:space="preserve">to answering it </w:t>
      </w:r>
      <w:r w:rsidRPr="00935C76">
        <w:rPr>
          <w:rFonts w:ascii="Times New Roman" w:hAnsi="Times New Roman" w:cs="Times New Roman"/>
        </w:rPr>
        <w:t>in the affirmative, seems to be a problem that Sc</w:t>
      </w:r>
      <w:r w:rsidR="001F39F1" w:rsidRPr="00935C76">
        <w:rPr>
          <w:rFonts w:ascii="Times New Roman" w:hAnsi="Times New Roman" w:cs="Times New Roman"/>
        </w:rPr>
        <w:t>hmidt mentions but does not in the end tackle head on</w:t>
      </w:r>
      <w:r w:rsidRPr="00935C76">
        <w:rPr>
          <w:rFonts w:ascii="Times New Roman" w:hAnsi="Times New Roman" w:cs="Times New Roman"/>
        </w:rPr>
        <w:t xml:space="preserve">: the question whether we can </w:t>
      </w:r>
      <w:r w:rsidRPr="00935C76">
        <w:rPr>
          <w:rFonts w:ascii="Times New Roman" w:hAnsi="Times New Roman" w:cs="Times New Roman"/>
          <w:i/>
        </w:rPr>
        <w:t>willfully</w:t>
      </w:r>
      <w:r w:rsidRPr="00935C76">
        <w:rPr>
          <w:rFonts w:ascii="Times New Roman" w:hAnsi="Times New Roman" w:cs="Times New Roman"/>
        </w:rPr>
        <w:t xml:space="preserve"> forget – or, for that matter, remember – our own or other’s past deeds. Here is what Schmidt says: </w:t>
      </w:r>
    </w:p>
    <w:p w14:paraId="39952C0F" w14:textId="4B752FF9" w:rsidR="001F39F1" w:rsidRDefault="001F39F1" w:rsidP="00D71534">
      <w:pPr>
        <w:spacing w:after="0"/>
        <w:ind w:left="720"/>
        <w:jc w:val="both"/>
        <w:rPr>
          <w:rFonts w:ascii="Times New Roman" w:hAnsi="Times New Roman" w:cs="Times New Roman"/>
        </w:rPr>
      </w:pPr>
      <w:r w:rsidRPr="00935C76">
        <w:rPr>
          <w:rFonts w:ascii="Times New Roman" w:hAnsi="Times New Roman" w:cs="Times New Roman"/>
        </w:rPr>
        <w:t xml:space="preserve">“There is something paradoxical about the idea of an ethics of forgetting. Ethics and morals refer to responsible, intentional acts and decisions. Forgetting, in contrast, is or at least seems to be something that happens to us, something that per definition </w:t>
      </w:r>
      <w:r w:rsidR="00490ACE" w:rsidRPr="00935C76">
        <w:rPr>
          <w:rFonts w:ascii="Times New Roman" w:hAnsi="Times New Roman" w:cs="Times New Roman"/>
        </w:rPr>
        <w:t>occurs</w:t>
      </w:r>
      <w:r w:rsidRPr="00935C76">
        <w:rPr>
          <w:rFonts w:ascii="Times New Roman" w:hAnsi="Times New Roman" w:cs="Times New Roman"/>
        </w:rPr>
        <w:t xml:space="preserve"> </w:t>
      </w:r>
      <w:r w:rsidRPr="00935C76">
        <w:rPr>
          <w:rFonts w:ascii="Times New Roman" w:hAnsi="Times New Roman" w:cs="Times New Roman"/>
          <w:i/>
        </w:rPr>
        <w:t>unconsciously</w:t>
      </w:r>
      <w:r w:rsidRPr="00935C76">
        <w:rPr>
          <w:rFonts w:ascii="Times New Roman" w:hAnsi="Times New Roman" w:cs="Times New Roman"/>
        </w:rPr>
        <w:t xml:space="preserve">. We cannot </w:t>
      </w:r>
      <w:r w:rsidRPr="00935C76">
        <w:rPr>
          <w:rFonts w:ascii="Times New Roman" w:hAnsi="Times New Roman" w:cs="Times New Roman"/>
          <w:i/>
        </w:rPr>
        <w:t>decide</w:t>
      </w:r>
      <w:r w:rsidRPr="00935C76">
        <w:rPr>
          <w:rFonts w:ascii="Times New Roman" w:hAnsi="Times New Roman" w:cs="Times New Roman"/>
        </w:rPr>
        <w:t xml:space="preserve"> to forget something – on </w:t>
      </w:r>
      <w:r w:rsidRPr="00935C76">
        <w:rPr>
          <w:rFonts w:ascii="Times New Roman" w:hAnsi="Times New Roman" w:cs="Times New Roman"/>
        </w:rPr>
        <w:lastRenderedPageBreak/>
        <w:t>the contrary: Our will to forget something will ensure that we keep remembering it. The aporia of an “ars oblivionalis” (Eco 1988) turns into a practical dilemma when transposed into an ethical context: How can we be made responsible for what we forget?”</w:t>
      </w:r>
    </w:p>
    <w:p w14:paraId="14DA88F6" w14:textId="77777777" w:rsidR="00D71534" w:rsidRPr="00935C76" w:rsidRDefault="00D71534" w:rsidP="00D71534">
      <w:pPr>
        <w:spacing w:after="0"/>
        <w:ind w:left="720"/>
        <w:jc w:val="both"/>
        <w:rPr>
          <w:rFonts w:ascii="Times New Roman" w:hAnsi="Times New Roman" w:cs="Times New Roman"/>
        </w:rPr>
      </w:pPr>
    </w:p>
    <w:p w14:paraId="563C4834" w14:textId="41CFBECC" w:rsidR="001F39F1" w:rsidRPr="00935C76" w:rsidRDefault="001F39F1" w:rsidP="00653EB8">
      <w:pPr>
        <w:jc w:val="both"/>
        <w:rPr>
          <w:rFonts w:ascii="Times New Roman" w:hAnsi="Times New Roman" w:cs="Times New Roman"/>
        </w:rPr>
      </w:pPr>
      <w:r w:rsidRPr="00935C76">
        <w:rPr>
          <w:rFonts w:ascii="Times New Roman" w:hAnsi="Times New Roman" w:cs="Times New Roman"/>
        </w:rPr>
        <w:t>The general problem</w:t>
      </w:r>
      <w:r w:rsidR="008078BC">
        <w:rPr>
          <w:rFonts w:ascii="Times New Roman" w:hAnsi="Times New Roman" w:cs="Times New Roman"/>
        </w:rPr>
        <w:t xml:space="preserve"> Schmidt is referring to here stems from what is</w:t>
      </w:r>
      <w:r w:rsidRPr="00935C76">
        <w:rPr>
          <w:rFonts w:ascii="Times New Roman" w:hAnsi="Times New Roman" w:cs="Times New Roman"/>
        </w:rPr>
        <w:t xml:space="preserve"> commonly known a</w:t>
      </w:r>
      <w:r w:rsidR="00CA5D59" w:rsidRPr="00935C76">
        <w:rPr>
          <w:rFonts w:ascii="Times New Roman" w:hAnsi="Times New Roman" w:cs="Times New Roman"/>
        </w:rPr>
        <w:t>s the “ought implies can” principle</w:t>
      </w:r>
      <w:r w:rsidRPr="00935C76">
        <w:rPr>
          <w:rFonts w:ascii="Times New Roman" w:hAnsi="Times New Roman" w:cs="Times New Roman"/>
        </w:rPr>
        <w:t xml:space="preserve">. </w:t>
      </w:r>
      <w:r w:rsidR="00CA5D59" w:rsidRPr="00935C76">
        <w:rPr>
          <w:rFonts w:ascii="Times New Roman" w:hAnsi="Times New Roman" w:cs="Times New Roman"/>
        </w:rPr>
        <w:t>The principle states that</w:t>
      </w:r>
      <w:r w:rsidRPr="00935C76">
        <w:rPr>
          <w:rFonts w:ascii="Times New Roman" w:hAnsi="Times New Roman" w:cs="Times New Roman"/>
        </w:rPr>
        <w:t xml:space="preserve"> </w:t>
      </w:r>
      <w:r w:rsidR="00CA5D59" w:rsidRPr="00935C76">
        <w:rPr>
          <w:rFonts w:ascii="Times New Roman" w:hAnsi="Times New Roman" w:cs="Times New Roman"/>
        </w:rPr>
        <w:t xml:space="preserve">necessarily, a person is morally obligated to </w:t>
      </w:r>
      <w:r w:rsidR="00CA5D59" w:rsidRPr="00935C76">
        <w:rPr>
          <w:rFonts w:ascii="Times New Roman" w:hAnsi="Times New Roman" w:cs="Times New Roman"/>
          <w:i/>
        </w:rPr>
        <w:t>φ</w:t>
      </w:r>
      <w:r w:rsidR="00CA5D59" w:rsidRPr="00935C76">
        <w:rPr>
          <w:rFonts w:ascii="Times New Roman" w:hAnsi="Times New Roman" w:cs="Times New Roman"/>
        </w:rPr>
        <w:t xml:space="preserve"> only if the person can </w:t>
      </w:r>
      <w:r w:rsidR="00CA5D59" w:rsidRPr="00935C76">
        <w:rPr>
          <w:rFonts w:ascii="Times New Roman" w:hAnsi="Times New Roman" w:cs="Times New Roman"/>
          <w:i/>
        </w:rPr>
        <w:t>φ</w:t>
      </w:r>
      <w:r w:rsidR="00CA5D59" w:rsidRPr="00935C76">
        <w:rPr>
          <w:rFonts w:ascii="Times New Roman" w:hAnsi="Times New Roman" w:cs="Times New Roman"/>
        </w:rPr>
        <w:t>.</w:t>
      </w:r>
      <w:r w:rsidR="00935C76" w:rsidRPr="00935C76">
        <w:rPr>
          <w:rFonts w:ascii="Times New Roman" w:hAnsi="Times New Roman" w:cs="Times New Roman"/>
        </w:rPr>
        <w:t xml:space="preserve"> </w:t>
      </w:r>
      <w:r w:rsidR="008078BC">
        <w:rPr>
          <w:rFonts w:ascii="Times New Roman" w:hAnsi="Times New Roman" w:cs="Times New Roman"/>
        </w:rPr>
        <w:t>Now, in order to have an ethics of forgetting, we have to be allowed to use a deontic vocabulary, that is, we have to be warranted in using concepts like “right”, “wrong”, “obligatory”, and “permitted”</w:t>
      </w:r>
      <w:r w:rsidR="00B9642D">
        <w:rPr>
          <w:rFonts w:ascii="Times New Roman" w:hAnsi="Times New Roman" w:cs="Times New Roman"/>
        </w:rPr>
        <w:t xml:space="preserve"> as pertaining to acts of forgetting</w:t>
      </w:r>
      <w:r w:rsidR="008078BC">
        <w:rPr>
          <w:rFonts w:ascii="Times New Roman" w:hAnsi="Times New Roman" w:cs="Times New Roman"/>
        </w:rPr>
        <w:t>. However, to do so, so the principle claims, we have to possess an a</w:t>
      </w:r>
      <w:r w:rsidR="00653EB8">
        <w:rPr>
          <w:rFonts w:ascii="Times New Roman" w:hAnsi="Times New Roman" w:cs="Times New Roman"/>
        </w:rPr>
        <w:t>bility to intentionally control</w:t>
      </w:r>
      <w:r w:rsidR="008078BC">
        <w:rPr>
          <w:rFonts w:ascii="Times New Roman" w:hAnsi="Times New Roman" w:cs="Times New Roman"/>
        </w:rPr>
        <w:t xml:space="preserve"> the mental activity that is involved in forgetting </w:t>
      </w:r>
      <w:r w:rsidR="00653EB8">
        <w:rPr>
          <w:rFonts w:ascii="Times New Roman" w:hAnsi="Times New Roman" w:cs="Times New Roman"/>
        </w:rPr>
        <w:t xml:space="preserve">(or remembering) </w:t>
      </w:r>
      <w:r w:rsidR="008078BC">
        <w:rPr>
          <w:rFonts w:ascii="Times New Roman" w:hAnsi="Times New Roman" w:cs="Times New Roman"/>
        </w:rPr>
        <w:t>something. Yet, w</w:t>
      </w:r>
      <w:r w:rsidR="00935C76" w:rsidRPr="00935C76">
        <w:rPr>
          <w:rFonts w:ascii="Times New Roman" w:hAnsi="Times New Roman" w:cs="Times New Roman"/>
        </w:rPr>
        <w:t xml:space="preserve">e seem to have no intentional control over what we forget (or what we remember). The case mentioned above offers illustration because it continues </w:t>
      </w:r>
      <w:r w:rsidR="008078BC">
        <w:rPr>
          <w:rFonts w:ascii="Times New Roman" w:hAnsi="Times New Roman" w:cs="Times New Roman"/>
        </w:rPr>
        <w:t>as follows</w:t>
      </w:r>
      <w:r w:rsidR="00935C76" w:rsidRPr="00935C76">
        <w:rPr>
          <w:rFonts w:ascii="Times New Roman" w:hAnsi="Times New Roman" w:cs="Times New Roman"/>
        </w:rPr>
        <w:t>:</w:t>
      </w:r>
    </w:p>
    <w:p w14:paraId="730F35FD" w14:textId="4D4983E9" w:rsidR="00935C76" w:rsidRDefault="00935C76" w:rsidP="001D44FC">
      <w:pPr>
        <w:widowControl w:val="0"/>
        <w:autoSpaceDE w:val="0"/>
        <w:autoSpaceDN w:val="0"/>
        <w:adjustRightInd w:val="0"/>
        <w:spacing w:after="240"/>
        <w:ind w:left="720"/>
        <w:jc w:val="both"/>
        <w:rPr>
          <w:rFonts w:ascii="Times New Roman" w:hAnsi="Times New Roman" w:cs="Times New Roman"/>
        </w:rPr>
      </w:pPr>
      <w:r w:rsidRPr="00935C76">
        <w:rPr>
          <w:rFonts w:ascii="Times New Roman" w:hAnsi="Times New Roman" w:cs="Times New Roman"/>
        </w:rPr>
        <w:t xml:space="preserve">“He </w:t>
      </w:r>
      <w:r w:rsidR="00653EB8">
        <w:rPr>
          <w:rFonts w:ascii="Times New Roman" w:hAnsi="Times New Roman" w:cs="Times New Roman"/>
        </w:rPr>
        <w:t xml:space="preserve">[the patient referred to above as “S”] </w:t>
      </w:r>
      <w:r w:rsidRPr="00935C76">
        <w:rPr>
          <w:rFonts w:ascii="Times New Roman" w:hAnsi="Times New Roman" w:cs="Times New Roman"/>
        </w:rPr>
        <w:t>could only “forget” something if he “placed it” in a inconspicuous spot in the lists or mental journeys he used to remember things. Thus his forgettings were not so much defects in memory as they were defects in perception. To forget required in S an act of will, a purposeful hiding away in the recesses of his mind. This was his only way to relieve himself of the burden of his past – and his present, too, as everything surrounding him continuously stimulated him.”</w:t>
      </w:r>
    </w:p>
    <w:p w14:paraId="185668AC" w14:textId="6273856F" w:rsidR="00653EB8" w:rsidRDefault="00653EB8" w:rsidP="00653EB8">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However,</w:t>
      </w:r>
      <w:r w:rsidR="009F6D04">
        <w:rPr>
          <w:rFonts w:ascii="Times New Roman" w:hAnsi="Times New Roman" w:cs="Times New Roman"/>
        </w:rPr>
        <w:t xml:space="preserve"> as it is made clear in the cited passage,</w:t>
      </w:r>
      <w:r>
        <w:rPr>
          <w:rFonts w:ascii="Times New Roman" w:hAnsi="Times New Roman" w:cs="Times New Roman"/>
        </w:rPr>
        <w:t xml:space="preserve"> </w:t>
      </w:r>
      <w:r w:rsidR="009F6D04">
        <w:rPr>
          <w:rFonts w:ascii="Times New Roman" w:hAnsi="Times New Roman" w:cs="Times New Roman"/>
        </w:rPr>
        <w:t>S’s</w:t>
      </w:r>
      <w:r w:rsidR="001D44FC">
        <w:rPr>
          <w:rFonts w:ascii="Times New Roman" w:hAnsi="Times New Roman" w:cs="Times New Roman"/>
        </w:rPr>
        <w:t xml:space="preserve"> maneuverings</w:t>
      </w:r>
      <w:r>
        <w:rPr>
          <w:rFonts w:ascii="Times New Roman" w:hAnsi="Times New Roman" w:cs="Times New Roman"/>
        </w:rPr>
        <w:t xml:space="preserve"> are not instances of </w:t>
      </w:r>
      <w:r w:rsidR="009F6D04">
        <w:rPr>
          <w:rFonts w:ascii="Times New Roman" w:hAnsi="Times New Roman" w:cs="Times New Roman"/>
        </w:rPr>
        <w:t>forgetting</w:t>
      </w:r>
      <w:r w:rsidR="00D90FB6">
        <w:rPr>
          <w:rFonts w:ascii="Times New Roman" w:hAnsi="Times New Roman" w:cs="Times New Roman"/>
        </w:rPr>
        <w:t xml:space="preserve"> proper</w:t>
      </w:r>
      <w:r w:rsidR="009F6D04">
        <w:rPr>
          <w:rFonts w:ascii="Times New Roman" w:hAnsi="Times New Roman" w:cs="Times New Roman"/>
        </w:rPr>
        <w:t xml:space="preserve">. What he does is not to remove awareness of the past – which I take forgetting to consist in – but instead </w:t>
      </w:r>
      <w:r w:rsidR="001D44FC">
        <w:rPr>
          <w:rFonts w:ascii="Times New Roman" w:hAnsi="Times New Roman" w:cs="Times New Roman"/>
        </w:rPr>
        <w:t xml:space="preserve">to hide </w:t>
      </w:r>
      <w:r w:rsidR="009F6D04">
        <w:rPr>
          <w:rFonts w:ascii="Times New Roman" w:hAnsi="Times New Roman" w:cs="Times New Roman"/>
        </w:rPr>
        <w:t xml:space="preserve">away </w:t>
      </w:r>
      <w:r w:rsidR="001D44FC">
        <w:rPr>
          <w:rFonts w:ascii="Times New Roman" w:hAnsi="Times New Roman" w:cs="Times New Roman"/>
        </w:rPr>
        <w:t xml:space="preserve">(parts of) the past </w:t>
      </w:r>
      <w:r w:rsidR="009F6D04">
        <w:rPr>
          <w:rFonts w:ascii="Times New Roman" w:hAnsi="Times New Roman" w:cs="Times New Roman"/>
        </w:rPr>
        <w:t>from his a</w:t>
      </w:r>
      <w:r w:rsidR="001D44FC">
        <w:rPr>
          <w:rFonts w:ascii="Times New Roman" w:hAnsi="Times New Roman" w:cs="Times New Roman"/>
        </w:rPr>
        <w:t>ttention, from his inner gaze, as it were.</w:t>
      </w:r>
      <w:r w:rsidR="00946565">
        <w:rPr>
          <w:rFonts w:ascii="Times New Roman" w:hAnsi="Times New Roman" w:cs="Times New Roman"/>
        </w:rPr>
        <w:t xml:space="preserve"> This is not the same as an inability to remember, i.e., to recall these past deeds: these mental items are still there for S to find, they are still available to his consciousness, it is just that they are hidden away so much that he cannot (easily?) find them. They are not available to his immediate awareness, so to speak.</w:t>
      </w:r>
      <w:r w:rsidR="001D44FC">
        <w:rPr>
          <w:rFonts w:ascii="Times New Roman" w:hAnsi="Times New Roman" w:cs="Times New Roman"/>
        </w:rPr>
        <w:t xml:space="preserve"> </w:t>
      </w:r>
    </w:p>
    <w:p w14:paraId="411A5863" w14:textId="27ED00B9" w:rsidR="00A33D58" w:rsidRDefault="001D44FC" w:rsidP="00653EB8">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Why is the “ought implies can” principle so appealing</w:t>
      </w:r>
      <w:r w:rsidR="00916A41">
        <w:rPr>
          <w:rFonts w:ascii="Times New Roman" w:hAnsi="Times New Roman" w:cs="Times New Roman"/>
        </w:rPr>
        <w:t>?</w:t>
      </w:r>
      <w:r>
        <w:rPr>
          <w:rFonts w:ascii="Times New Roman" w:hAnsi="Times New Roman" w:cs="Times New Roman"/>
        </w:rPr>
        <w:t xml:space="preserve"> The answer, it seems to me, lies in the very nature of the d</w:t>
      </w:r>
      <w:r w:rsidR="00916A41">
        <w:rPr>
          <w:rFonts w:ascii="Times New Roman" w:hAnsi="Times New Roman" w:cs="Times New Roman"/>
        </w:rPr>
        <w:t xml:space="preserve">eontic: </w:t>
      </w:r>
      <w:r>
        <w:rPr>
          <w:rFonts w:ascii="Times New Roman" w:hAnsi="Times New Roman" w:cs="Times New Roman"/>
        </w:rPr>
        <w:t xml:space="preserve">that it is essentially </w:t>
      </w:r>
      <w:r w:rsidR="00916A41">
        <w:rPr>
          <w:rFonts w:ascii="Times New Roman" w:hAnsi="Times New Roman" w:cs="Times New Roman"/>
        </w:rPr>
        <w:t xml:space="preserve">action-guiding. </w:t>
      </w:r>
      <w:r>
        <w:rPr>
          <w:rFonts w:ascii="Times New Roman" w:hAnsi="Times New Roman" w:cs="Times New Roman"/>
        </w:rPr>
        <w:t>When we speak about what is right, wrong, permitted, or obligatory, we imply a necessary connection to action. This is not so with the evaluative:</w:t>
      </w:r>
      <w:r w:rsidR="00946565">
        <w:rPr>
          <w:rFonts w:ascii="Times New Roman" w:hAnsi="Times New Roman" w:cs="Times New Roman"/>
        </w:rPr>
        <w:t xml:space="preserve"> when we claim something to be good, we do not </w:t>
      </w:r>
      <w:r w:rsidR="00946565">
        <w:rPr>
          <w:rFonts w:ascii="Times New Roman" w:hAnsi="Times New Roman" w:cs="Times New Roman"/>
          <w:i/>
        </w:rPr>
        <w:t>necessarily</w:t>
      </w:r>
      <w:r w:rsidR="00946565">
        <w:rPr>
          <w:rFonts w:ascii="Times New Roman" w:hAnsi="Times New Roman" w:cs="Times New Roman"/>
        </w:rPr>
        <w:t xml:space="preserve"> imply that it has to be pursued by someone. But</w:t>
      </w:r>
      <w:r w:rsidR="00D90FB6">
        <w:rPr>
          <w:rFonts w:ascii="Times New Roman" w:hAnsi="Times New Roman" w:cs="Times New Roman"/>
        </w:rPr>
        <w:t>,</w:t>
      </w:r>
      <w:r w:rsidR="00946565">
        <w:rPr>
          <w:rFonts w:ascii="Times New Roman" w:hAnsi="Times New Roman" w:cs="Times New Roman"/>
        </w:rPr>
        <w:t xml:space="preserve"> it seems</w:t>
      </w:r>
      <w:r w:rsidR="00D90FB6">
        <w:rPr>
          <w:rFonts w:ascii="Times New Roman" w:hAnsi="Times New Roman" w:cs="Times New Roman"/>
        </w:rPr>
        <w:t>,</w:t>
      </w:r>
      <w:r w:rsidR="00946565">
        <w:rPr>
          <w:rFonts w:ascii="Times New Roman" w:hAnsi="Times New Roman" w:cs="Times New Roman"/>
        </w:rPr>
        <w:t xml:space="preserve"> this is all we have when it comes to forgetting. F</w:t>
      </w:r>
      <w:r w:rsidR="00916A41">
        <w:rPr>
          <w:rFonts w:ascii="Times New Roman" w:hAnsi="Times New Roman" w:cs="Times New Roman"/>
        </w:rPr>
        <w:t>orgetting is good, but is it obligatory or even permitted? Ought we to forget what we cannot forget?</w:t>
      </w:r>
    </w:p>
    <w:p w14:paraId="0220B68F" w14:textId="38F36C2F" w:rsidR="005B5608" w:rsidRDefault="00B9642D" w:rsidP="002D5F9C">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One can attempt to answer </w:t>
      </w:r>
      <w:r w:rsidR="00D90FB6">
        <w:rPr>
          <w:rFonts w:ascii="Times New Roman" w:hAnsi="Times New Roman" w:cs="Times New Roman"/>
        </w:rPr>
        <w:t>this problem in several ways and in ending my response I would like to mention some of these, together with the questions they raise. Schmidt herself</w:t>
      </w:r>
      <w:r w:rsidR="00373195">
        <w:rPr>
          <w:rFonts w:ascii="Times New Roman" w:hAnsi="Times New Roman" w:cs="Times New Roman"/>
        </w:rPr>
        <w:t xml:space="preserve"> alludes to </w:t>
      </w:r>
      <w:r w:rsidR="00373195">
        <w:rPr>
          <w:rFonts w:ascii="Times New Roman" w:hAnsi="Times New Roman" w:cs="Times New Roman"/>
          <w:i/>
        </w:rPr>
        <w:t>forgiving</w:t>
      </w:r>
      <w:r w:rsidR="00373195">
        <w:rPr>
          <w:rFonts w:ascii="Times New Roman" w:hAnsi="Times New Roman" w:cs="Times New Roman"/>
        </w:rPr>
        <w:t xml:space="preserve">, and in particular, Hanna Arendt’s analysis of it, as taking us nearer to an ethics of forgetting. </w:t>
      </w:r>
      <w:r w:rsidR="00373195" w:rsidRPr="002D5F9C">
        <w:rPr>
          <w:rFonts w:ascii="Times New Roman" w:hAnsi="Times New Roman" w:cs="Times New Roman"/>
        </w:rPr>
        <w:t xml:space="preserve">However, while forgetting and forgiving might indeed have the same function (that of </w:t>
      </w:r>
      <w:r w:rsidR="002D5F9C" w:rsidRPr="002D5F9C">
        <w:rPr>
          <w:rFonts w:ascii="Times New Roman" w:hAnsi="Times New Roman" w:cs="Times New Roman"/>
        </w:rPr>
        <w:t>helping us to leave the past behind and move on</w:t>
      </w:r>
      <w:r w:rsidR="00373195" w:rsidRPr="002D5F9C">
        <w:rPr>
          <w:rFonts w:ascii="Times New Roman" w:hAnsi="Times New Roman" w:cs="Times New Roman"/>
        </w:rPr>
        <w:t>)</w:t>
      </w:r>
      <w:r w:rsidR="002D5F9C" w:rsidRPr="002D5F9C">
        <w:rPr>
          <w:rFonts w:ascii="Times New Roman" w:hAnsi="Times New Roman" w:cs="Times New Roman"/>
        </w:rPr>
        <w:t xml:space="preserve">, the two are importantly different. Forgiving </w:t>
      </w:r>
      <w:r w:rsidR="002D5F9C">
        <w:rPr>
          <w:rFonts w:ascii="Times New Roman" w:hAnsi="Times New Roman" w:cs="Times New Roman"/>
        </w:rPr>
        <w:t xml:space="preserve">is </w:t>
      </w:r>
      <w:r w:rsidR="002D5F9C" w:rsidRPr="002D5F9C">
        <w:rPr>
          <w:rFonts w:ascii="Times New Roman" w:hAnsi="Times New Roman" w:cs="Times New Roman"/>
        </w:rPr>
        <w:t>“</w:t>
      </w:r>
      <w:r w:rsidR="002D5F9C" w:rsidRPr="002D5F9C">
        <w:rPr>
          <w:rFonts w:ascii="Times New Roman" w:hAnsi="Times New Roman" w:cs="Times New Roman"/>
          <w:color w:val="262626"/>
        </w:rPr>
        <w:t>a conscious, deliberate decision to release feelings of resentment or vengeance toward a person or group who has harmed you, regardless of whether they actually deserve your forgiveness.</w:t>
      </w:r>
      <w:r w:rsidR="002D5F9C" w:rsidRPr="002D5F9C">
        <w:rPr>
          <w:rFonts w:ascii="Times New Roman" w:hAnsi="Times New Roman" w:cs="Times New Roman"/>
        </w:rPr>
        <w:t>”</w:t>
      </w:r>
      <w:r w:rsidR="005B5608">
        <w:rPr>
          <w:rFonts w:ascii="Times New Roman" w:hAnsi="Times New Roman" w:cs="Times New Roman"/>
        </w:rPr>
        <w:t xml:space="preserve"> (</w:t>
      </w:r>
      <w:r w:rsidR="009F1C52">
        <w:rPr>
          <w:rFonts w:ascii="Times New Roman" w:hAnsi="Times New Roman" w:cs="Times New Roman"/>
        </w:rPr>
        <w:t>‘What is Forgiveness?’ Greater Good Science Center, University of California, Berkeley</w:t>
      </w:r>
      <w:r w:rsidR="005B5608">
        <w:rPr>
          <w:rFonts w:ascii="Times New Roman" w:hAnsi="Times New Roman" w:cs="Times New Roman"/>
        </w:rPr>
        <w:t>)</w:t>
      </w:r>
      <w:r w:rsidR="002D5F9C">
        <w:rPr>
          <w:rFonts w:ascii="Times New Roman" w:hAnsi="Times New Roman" w:cs="Times New Roman"/>
        </w:rPr>
        <w:t xml:space="preserve"> Forgiving therefore, as Schmidt admits, is not the same as forgetting, nor does it imply for</w:t>
      </w:r>
      <w:r w:rsidR="009E7572">
        <w:rPr>
          <w:rFonts w:ascii="Times New Roman" w:hAnsi="Times New Roman" w:cs="Times New Roman"/>
        </w:rPr>
        <w:t>getting</w:t>
      </w:r>
      <w:r w:rsidR="002D5F9C">
        <w:rPr>
          <w:rFonts w:ascii="Times New Roman" w:hAnsi="Times New Roman" w:cs="Times New Roman"/>
        </w:rPr>
        <w:t xml:space="preserve">. In fact, it is hard to see any obvious connection between the two (despite the slogan “To forgive is to forget”), hence it is hard to see how an ethics of forgiveness would give us or even take us nearer to an ethics of forgetting. </w:t>
      </w:r>
    </w:p>
    <w:p w14:paraId="05E6A2DA" w14:textId="653D7846" w:rsidR="005B5608" w:rsidRDefault="002D5F9C" w:rsidP="002D5F9C">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The second way to respond to</w:t>
      </w:r>
      <w:r w:rsidR="005B5608">
        <w:rPr>
          <w:rFonts w:ascii="Times New Roman" w:hAnsi="Times New Roman" w:cs="Times New Roman"/>
        </w:rPr>
        <w:t xml:space="preserve"> the problem is to distinguish between individual and social (communal) forgetting. It seems that the latter is under our control: we, as a </w:t>
      </w:r>
      <w:r w:rsidR="005B5608">
        <w:rPr>
          <w:rFonts w:ascii="Times New Roman" w:hAnsi="Times New Roman" w:cs="Times New Roman"/>
          <w:i/>
        </w:rPr>
        <w:t>community</w:t>
      </w:r>
      <w:r w:rsidR="005B5608">
        <w:rPr>
          <w:rFonts w:ascii="Times New Roman" w:hAnsi="Times New Roman" w:cs="Times New Roman"/>
        </w:rPr>
        <w:t xml:space="preserve">, can decide not to forget something and put this decision into action (e.g., set up archives to store the relevant memories), so it is also possible to forget something and put </w:t>
      </w:r>
      <w:r w:rsidR="005B5608">
        <w:rPr>
          <w:rFonts w:ascii="Times New Roman" w:hAnsi="Times New Roman" w:cs="Times New Roman"/>
          <w:i/>
        </w:rPr>
        <w:t xml:space="preserve">this </w:t>
      </w:r>
      <w:r w:rsidR="005B5608">
        <w:rPr>
          <w:rFonts w:ascii="Times New Roman" w:hAnsi="Times New Roman" w:cs="Times New Roman"/>
        </w:rPr>
        <w:t xml:space="preserve">decision into action (e.g., destroy the archives storing the relevant memories). But it is obvious that this is not what the ethics of forgetting is about. This kind of social forgetting assumes that the </w:t>
      </w:r>
      <w:r w:rsidR="005B5608">
        <w:rPr>
          <w:rFonts w:ascii="Times New Roman" w:hAnsi="Times New Roman" w:cs="Times New Roman"/>
          <w:i/>
        </w:rPr>
        <w:t>individual</w:t>
      </w:r>
      <w:r w:rsidR="005B5608">
        <w:rPr>
          <w:rFonts w:ascii="Times New Roman" w:hAnsi="Times New Roman" w:cs="Times New Roman"/>
        </w:rPr>
        <w:t xml:space="preserve"> memories exist and that nothing can be done about them on the individual level, i.e., that no willful forgetting proper is possible. However, I take it, this is </w:t>
      </w:r>
      <w:r w:rsidR="009E7572">
        <w:rPr>
          <w:rFonts w:ascii="Times New Roman" w:hAnsi="Times New Roman" w:cs="Times New Roman"/>
        </w:rPr>
        <w:t xml:space="preserve">just </w:t>
      </w:r>
      <w:r w:rsidR="005B5608">
        <w:rPr>
          <w:rFonts w:ascii="Times New Roman" w:hAnsi="Times New Roman" w:cs="Times New Roman"/>
        </w:rPr>
        <w:t>the issue that an ethics of forgetting would need to</w:t>
      </w:r>
      <w:r w:rsidR="00B9642D">
        <w:rPr>
          <w:rFonts w:ascii="Times New Roman" w:hAnsi="Times New Roman" w:cs="Times New Roman"/>
        </w:rPr>
        <w:t xml:space="preserve"> deal with</w:t>
      </w:r>
      <w:r w:rsidR="005B5608">
        <w:rPr>
          <w:rFonts w:ascii="Times New Roman" w:hAnsi="Times New Roman" w:cs="Times New Roman"/>
        </w:rPr>
        <w:t>.</w:t>
      </w:r>
    </w:p>
    <w:p w14:paraId="2BA926A5" w14:textId="55AF3E2E" w:rsidR="009A29FE" w:rsidRPr="00BB7E5F" w:rsidRDefault="005B5608" w:rsidP="009A29FE">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The third possible response is </w:t>
      </w:r>
      <w:r w:rsidRPr="009A29FE">
        <w:rPr>
          <w:rFonts w:ascii="Times New Roman" w:hAnsi="Times New Roman" w:cs="Times New Roman"/>
        </w:rPr>
        <w:t xml:space="preserve">to attack the “ought implies can” principle. One way to do this is to point to examples when we do seem to hold people responsible for </w:t>
      </w:r>
      <w:r w:rsidR="009A29FE" w:rsidRPr="009A29FE">
        <w:rPr>
          <w:rFonts w:ascii="Times New Roman" w:hAnsi="Times New Roman" w:cs="Times New Roman"/>
        </w:rPr>
        <w:t>involuntarily forgetting something. For example, we blame those who forget an important birthday or anniversary, and we penalize those who forget to file a timely tax return.</w:t>
      </w:r>
      <w:r w:rsidR="009A29FE">
        <w:rPr>
          <w:rFonts w:ascii="Times New Roman" w:hAnsi="Times New Roman" w:cs="Times New Roman"/>
        </w:rPr>
        <w:t xml:space="preserve"> </w:t>
      </w:r>
      <w:r w:rsidR="009E7572">
        <w:rPr>
          <w:rFonts w:ascii="Times New Roman" w:hAnsi="Times New Roman" w:cs="Times New Roman"/>
        </w:rPr>
        <w:t xml:space="preserve">However, these are instances when we ought </w:t>
      </w:r>
      <w:r w:rsidR="009E7572">
        <w:rPr>
          <w:rFonts w:ascii="Times New Roman" w:hAnsi="Times New Roman" w:cs="Times New Roman"/>
          <w:i/>
        </w:rPr>
        <w:t>not</w:t>
      </w:r>
      <w:r w:rsidR="009E7572">
        <w:rPr>
          <w:rFonts w:ascii="Times New Roman" w:hAnsi="Times New Roman" w:cs="Times New Roman"/>
        </w:rPr>
        <w:t xml:space="preserve"> to forget something</w:t>
      </w:r>
      <w:r w:rsidR="00F24951">
        <w:rPr>
          <w:rFonts w:ascii="Times New Roman" w:hAnsi="Times New Roman" w:cs="Times New Roman"/>
        </w:rPr>
        <w:t xml:space="preserve"> and it is hard to find</w:t>
      </w:r>
      <w:r w:rsidR="009E7572">
        <w:rPr>
          <w:rFonts w:ascii="Times New Roman" w:hAnsi="Times New Roman" w:cs="Times New Roman"/>
        </w:rPr>
        <w:t xml:space="preserve"> cases</w:t>
      </w:r>
      <w:r w:rsidR="00F24951">
        <w:rPr>
          <w:rFonts w:ascii="Times New Roman" w:hAnsi="Times New Roman" w:cs="Times New Roman"/>
        </w:rPr>
        <w:t xml:space="preserve"> that invite the same response</w:t>
      </w:r>
      <w:r w:rsidR="009E7572">
        <w:rPr>
          <w:rFonts w:ascii="Times New Roman" w:hAnsi="Times New Roman" w:cs="Times New Roman"/>
        </w:rPr>
        <w:t xml:space="preserve"> when we ought </w:t>
      </w:r>
      <w:r w:rsidR="009E7572" w:rsidRPr="00F24951">
        <w:rPr>
          <w:rFonts w:ascii="Times New Roman" w:hAnsi="Times New Roman" w:cs="Times New Roman"/>
          <w:i/>
        </w:rPr>
        <w:t>to</w:t>
      </w:r>
      <w:r w:rsidR="009E7572">
        <w:rPr>
          <w:rFonts w:ascii="Times New Roman" w:hAnsi="Times New Roman" w:cs="Times New Roman"/>
        </w:rPr>
        <w:t xml:space="preserve"> forget something, although we cannot (I am hesitant about this claim, though, since </w:t>
      </w:r>
      <w:r w:rsidR="00BB7E5F">
        <w:rPr>
          <w:rFonts w:ascii="Times New Roman" w:hAnsi="Times New Roman" w:cs="Times New Roman"/>
        </w:rPr>
        <w:t>I don’t know how much I can trust my intuitions at this point</w:t>
      </w:r>
      <w:r w:rsidR="009E7572">
        <w:rPr>
          <w:rFonts w:ascii="Times New Roman" w:hAnsi="Times New Roman" w:cs="Times New Roman"/>
        </w:rPr>
        <w:t>)</w:t>
      </w:r>
      <w:r w:rsidR="009A29FE">
        <w:rPr>
          <w:rFonts w:ascii="Times New Roman" w:hAnsi="Times New Roman" w:cs="Times New Roman"/>
        </w:rPr>
        <w:t xml:space="preserve">. Furthermore, </w:t>
      </w:r>
      <w:r w:rsidR="00F24951">
        <w:rPr>
          <w:rFonts w:ascii="Times New Roman" w:hAnsi="Times New Roman" w:cs="Times New Roman"/>
        </w:rPr>
        <w:t>the</w:t>
      </w:r>
      <w:r w:rsidR="00BB7E5F">
        <w:rPr>
          <w:rFonts w:ascii="Times New Roman" w:hAnsi="Times New Roman" w:cs="Times New Roman"/>
        </w:rPr>
        <w:t xml:space="preserve"> cases</w:t>
      </w:r>
      <w:r w:rsidR="00F24951">
        <w:rPr>
          <w:rFonts w:ascii="Times New Roman" w:hAnsi="Times New Roman" w:cs="Times New Roman"/>
        </w:rPr>
        <w:t xml:space="preserve"> cited</w:t>
      </w:r>
      <w:r w:rsidR="00BB7E5F">
        <w:rPr>
          <w:rFonts w:ascii="Times New Roman" w:hAnsi="Times New Roman" w:cs="Times New Roman"/>
        </w:rPr>
        <w:t xml:space="preserve"> can be </w:t>
      </w:r>
      <w:r w:rsidR="00B9642D">
        <w:rPr>
          <w:rFonts w:ascii="Times New Roman" w:hAnsi="Times New Roman" w:cs="Times New Roman"/>
        </w:rPr>
        <w:t xml:space="preserve">brought </w:t>
      </w:r>
      <w:r w:rsidR="00BB7E5F">
        <w:rPr>
          <w:rFonts w:ascii="Times New Roman" w:hAnsi="Times New Roman" w:cs="Times New Roman"/>
          <w:i/>
        </w:rPr>
        <w:t>within</w:t>
      </w:r>
      <w:r w:rsidR="00BB7E5F">
        <w:rPr>
          <w:rFonts w:ascii="Times New Roman" w:hAnsi="Times New Roman" w:cs="Times New Roman"/>
        </w:rPr>
        <w:t xml:space="preserve"> the scope of the “ought implies can” principle. For what are actually faulting people for in these cases are an intentional failure at an earlier point of time - e.g., not putting the relevant dates in their calendars. This is why they are considered to be cases of </w:t>
      </w:r>
      <w:r w:rsidR="00BB7E5F">
        <w:rPr>
          <w:rFonts w:ascii="Times New Roman" w:hAnsi="Times New Roman" w:cs="Times New Roman"/>
          <w:i/>
        </w:rPr>
        <w:t>negligence</w:t>
      </w:r>
      <w:r w:rsidR="00BB7E5F">
        <w:rPr>
          <w:rFonts w:ascii="Times New Roman" w:hAnsi="Times New Roman" w:cs="Times New Roman"/>
        </w:rPr>
        <w:t xml:space="preserve"> when it comes to the</w:t>
      </w:r>
      <w:r w:rsidR="00F24951">
        <w:rPr>
          <w:rFonts w:ascii="Times New Roman" w:hAnsi="Times New Roman" w:cs="Times New Roman"/>
        </w:rPr>
        <w:t xml:space="preserve"> court of law, and not of cases irresponsible forgetfulness proper. </w:t>
      </w:r>
      <w:r w:rsidR="00BB7E5F">
        <w:rPr>
          <w:rFonts w:ascii="Times New Roman" w:hAnsi="Times New Roman" w:cs="Times New Roman"/>
        </w:rPr>
        <w:t xml:space="preserve"> </w:t>
      </w:r>
    </w:p>
    <w:p w14:paraId="133C43E3" w14:textId="5C20BB3D" w:rsidR="009A29FE" w:rsidRPr="00F24951" w:rsidRDefault="001925BD" w:rsidP="009A29FE">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Given the problems of the previous</w:t>
      </w:r>
      <w:r w:rsidR="00F24951">
        <w:rPr>
          <w:rFonts w:ascii="Times New Roman" w:hAnsi="Times New Roman" w:cs="Times New Roman"/>
        </w:rPr>
        <w:t xml:space="preserve"> three responses, we should try a fourth route: to deny that we cannot willfully forget something. I am skeptical that such control over our memory can be attributed to us without any external help (although this too is an empirical question, open to scientific investigation). However, it does seem that already now, though in a </w:t>
      </w:r>
      <w:r w:rsidR="00BE5BCD">
        <w:rPr>
          <w:rFonts w:ascii="Times New Roman" w:hAnsi="Times New Roman" w:cs="Times New Roman"/>
        </w:rPr>
        <w:t>primitive</w:t>
      </w:r>
      <w:r w:rsidR="00F24951">
        <w:rPr>
          <w:rFonts w:ascii="Times New Roman" w:hAnsi="Times New Roman" w:cs="Times New Roman"/>
        </w:rPr>
        <w:t xml:space="preserve"> state only, we possess medications that can, if not erase, but certainly </w:t>
      </w:r>
      <w:r w:rsidR="00F24951">
        <w:rPr>
          <w:rFonts w:ascii="Times New Roman" w:hAnsi="Times New Roman" w:cs="Times New Roman"/>
          <w:i/>
        </w:rPr>
        <w:t>dampen</w:t>
      </w:r>
      <w:r w:rsidR="009E06E6">
        <w:rPr>
          <w:rFonts w:ascii="Times New Roman" w:hAnsi="Times New Roman" w:cs="Times New Roman"/>
        </w:rPr>
        <w:t xml:space="preserve"> the strength of a memory</w:t>
      </w:r>
      <w:r w:rsidR="00BE5BCD">
        <w:rPr>
          <w:rFonts w:ascii="Times New Roman" w:hAnsi="Times New Roman" w:cs="Times New Roman"/>
        </w:rPr>
        <w:t xml:space="preserve"> (Kolber 2006) The drug propranolol, in particula</w:t>
      </w:r>
      <w:r w:rsidR="00B9642D">
        <w:rPr>
          <w:rFonts w:ascii="Times New Roman" w:hAnsi="Times New Roman" w:cs="Times New Roman"/>
        </w:rPr>
        <w:t xml:space="preserve">r, has the proven effect of </w:t>
      </w:r>
      <w:r w:rsidR="00BE5BCD">
        <w:rPr>
          <w:rFonts w:ascii="Times New Roman" w:hAnsi="Times New Roman" w:cs="Times New Roman"/>
        </w:rPr>
        <w:t>reducing both the emotional intensity of a memory, and as a result, also its factual richness. If this is so, and especially</w:t>
      </w:r>
      <w:r w:rsidR="00B9642D">
        <w:rPr>
          <w:rFonts w:ascii="Times New Roman" w:hAnsi="Times New Roman" w:cs="Times New Roman"/>
        </w:rPr>
        <w:t xml:space="preserve"> given that the prospect</w:t>
      </w:r>
      <w:r w:rsidR="00BE5BCD">
        <w:rPr>
          <w:rFonts w:ascii="Times New Roman" w:hAnsi="Times New Roman" w:cs="Times New Roman"/>
        </w:rPr>
        <w:t xml:space="preserve"> of memory erasure proper is</w:t>
      </w:r>
      <w:r w:rsidR="00B9642D">
        <w:rPr>
          <w:rFonts w:ascii="Times New Roman" w:hAnsi="Times New Roman" w:cs="Times New Roman"/>
        </w:rPr>
        <w:t xml:space="preserve"> within sight (or so Kolber ib. reports)</w:t>
      </w:r>
      <w:r w:rsidR="00BE5BCD">
        <w:rPr>
          <w:rFonts w:ascii="Times New Roman" w:hAnsi="Times New Roman" w:cs="Times New Roman"/>
        </w:rPr>
        <w:t xml:space="preserve">, the use of drugs </w:t>
      </w:r>
      <w:r w:rsidR="00B9642D">
        <w:rPr>
          <w:rFonts w:ascii="Times New Roman" w:hAnsi="Times New Roman" w:cs="Times New Roman"/>
        </w:rPr>
        <w:t xml:space="preserve">like propranolol </w:t>
      </w:r>
      <w:r w:rsidR="00BE5BCD">
        <w:rPr>
          <w:rFonts w:ascii="Times New Roman" w:hAnsi="Times New Roman" w:cs="Times New Roman"/>
        </w:rPr>
        <w:t>does raise ethical questions</w:t>
      </w:r>
      <w:r>
        <w:rPr>
          <w:rFonts w:ascii="Times New Roman" w:hAnsi="Times New Roman" w:cs="Times New Roman"/>
        </w:rPr>
        <w:t xml:space="preserve"> that give rise to an ethics of forgetting, while staying within the scope of the “ought implies can” principle.</w:t>
      </w:r>
      <w:r w:rsidR="00BE5BCD">
        <w:rPr>
          <w:rFonts w:ascii="Times New Roman" w:hAnsi="Times New Roman" w:cs="Times New Roman"/>
        </w:rPr>
        <w:t xml:space="preserve">  </w:t>
      </w:r>
    </w:p>
    <w:p w14:paraId="3FABA16C" w14:textId="77777777" w:rsidR="00CD4FE1" w:rsidRDefault="00CD4FE1" w:rsidP="002D5F9C">
      <w:pPr>
        <w:widowControl w:val="0"/>
        <w:autoSpaceDE w:val="0"/>
        <w:autoSpaceDN w:val="0"/>
        <w:adjustRightInd w:val="0"/>
        <w:spacing w:after="240"/>
        <w:jc w:val="both"/>
        <w:rPr>
          <w:rFonts w:ascii="Times New Roman" w:hAnsi="Times New Roman" w:cs="Times New Roman"/>
          <w:b/>
        </w:rPr>
      </w:pPr>
    </w:p>
    <w:p w14:paraId="365C93B6" w14:textId="77777777" w:rsidR="00CD4FE1" w:rsidRDefault="00CD4FE1" w:rsidP="002D5F9C">
      <w:pPr>
        <w:widowControl w:val="0"/>
        <w:autoSpaceDE w:val="0"/>
        <w:autoSpaceDN w:val="0"/>
        <w:adjustRightInd w:val="0"/>
        <w:spacing w:after="240"/>
        <w:jc w:val="both"/>
        <w:rPr>
          <w:rFonts w:ascii="Times New Roman" w:hAnsi="Times New Roman" w:cs="Times New Roman"/>
          <w:b/>
        </w:rPr>
      </w:pPr>
    </w:p>
    <w:p w14:paraId="189B810A" w14:textId="77777777" w:rsidR="00CD4FE1" w:rsidRDefault="00CD4FE1" w:rsidP="002D5F9C">
      <w:pPr>
        <w:widowControl w:val="0"/>
        <w:autoSpaceDE w:val="0"/>
        <w:autoSpaceDN w:val="0"/>
        <w:adjustRightInd w:val="0"/>
        <w:spacing w:after="240"/>
        <w:jc w:val="both"/>
        <w:rPr>
          <w:rFonts w:ascii="Times New Roman" w:hAnsi="Times New Roman" w:cs="Times New Roman"/>
          <w:b/>
        </w:rPr>
      </w:pPr>
    </w:p>
    <w:p w14:paraId="30B05D59" w14:textId="0B19CCA6" w:rsidR="00916A41" w:rsidRDefault="001925BD" w:rsidP="002D5F9C">
      <w:pPr>
        <w:widowControl w:val="0"/>
        <w:autoSpaceDE w:val="0"/>
        <w:autoSpaceDN w:val="0"/>
        <w:adjustRightInd w:val="0"/>
        <w:spacing w:after="240"/>
        <w:jc w:val="both"/>
        <w:rPr>
          <w:rFonts w:ascii="Times New Roman" w:hAnsi="Times New Roman" w:cs="Times New Roman"/>
          <w:b/>
        </w:rPr>
      </w:pPr>
      <w:r>
        <w:rPr>
          <w:rFonts w:ascii="Times New Roman" w:hAnsi="Times New Roman" w:cs="Times New Roman"/>
          <w:b/>
        </w:rPr>
        <w:t>References</w:t>
      </w:r>
    </w:p>
    <w:p w14:paraId="3B6ACBD0" w14:textId="45B4F554" w:rsidR="001925BD" w:rsidRDefault="00CD4FE1" w:rsidP="002D5F9C">
      <w:pPr>
        <w:widowControl w:val="0"/>
        <w:autoSpaceDE w:val="0"/>
        <w:autoSpaceDN w:val="0"/>
        <w:adjustRightInd w:val="0"/>
        <w:spacing w:after="240"/>
        <w:jc w:val="both"/>
        <w:rPr>
          <w:rFonts w:ascii="Times New Roman" w:hAnsi="Times New Roman" w:cs="Times New Roman"/>
        </w:rPr>
      </w:pPr>
      <w:r>
        <w:rPr>
          <w:rFonts w:ascii="Times New Roman" w:hAnsi="Times New Roman" w:cs="Times New Roman"/>
        </w:rPr>
        <w:t xml:space="preserve">Crane, J. K. (2011) ‘The Ethics of Forgetting’, </w:t>
      </w:r>
      <w:bookmarkStart w:id="0" w:name="_GoBack"/>
      <w:r w:rsidRPr="00B9642D">
        <w:rPr>
          <w:rFonts w:ascii="Times New Roman" w:hAnsi="Times New Roman" w:cs="Times New Roman"/>
          <w:i/>
        </w:rPr>
        <w:t>Emory Center for Ethics</w:t>
      </w:r>
      <w:bookmarkEnd w:id="0"/>
      <w:r>
        <w:rPr>
          <w:rFonts w:ascii="Times New Roman" w:hAnsi="Times New Roman" w:cs="Times New Roman"/>
        </w:rPr>
        <w:t xml:space="preserve"> website, </w:t>
      </w:r>
      <w:hyperlink r:id="rId7" w:history="1">
        <w:r w:rsidRPr="00BD43B1">
          <w:rPr>
            <w:rStyle w:val="Hyperlink"/>
            <w:rFonts w:ascii="Times New Roman" w:hAnsi="Times New Roman" w:cs="Times New Roman"/>
          </w:rPr>
          <w:t>http://emoryethics.blogspot.de/2011/09/ethics-of-forgetting.html</w:t>
        </w:r>
      </w:hyperlink>
      <w:r>
        <w:rPr>
          <w:rFonts w:ascii="Times New Roman" w:hAnsi="Times New Roman" w:cs="Times New Roman"/>
        </w:rPr>
        <w:t>, Accessed at 19/12/2013</w:t>
      </w:r>
    </w:p>
    <w:p w14:paraId="485A27C8" w14:textId="3E7EFC40" w:rsidR="00CD4FE1" w:rsidRDefault="00CD4FE1" w:rsidP="00CD4FE1">
      <w:pPr>
        <w:pStyle w:val="Heading1"/>
        <w:jc w:val="both"/>
        <w:rPr>
          <w:rFonts w:ascii="Times New Roman" w:hAnsi="Times New Roman" w:cs="Times New Roman"/>
          <w:b w:val="0"/>
          <w:sz w:val="24"/>
          <w:szCs w:val="24"/>
        </w:rPr>
      </w:pPr>
      <w:r w:rsidRPr="00CD4FE1">
        <w:rPr>
          <w:rFonts w:ascii="Times New Roman" w:hAnsi="Times New Roman" w:cs="Times New Roman"/>
          <w:b w:val="0"/>
          <w:sz w:val="24"/>
          <w:szCs w:val="24"/>
        </w:rPr>
        <w:t>Kolber, A. J. (2006) ‘</w:t>
      </w:r>
      <w:r w:rsidRPr="00CD4FE1">
        <w:rPr>
          <w:rFonts w:ascii="Times New Roman" w:eastAsia="Times New Roman" w:hAnsi="Times New Roman" w:cs="Times New Roman"/>
          <w:b w:val="0"/>
          <w:sz w:val="24"/>
          <w:szCs w:val="24"/>
        </w:rPr>
        <w:t>Therapeutic Forgetting: The Legal and Ethical Implications of Memory Dampening</w:t>
      </w:r>
      <w:r w:rsidRPr="00CD4FE1">
        <w:rPr>
          <w:rFonts w:ascii="Times New Roman" w:hAnsi="Times New Roman" w:cs="Times New Roman"/>
          <w:b w:val="0"/>
          <w:sz w:val="24"/>
          <w:szCs w:val="24"/>
        </w:rPr>
        <w:t>’</w:t>
      </w:r>
      <w:r>
        <w:rPr>
          <w:rFonts w:ascii="Times New Roman" w:hAnsi="Times New Roman" w:cs="Times New Roman"/>
          <w:b w:val="0"/>
          <w:sz w:val="24"/>
          <w:szCs w:val="24"/>
        </w:rPr>
        <w:t xml:space="preserve">, </w:t>
      </w:r>
      <w:r>
        <w:rPr>
          <w:rFonts w:ascii="Times New Roman" w:hAnsi="Times New Roman" w:cs="Times New Roman"/>
          <w:b w:val="0"/>
          <w:i/>
          <w:sz w:val="24"/>
          <w:szCs w:val="24"/>
        </w:rPr>
        <w:t>Vanderbilt Law Review</w:t>
      </w:r>
      <w:r>
        <w:rPr>
          <w:rFonts w:ascii="Times New Roman" w:hAnsi="Times New Roman" w:cs="Times New Roman"/>
          <w:b w:val="0"/>
          <w:sz w:val="24"/>
          <w:szCs w:val="24"/>
        </w:rPr>
        <w:t>, 59: 1561-1626</w:t>
      </w:r>
    </w:p>
    <w:p w14:paraId="6EBBFE01" w14:textId="27180C6A" w:rsidR="00B9642D" w:rsidRPr="00B9642D" w:rsidRDefault="00B9642D" w:rsidP="00CD4FE1">
      <w:pPr>
        <w:pStyle w:val="Heading1"/>
        <w:jc w:val="both"/>
        <w:rPr>
          <w:rFonts w:ascii="Times New Roman" w:hAnsi="Times New Roman" w:cs="Times New Roman"/>
          <w:b w:val="0"/>
          <w:i/>
          <w:sz w:val="24"/>
          <w:szCs w:val="24"/>
        </w:rPr>
      </w:pPr>
      <w:r>
        <w:rPr>
          <w:rFonts w:ascii="Times New Roman" w:hAnsi="Times New Roman" w:cs="Times New Roman"/>
          <w:b w:val="0"/>
          <w:sz w:val="24"/>
          <w:szCs w:val="24"/>
        </w:rPr>
        <w:t xml:space="preserve">Schmidt, S. ‘Is There an Ethics of Forgetting?’, </w:t>
      </w:r>
      <w:r>
        <w:rPr>
          <w:rFonts w:ascii="Times New Roman" w:hAnsi="Times New Roman" w:cs="Times New Roman"/>
          <w:b w:val="0"/>
          <w:i/>
          <w:sz w:val="24"/>
          <w:szCs w:val="24"/>
        </w:rPr>
        <w:t>in this volume.</w:t>
      </w:r>
    </w:p>
    <w:p w14:paraId="210456B4" w14:textId="4DF0B963" w:rsidR="00CD4FE1" w:rsidRPr="00CD4FE1" w:rsidRDefault="009F1C52" w:rsidP="00CD4FE1">
      <w:pPr>
        <w:pStyle w:val="Heading1"/>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‘What Is Forgiveness?’, </w:t>
      </w:r>
      <w:r w:rsidRPr="00B9642D">
        <w:rPr>
          <w:rFonts w:ascii="Times New Roman" w:eastAsia="Times New Roman" w:hAnsi="Times New Roman" w:cs="Times New Roman"/>
          <w:b w:val="0"/>
          <w:i/>
          <w:sz w:val="24"/>
          <w:szCs w:val="24"/>
        </w:rPr>
        <w:t>Greater Good Science Center</w:t>
      </w:r>
      <w:r>
        <w:rPr>
          <w:rFonts w:ascii="Times New Roman" w:eastAsia="Times New Roman" w:hAnsi="Times New Roman" w:cs="Times New Roman"/>
          <w:b w:val="0"/>
          <w:sz w:val="24"/>
          <w:szCs w:val="24"/>
        </w:rPr>
        <w:t xml:space="preserve"> website, </w:t>
      </w:r>
      <w:hyperlink r:id="rId8" w:history="1">
        <w:r w:rsidRPr="00BD43B1">
          <w:rPr>
            <w:rStyle w:val="Hyperlink"/>
            <w:rFonts w:ascii="Times New Roman" w:eastAsia="Times New Roman" w:hAnsi="Times New Roman" w:cs="Times New Roman"/>
            <w:b w:val="0"/>
            <w:sz w:val="24"/>
            <w:szCs w:val="24"/>
          </w:rPr>
          <w:t>http://greatergood.berkeley.edu/topic/forgiveness/definition</w:t>
        </w:r>
      </w:hyperlink>
      <w:r>
        <w:rPr>
          <w:rFonts w:ascii="Times New Roman" w:eastAsia="Times New Roman" w:hAnsi="Times New Roman" w:cs="Times New Roman"/>
          <w:b w:val="0"/>
          <w:sz w:val="24"/>
          <w:szCs w:val="24"/>
        </w:rPr>
        <w:t>, Accessed at 19/12/2013</w:t>
      </w:r>
    </w:p>
    <w:p w14:paraId="1E568664" w14:textId="77777777" w:rsidR="00A33D58" w:rsidRPr="00CD4FE1" w:rsidRDefault="00A33D58" w:rsidP="00CD4FE1">
      <w:pPr>
        <w:widowControl w:val="0"/>
        <w:autoSpaceDE w:val="0"/>
        <w:autoSpaceDN w:val="0"/>
        <w:adjustRightInd w:val="0"/>
        <w:spacing w:after="240"/>
        <w:jc w:val="both"/>
        <w:rPr>
          <w:rFonts w:ascii="Times New Roman" w:hAnsi="Times New Roman" w:cs="Times New Roman"/>
        </w:rPr>
      </w:pPr>
    </w:p>
    <w:p w14:paraId="60B32068" w14:textId="77777777" w:rsidR="00A33D58" w:rsidRPr="00CD4FE1" w:rsidRDefault="00A33D58" w:rsidP="00CD4FE1">
      <w:pPr>
        <w:widowControl w:val="0"/>
        <w:autoSpaceDE w:val="0"/>
        <w:autoSpaceDN w:val="0"/>
        <w:adjustRightInd w:val="0"/>
        <w:spacing w:after="240"/>
        <w:jc w:val="both"/>
        <w:rPr>
          <w:rFonts w:ascii="Times New Roman" w:hAnsi="Times New Roman" w:cs="Times New Roman"/>
        </w:rPr>
      </w:pPr>
    </w:p>
    <w:p w14:paraId="299713A9" w14:textId="77777777" w:rsidR="00935C76" w:rsidRPr="00CD4FE1" w:rsidRDefault="00935C76" w:rsidP="00CD4FE1">
      <w:pPr>
        <w:jc w:val="both"/>
        <w:rPr>
          <w:rFonts w:ascii="Times New Roman" w:hAnsi="Times New Roman" w:cs="Times New Roman"/>
        </w:rPr>
      </w:pPr>
    </w:p>
    <w:p w14:paraId="23DA11D7" w14:textId="77777777" w:rsidR="005A0A68" w:rsidRPr="00935C76" w:rsidRDefault="00BF7C0D" w:rsidP="00653EB8">
      <w:pPr>
        <w:jc w:val="both"/>
        <w:rPr>
          <w:rFonts w:ascii="Times New Roman" w:hAnsi="Times New Roman" w:cs="Times New Roman"/>
        </w:rPr>
      </w:pPr>
      <w:r w:rsidRPr="00935C76">
        <w:rPr>
          <w:rFonts w:ascii="Times New Roman" w:hAnsi="Times New Roman" w:cs="Times New Roman"/>
        </w:rPr>
        <w:t xml:space="preserve">  </w:t>
      </w:r>
    </w:p>
    <w:sectPr w:rsidR="005A0A68" w:rsidRPr="00935C76" w:rsidSect="00E96BF1">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BE761" w14:textId="77777777" w:rsidR="00CD4FE1" w:rsidRDefault="00CD4FE1" w:rsidP="00490ACE">
      <w:pPr>
        <w:spacing w:after="0"/>
      </w:pPr>
      <w:r>
        <w:separator/>
      </w:r>
    </w:p>
  </w:endnote>
  <w:endnote w:type="continuationSeparator" w:id="0">
    <w:p w14:paraId="05B9B2F4" w14:textId="77777777" w:rsidR="00CD4FE1" w:rsidRDefault="00CD4FE1" w:rsidP="00490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0AE4" w14:textId="77777777" w:rsidR="00CD4FE1" w:rsidRDefault="00CD4FE1" w:rsidP="00373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8C45D" w14:textId="77777777" w:rsidR="00CD4FE1" w:rsidRDefault="00CD4F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A39E" w14:textId="77777777" w:rsidR="00CD4FE1" w:rsidRDefault="00CD4FE1" w:rsidP="003731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642D">
      <w:rPr>
        <w:rStyle w:val="PageNumber"/>
        <w:noProof/>
      </w:rPr>
      <w:t>1</w:t>
    </w:r>
    <w:r>
      <w:rPr>
        <w:rStyle w:val="PageNumber"/>
      </w:rPr>
      <w:fldChar w:fldCharType="end"/>
    </w:r>
  </w:p>
  <w:p w14:paraId="5DC30625" w14:textId="77777777" w:rsidR="00CD4FE1" w:rsidRDefault="00CD4F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8DA6" w14:textId="77777777" w:rsidR="00CD4FE1" w:rsidRDefault="00CD4FE1" w:rsidP="00490ACE">
      <w:pPr>
        <w:spacing w:after="0"/>
      </w:pPr>
      <w:r>
        <w:separator/>
      </w:r>
    </w:p>
  </w:footnote>
  <w:footnote w:type="continuationSeparator" w:id="0">
    <w:p w14:paraId="5804F7B1" w14:textId="77777777" w:rsidR="00CD4FE1" w:rsidRDefault="00CD4FE1" w:rsidP="00490AC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F1"/>
    <w:rsid w:val="001925BD"/>
    <w:rsid w:val="001D44FC"/>
    <w:rsid w:val="001F39F1"/>
    <w:rsid w:val="00203774"/>
    <w:rsid w:val="002D5F9C"/>
    <w:rsid w:val="00373195"/>
    <w:rsid w:val="00490ACE"/>
    <w:rsid w:val="005A0A68"/>
    <w:rsid w:val="005B5608"/>
    <w:rsid w:val="00653EB8"/>
    <w:rsid w:val="006B0B02"/>
    <w:rsid w:val="008078BC"/>
    <w:rsid w:val="008D0C75"/>
    <w:rsid w:val="00916A41"/>
    <w:rsid w:val="00935C76"/>
    <w:rsid w:val="00946565"/>
    <w:rsid w:val="009A29FE"/>
    <w:rsid w:val="009E06E6"/>
    <w:rsid w:val="009E7572"/>
    <w:rsid w:val="009F1C52"/>
    <w:rsid w:val="009F6D04"/>
    <w:rsid w:val="00A33D58"/>
    <w:rsid w:val="00B74113"/>
    <w:rsid w:val="00B9642D"/>
    <w:rsid w:val="00BA5F8C"/>
    <w:rsid w:val="00BB7E5F"/>
    <w:rsid w:val="00BE5BCD"/>
    <w:rsid w:val="00BF7C0D"/>
    <w:rsid w:val="00CA5D59"/>
    <w:rsid w:val="00CD4FE1"/>
    <w:rsid w:val="00D71534"/>
    <w:rsid w:val="00D90FB6"/>
    <w:rsid w:val="00E96BF1"/>
    <w:rsid w:val="00F249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5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4FE1"/>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0ACE"/>
    <w:pPr>
      <w:tabs>
        <w:tab w:val="center" w:pos="4320"/>
        <w:tab w:val="right" w:pos="8640"/>
      </w:tabs>
      <w:spacing w:after="0"/>
    </w:pPr>
  </w:style>
  <w:style w:type="character" w:customStyle="1" w:styleId="FooterChar">
    <w:name w:val="Footer Char"/>
    <w:basedOn w:val="DefaultParagraphFont"/>
    <w:link w:val="Footer"/>
    <w:uiPriority w:val="99"/>
    <w:rsid w:val="00490ACE"/>
  </w:style>
  <w:style w:type="character" w:styleId="PageNumber">
    <w:name w:val="page number"/>
    <w:basedOn w:val="DefaultParagraphFont"/>
    <w:uiPriority w:val="99"/>
    <w:semiHidden/>
    <w:unhideWhenUsed/>
    <w:rsid w:val="00490ACE"/>
  </w:style>
  <w:style w:type="character" w:styleId="Hyperlink">
    <w:name w:val="Hyperlink"/>
    <w:basedOn w:val="DefaultParagraphFont"/>
    <w:uiPriority w:val="99"/>
    <w:unhideWhenUsed/>
    <w:rsid w:val="00CD4FE1"/>
    <w:rPr>
      <w:color w:val="0000FF" w:themeColor="hyperlink"/>
      <w:u w:val="single"/>
    </w:rPr>
  </w:style>
  <w:style w:type="character" w:customStyle="1" w:styleId="Heading1Char">
    <w:name w:val="Heading 1 Char"/>
    <w:basedOn w:val="DefaultParagraphFont"/>
    <w:link w:val="Heading1"/>
    <w:uiPriority w:val="9"/>
    <w:rsid w:val="00CD4FE1"/>
    <w:rPr>
      <w:rFonts w:ascii="Times" w:hAnsi="Times"/>
      <w:b/>
      <w:bCs/>
      <w:kern w:val="36"/>
      <w:sz w:val="48"/>
      <w:szCs w:val="4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4FE1"/>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0ACE"/>
    <w:pPr>
      <w:tabs>
        <w:tab w:val="center" w:pos="4320"/>
        <w:tab w:val="right" w:pos="8640"/>
      </w:tabs>
      <w:spacing w:after="0"/>
    </w:pPr>
  </w:style>
  <w:style w:type="character" w:customStyle="1" w:styleId="FooterChar">
    <w:name w:val="Footer Char"/>
    <w:basedOn w:val="DefaultParagraphFont"/>
    <w:link w:val="Footer"/>
    <w:uiPriority w:val="99"/>
    <w:rsid w:val="00490ACE"/>
  </w:style>
  <w:style w:type="character" w:styleId="PageNumber">
    <w:name w:val="page number"/>
    <w:basedOn w:val="DefaultParagraphFont"/>
    <w:uiPriority w:val="99"/>
    <w:semiHidden/>
    <w:unhideWhenUsed/>
    <w:rsid w:val="00490ACE"/>
  </w:style>
  <w:style w:type="character" w:styleId="Hyperlink">
    <w:name w:val="Hyperlink"/>
    <w:basedOn w:val="DefaultParagraphFont"/>
    <w:uiPriority w:val="99"/>
    <w:unhideWhenUsed/>
    <w:rsid w:val="00CD4FE1"/>
    <w:rPr>
      <w:color w:val="0000FF" w:themeColor="hyperlink"/>
      <w:u w:val="single"/>
    </w:rPr>
  </w:style>
  <w:style w:type="character" w:customStyle="1" w:styleId="Heading1Char">
    <w:name w:val="Heading 1 Char"/>
    <w:basedOn w:val="DefaultParagraphFont"/>
    <w:link w:val="Heading1"/>
    <w:uiPriority w:val="9"/>
    <w:rsid w:val="00CD4FE1"/>
    <w:rPr>
      <w:rFonts w:ascii="Times" w:hAnsi="Times"/>
      <w:b/>
      <w:bCs/>
      <w:kern w:val="3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12111">
      <w:bodyDiv w:val="1"/>
      <w:marLeft w:val="0"/>
      <w:marRight w:val="0"/>
      <w:marTop w:val="0"/>
      <w:marBottom w:val="0"/>
      <w:divBdr>
        <w:top w:val="none" w:sz="0" w:space="0" w:color="auto"/>
        <w:left w:val="none" w:sz="0" w:space="0" w:color="auto"/>
        <w:bottom w:val="none" w:sz="0" w:space="0" w:color="auto"/>
        <w:right w:val="none" w:sz="0" w:space="0" w:color="auto"/>
      </w:divBdr>
      <w:divsChild>
        <w:div w:id="15709235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moryethics.blogspot.de/2011/09/ethics-of-forgetting.html" TargetMode="External"/><Relationship Id="rId8" Type="http://schemas.openxmlformats.org/officeDocument/2006/relationships/hyperlink" Target="http://greatergood.berkeley.edu/topic/forgiveness/definitio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1549</Words>
  <Characters>8834</Characters>
  <Application>Microsoft Macintosh Word</Application>
  <DocSecurity>0</DocSecurity>
  <Lines>73</Lines>
  <Paragraphs>20</Paragraphs>
  <ScaleCrop>false</ScaleCrop>
  <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atany</dc:creator>
  <cp:keywords/>
  <dc:description/>
  <cp:lastModifiedBy>Attila Tanyi</cp:lastModifiedBy>
  <cp:revision>21</cp:revision>
  <dcterms:created xsi:type="dcterms:W3CDTF">2013-12-18T15:56:00Z</dcterms:created>
  <dcterms:modified xsi:type="dcterms:W3CDTF">2013-12-19T15:01:00Z</dcterms:modified>
</cp:coreProperties>
</file>