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C33C" w14:textId="77777777" w:rsidR="00895F79" w:rsidRDefault="0082683C" w:rsidP="00122198">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Death and Decline</w:t>
      </w:r>
      <w:r w:rsidR="00122198">
        <w:rPr>
          <w:rFonts w:ascii="Times New Roman" w:eastAsia="Times New Roman" w:hAnsi="Times New Roman" w:cs="Times New Roman"/>
          <w:sz w:val="28"/>
          <w:szCs w:val="28"/>
        </w:rPr>
        <w:tab/>
      </w:r>
      <w:r w:rsidR="00122198">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t xml:space="preserve">                 Aaron Thieme</w:t>
      </w:r>
      <w:r w:rsidR="00122198">
        <w:rPr>
          <w:rFonts w:ascii="Times New Roman" w:eastAsia="Times New Roman" w:hAnsi="Times New Roman" w:cs="Times New Roman"/>
          <w:sz w:val="28"/>
          <w:szCs w:val="28"/>
        </w:rPr>
        <w:tab/>
        <w:t xml:space="preserve">      </w:t>
      </w:r>
    </w:p>
    <w:p w14:paraId="7E3FA63B" w14:textId="6C906235" w:rsidR="00895F79" w:rsidRPr="00895F79" w:rsidRDefault="00895F79" w:rsidP="00181A9B">
      <w:pPr>
        <w:spacing w:line="480" w:lineRule="auto"/>
        <w:jc w:val="center"/>
        <w:rPr>
          <w:rFonts w:ascii="Times New Roman" w:eastAsia="Times New Roman" w:hAnsi="Times New Roman" w:cs="Times New Roman"/>
          <w:sz w:val="24"/>
          <w:szCs w:val="24"/>
        </w:rPr>
      </w:pPr>
      <w:r w:rsidRPr="00895F79">
        <w:rPr>
          <w:rFonts w:ascii="Times New Roman" w:eastAsia="Times New Roman" w:hAnsi="Times New Roman" w:cs="Times New Roman"/>
          <w:sz w:val="24"/>
          <w:szCs w:val="24"/>
        </w:rPr>
        <w:t>[</w:t>
      </w:r>
      <w:r w:rsidR="001A6B57">
        <w:rPr>
          <w:rFonts w:ascii="Times New Roman" w:eastAsia="Times New Roman" w:hAnsi="Times New Roman" w:cs="Times New Roman"/>
          <w:sz w:val="24"/>
          <w:szCs w:val="24"/>
        </w:rPr>
        <w:t>This is the penultimate draft</w:t>
      </w:r>
      <w:r w:rsidR="00ED594F">
        <w:rPr>
          <w:rFonts w:ascii="Times New Roman" w:eastAsia="Times New Roman" w:hAnsi="Times New Roman" w:cs="Times New Roman"/>
          <w:sz w:val="24"/>
          <w:szCs w:val="24"/>
        </w:rPr>
        <w:t>. P</w:t>
      </w:r>
      <w:r w:rsidRPr="00895F79">
        <w:rPr>
          <w:rFonts w:ascii="Times New Roman" w:eastAsia="Times New Roman" w:hAnsi="Times New Roman" w:cs="Times New Roman"/>
          <w:sz w:val="24"/>
          <w:szCs w:val="24"/>
        </w:rPr>
        <w:t xml:space="preserve">lease cite </w:t>
      </w:r>
      <w:r w:rsidR="001A6B57">
        <w:rPr>
          <w:rFonts w:ascii="Times New Roman" w:eastAsia="Times New Roman" w:hAnsi="Times New Roman" w:cs="Times New Roman"/>
          <w:sz w:val="24"/>
          <w:szCs w:val="24"/>
        </w:rPr>
        <w:t xml:space="preserve">the </w:t>
      </w:r>
      <w:r w:rsidRPr="00895F79">
        <w:rPr>
          <w:rFonts w:ascii="Times New Roman" w:eastAsia="Times New Roman" w:hAnsi="Times New Roman" w:cs="Times New Roman"/>
          <w:sz w:val="24"/>
          <w:szCs w:val="24"/>
        </w:rPr>
        <w:t>publi</w:t>
      </w:r>
      <w:r w:rsidR="001A6B57">
        <w:rPr>
          <w:rFonts w:ascii="Times New Roman" w:eastAsia="Times New Roman" w:hAnsi="Times New Roman" w:cs="Times New Roman"/>
          <w:sz w:val="24"/>
          <w:szCs w:val="24"/>
        </w:rPr>
        <w:t>shed paper once its appears in print.</w:t>
      </w:r>
      <w:r w:rsidRPr="00895F79">
        <w:rPr>
          <w:rFonts w:ascii="Times New Roman" w:eastAsia="Times New Roman" w:hAnsi="Times New Roman" w:cs="Times New Roman"/>
          <w:sz w:val="24"/>
          <w:szCs w:val="24"/>
        </w:rPr>
        <w:t>]</w:t>
      </w:r>
    </w:p>
    <w:p w14:paraId="00000001" w14:textId="322CDDA4" w:rsidR="00A14768" w:rsidRPr="00122198" w:rsidRDefault="001221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In this paper I </w:t>
      </w:r>
      <w:r w:rsidR="00323B09">
        <w:rPr>
          <w:rFonts w:ascii="Times New Roman" w:eastAsia="Times New Roman" w:hAnsi="Times New Roman" w:cs="Times New Roman"/>
          <w:sz w:val="24"/>
          <w:szCs w:val="24"/>
        </w:rPr>
        <w:t>investigate</w:t>
      </w:r>
      <w:r>
        <w:rPr>
          <w:rFonts w:ascii="Times New Roman" w:eastAsia="Times New Roman" w:hAnsi="Times New Roman" w:cs="Times New Roman"/>
          <w:sz w:val="24"/>
          <w:szCs w:val="24"/>
        </w:rPr>
        <w:t xml:space="preserve"> backward looking accounts of death’s badness. I begin by reviewing deprivationism—the standard, forward looking account of death’s badness. On deprivationism, death is bad </w:t>
      </w:r>
      <w:r w:rsidR="00323B09">
        <w:rPr>
          <w:rFonts w:ascii="Times New Roman" w:eastAsia="Times New Roman" w:hAnsi="Times New Roman" w:cs="Times New Roman"/>
          <w:sz w:val="24"/>
          <w:szCs w:val="24"/>
        </w:rPr>
        <w:t xml:space="preserve">for its victim </w:t>
      </w:r>
      <w:r>
        <w:rPr>
          <w:rFonts w:ascii="Times New Roman" w:eastAsia="Times New Roman" w:hAnsi="Times New Roman" w:cs="Times New Roman"/>
          <w:sz w:val="24"/>
          <w:szCs w:val="24"/>
        </w:rPr>
        <w:t xml:space="preserve">when it deprives </w:t>
      </w:r>
      <w:r w:rsidR="00323B09">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of a good future. This account famously faces two problems, Lucretius symmetry problem and the preemption problem. This motivates turning to backward looking accounts of death’s badness on which death is bad</w:t>
      </w:r>
      <w:r w:rsidR="00323B09">
        <w:rPr>
          <w:rFonts w:ascii="Times New Roman" w:eastAsia="Times New Roman" w:hAnsi="Times New Roman" w:cs="Times New Roman"/>
          <w:sz w:val="24"/>
          <w:szCs w:val="24"/>
        </w:rPr>
        <w:t xml:space="preserve"> for its victim</w:t>
      </w:r>
      <w:r>
        <w:rPr>
          <w:rFonts w:ascii="Times New Roman" w:eastAsia="Times New Roman" w:hAnsi="Times New Roman" w:cs="Times New Roman"/>
          <w:sz w:val="24"/>
          <w:szCs w:val="24"/>
        </w:rPr>
        <w:t xml:space="preserve"> </w:t>
      </w:r>
      <w:r w:rsidR="00323B09">
        <w:rPr>
          <w:rFonts w:ascii="Times New Roman" w:eastAsia="Times New Roman" w:hAnsi="Times New Roman" w:cs="Times New Roman"/>
          <w:sz w:val="24"/>
          <w:szCs w:val="24"/>
        </w:rPr>
        <w:t xml:space="preserve">(in a respect) </w:t>
      </w:r>
      <w:r>
        <w:rPr>
          <w:rFonts w:ascii="Times New Roman" w:eastAsia="Times New Roman" w:hAnsi="Times New Roman" w:cs="Times New Roman"/>
          <w:sz w:val="24"/>
          <w:szCs w:val="24"/>
        </w:rPr>
        <w:t xml:space="preserve">when it </w:t>
      </w:r>
      <w:r w:rsidR="00323B09">
        <w:rPr>
          <w:rFonts w:ascii="Times New Roman" w:eastAsia="Times New Roman" w:hAnsi="Times New Roman" w:cs="Times New Roman"/>
          <w:sz w:val="24"/>
          <w:szCs w:val="24"/>
        </w:rPr>
        <w:t>involves</w:t>
      </w:r>
      <w:r>
        <w:rPr>
          <w:rFonts w:ascii="Times New Roman" w:eastAsia="Times New Roman" w:hAnsi="Times New Roman" w:cs="Times New Roman"/>
          <w:sz w:val="24"/>
          <w:szCs w:val="24"/>
        </w:rPr>
        <w:t xml:space="preserve"> a decline from a good life. I distinguish three different backward looking accounts of death’s badness, and I argue for the attractiveness of one in particular. </w:t>
      </w:r>
      <w:r w:rsidR="00323B09">
        <w:rPr>
          <w:rFonts w:ascii="Times New Roman" w:eastAsia="Times New Roman" w:hAnsi="Times New Roman" w:cs="Times New Roman"/>
          <w:sz w:val="24"/>
          <w:szCs w:val="24"/>
        </w:rPr>
        <w:t xml:space="preserve">I conclude by considering how the backward looking consideration of decline should factor into our overall account of death’s badness. </w:t>
      </w:r>
      <w:r w:rsidR="002A5950">
        <w:rPr>
          <w:rFonts w:ascii="Times New Roman" w:eastAsia="Times New Roman" w:hAnsi="Times New Roman" w:cs="Times New Roman"/>
          <w:sz w:val="28"/>
          <w:szCs w:val="28"/>
        </w:rPr>
        <w:tab/>
        <w:t xml:space="preserve">       </w:t>
      </w:r>
    </w:p>
    <w:p w14:paraId="56AA6E0B" w14:textId="77777777" w:rsidR="00895F79" w:rsidRDefault="00895F79">
      <w:pPr>
        <w:spacing w:line="480" w:lineRule="auto"/>
        <w:rPr>
          <w:rFonts w:ascii="Times New Roman" w:eastAsia="Times New Roman" w:hAnsi="Times New Roman" w:cs="Times New Roman"/>
          <w:sz w:val="24"/>
          <w:szCs w:val="24"/>
        </w:rPr>
      </w:pPr>
    </w:p>
    <w:p w14:paraId="00000002" w14:textId="3B235CC3"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that Frances’s life is going very well: she is happy, enjoys fulfilling relationships, and successfully pursues meaningful projects. Unfortunately, she dies in a car crash at fifty years of age. Frances’s death seems bad for her. It is not just the process of dying painfully that seems bad. Rather, the very cessation of her existence seems bad, and it appears to be bad for </w:t>
      </w:r>
      <w:r>
        <w:rPr>
          <w:rFonts w:ascii="Times New Roman" w:eastAsia="Times New Roman" w:hAnsi="Times New Roman" w:cs="Times New Roman"/>
          <w:i/>
          <w:sz w:val="24"/>
          <w:szCs w:val="24"/>
        </w:rPr>
        <w:t>her</w:t>
      </w:r>
      <w:r>
        <w:rPr>
          <w:rFonts w:ascii="Times New Roman" w:eastAsia="Times New Roman" w:hAnsi="Times New Roman" w:cs="Times New Roman"/>
          <w:sz w:val="24"/>
          <w:szCs w:val="24"/>
        </w:rPr>
        <w:t xml:space="preserve">, not only for her family and friends. But what, if anything, makes Frances’s death bad for her? </w:t>
      </w:r>
    </w:p>
    <w:p w14:paraId="00000003"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Frances’s death is not intrinsically bad for her. There is no badness to be found in the intrinsic features of Frances’s postmortem nonexistence. Rather, if we are to vindicate our sense that Frances’s death is bad, we must look to her death’s extrinsic and relational properties. In particular, one might look toward Frances’s counterfactual future and observe that if Frances had not died, then she would have continued to enjoy a good life. One might then conclude that Frances death is bad because, and to the extent that, it deprives her of a good future. This kind of </w:t>
      </w:r>
      <w:r>
        <w:rPr>
          <w:rFonts w:ascii="Times New Roman" w:eastAsia="Times New Roman" w:hAnsi="Times New Roman" w:cs="Times New Roman"/>
          <w:sz w:val="24"/>
          <w:szCs w:val="24"/>
        </w:rPr>
        <w:lastRenderedPageBreak/>
        <w:t>forward looking account of death’s badness is widely accepted by those who think death may be bad for its victims.</w:t>
      </w:r>
      <w:r>
        <w:rPr>
          <w:rFonts w:ascii="Times New Roman" w:eastAsia="Times New Roman" w:hAnsi="Times New Roman" w:cs="Times New Roman"/>
          <w:sz w:val="24"/>
          <w:szCs w:val="24"/>
          <w:vertAlign w:val="superscript"/>
        </w:rPr>
        <w:footnoteReference w:id="1"/>
      </w:r>
    </w:p>
    <w:p w14:paraId="00000004" w14:textId="77777777" w:rsidR="00A14768" w:rsidRDefault="002A595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Deprivationism</w:t>
      </w:r>
      <w:r>
        <w:rPr>
          <w:rFonts w:ascii="Times New Roman" w:eastAsia="Times New Roman" w:hAnsi="Times New Roman" w:cs="Times New Roman"/>
          <w:sz w:val="24"/>
          <w:szCs w:val="24"/>
        </w:rPr>
        <w:t xml:space="preserve">: a person’s death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is bad (good) for them iff they would have been on balance better (worse) off had they not died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
    <w:p w14:paraId="00000005" w14:textId="0FC5E76F"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counterfactual forward looking account faces two serious problems. First, a person’s prenatal nonexistence may deprive them of years of good life, much as Frances’s postmortem nonexistence deprives her of years of good life. Prenatal nonexistence is thus arguably deprivationally on </w:t>
      </w:r>
      <w:r w:rsidR="000A257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par with postmortem nonexistence. But intuitively there is an evaluative contrast between prenatal and postmortem nonexistence. Only the latter is often bad and regrettable. This is Lucretius’s symmetry problem.</w:t>
      </w:r>
      <w:r>
        <w:rPr>
          <w:rFonts w:ascii="Times New Roman" w:eastAsia="Times New Roman" w:hAnsi="Times New Roman" w:cs="Times New Roman"/>
          <w:sz w:val="24"/>
          <w:szCs w:val="24"/>
          <w:vertAlign w:val="superscript"/>
        </w:rPr>
        <w:footnoteReference w:id="2"/>
      </w:r>
    </w:p>
    <w:p w14:paraId="00000006" w14:textId="77777777" w:rsidR="00A14768" w:rsidRDefault="002A5950">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Second, consider a variation on Frances’s death above: had she not died in the car collision, suppose she would have died weeks later of a brain aneurysm. In this case, Frances’s death by car collision preempts a later death by brain aneurysm. Intuitively, preemption makes no difference to our evaluation of Frances’s death: it seems just as tragic as before. But, according to deprivationism, preemption makes a massive difference, the difference between </w:t>
      </w:r>
      <w:r>
        <w:rPr>
          <w:rFonts w:ascii="Times New Roman" w:eastAsia="Times New Roman" w:hAnsi="Times New Roman" w:cs="Times New Roman"/>
          <w:sz w:val="24"/>
          <w:szCs w:val="24"/>
        </w:rPr>
        <w:lastRenderedPageBreak/>
        <w:t>losing out on a couple weeks of life and losing out on decades of good life. Deprivationism implausibly suggests, then, that Frances’s preempted death is much less bad. This is the problem of preempted deaths.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08" w14:textId="1E19DEA4"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 do not intend to add yet another epicycle to the literature on whether deprivationism can satisfactorily respond to these two problems.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Rather, </w:t>
      </w:r>
      <w:r w:rsidR="007B6E16">
        <w:rPr>
          <w:rFonts w:ascii="Times New Roman" w:eastAsia="Times New Roman" w:hAnsi="Times New Roman" w:cs="Times New Roman"/>
          <w:sz w:val="24"/>
          <w:szCs w:val="24"/>
        </w:rPr>
        <w:t>I will</w:t>
      </w:r>
      <w:r>
        <w:rPr>
          <w:rFonts w:ascii="Times New Roman" w:eastAsia="Times New Roman" w:hAnsi="Times New Roman" w:cs="Times New Roman"/>
          <w:sz w:val="24"/>
          <w:szCs w:val="24"/>
        </w:rPr>
        <w:t xml:space="preserve"> investigate a class of accounts of death’s badness—backward looking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accounts—that solve these problems</w:t>
      </w:r>
      <w:r w:rsidR="007B6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basic motivating thought behind backward looking accounts is that it matters where one starts. Frances enjoys a good life, one filled with many intrinsic goods. Her death thus involves a decline from these goods to the nothingness of nonexistence. On backward looking accounts, this decline is what makes Frances’s death bad for her. This is the core thought shared by all backward looking accounts that I discuss.</w:t>
      </w:r>
      <w:r>
        <w:rPr>
          <w:rFonts w:ascii="Times New Roman" w:eastAsia="Times New Roman" w:hAnsi="Times New Roman" w:cs="Times New Roman"/>
          <w:sz w:val="24"/>
          <w:szCs w:val="24"/>
          <w:highlight w:val="white"/>
          <w:vertAlign w:val="superscript"/>
        </w:rPr>
        <w:footnoteReference w:id="5"/>
      </w:r>
    </w:p>
    <w:p w14:paraId="00000009" w14:textId="3148658C"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The core thought</w:t>
      </w:r>
      <w:r>
        <w:rPr>
          <w:rFonts w:ascii="Times New Roman" w:eastAsia="Times New Roman" w:hAnsi="Times New Roman" w:cs="Times New Roman"/>
          <w:sz w:val="24"/>
          <w:szCs w:val="24"/>
          <w:highlight w:val="white"/>
        </w:rPr>
        <w:t>: A person’s death is bad for them (in one respect)</w:t>
      </w:r>
      <w:r w:rsidR="000B1341">
        <w:rPr>
          <w:rFonts w:ascii="Times New Roman" w:eastAsia="Times New Roman" w:hAnsi="Times New Roman" w:cs="Times New Roman"/>
          <w:sz w:val="24"/>
          <w:szCs w:val="24"/>
          <w:highlight w:val="white"/>
        </w:rPr>
        <w:t xml:space="preserve"> when</w:t>
      </w:r>
      <w:r>
        <w:rPr>
          <w:rFonts w:ascii="Times New Roman" w:eastAsia="Times New Roman" w:hAnsi="Times New Roman" w:cs="Times New Roman"/>
          <w:sz w:val="24"/>
          <w:szCs w:val="24"/>
          <w:highlight w:val="white"/>
        </w:rPr>
        <w:t xml:space="preserve"> it involves a decline from a life containing intrinsic goods.</w:t>
      </w:r>
    </w:p>
    <w:p w14:paraId="0000000A" w14:textId="55200B09"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Let us call an account of death’s badness a </w:t>
      </w:r>
      <w:r>
        <w:rPr>
          <w:rFonts w:ascii="Times New Roman" w:eastAsia="Times New Roman" w:hAnsi="Times New Roman" w:cs="Times New Roman"/>
          <w:i/>
          <w:sz w:val="24"/>
          <w:szCs w:val="24"/>
          <w:highlight w:val="white"/>
        </w:rPr>
        <w:t xml:space="preserve">purely </w:t>
      </w:r>
      <w:r>
        <w:rPr>
          <w:rFonts w:ascii="Times New Roman" w:eastAsia="Times New Roman" w:hAnsi="Times New Roman" w:cs="Times New Roman"/>
          <w:sz w:val="24"/>
          <w:szCs w:val="24"/>
          <w:highlight w:val="white"/>
        </w:rPr>
        <w:t xml:space="preserve">backward looking account just in case it takes decline to be the one and only </w:t>
      </w:r>
      <w:r w:rsidR="000B1341">
        <w:rPr>
          <w:rFonts w:ascii="Times New Roman" w:eastAsia="Times New Roman" w:hAnsi="Times New Roman" w:cs="Times New Roman"/>
          <w:sz w:val="24"/>
          <w:szCs w:val="24"/>
          <w:highlight w:val="white"/>
        </w:rPr>
        <w:t>respect in which death can be bad for its victims</w:t>
      </w:r>
      <w:r>
        <w:rPr>
          <w:rFonts w:ascii="Times New Roman" w:eastAsia="Times New Roman" w:hAnsi="Times New Roman" w:cs="Times New Roman"/>
          <w:sz w:val="24"/>
          <w:szCs w:val="24"/>
          <w:highlight w:val="white"/>
        </w:rPr>
        <w:t xml:space="preserve">. We will soon see that there are a variety of purely backward looking accounts. </w:t>
      </w:r>
    </w:p>
    <w:p w14:paraId="0000000B"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My aim in this paper is to develop the core thought and elucidate the role that it plays in our evaluations of death. My view is that this backward looking consideration has an important and underappreciated role to play in our account of the badness of death. Even at this inchoate stage of development, we can see that purely backward looking accounts solve the symmetry and preemption problems facing deprivationism. These solutions follow from accepting the core thought. First, the core thought explains why postmortem nonexistence, but not prenatal nonexistence, is often bad. Only the former can possibly be a decline from a good life.</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Second, since the core thought is blind to what would or could have happened but for a person’s death, it sidesteps the problem of preemption. Whether a death preempts a later death makes no difference to whether it is a decline. </w:t>
      </w:r>
    </w:p>
    <w:p w14:paraId="0000000C"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Given their natural motivation, and that they solve the symmetry and preemption problems, we should take backward looking accounts seriously. To precisify them, we will rely on the notion of a person’s </w:t>
      </w:r>
      <w:r>
        <w:rPr>
          <w:rFonts w:ascii="Times New Roman" w:eastAsia="Times New Roman" w:hAnsi="Times New Roman" w:cs="Times New Roman"/>
          <w:i/>
          <w:sz w:val="24"/>
          <w:szCs w:val="24"/>
          <w:highlight w:val="white"/>
        </w:rPr>
        <w:t>life sequence</w:t>
      </w:r>
      <w:r>
        <w:rPr>
          <w:rFonts w:ascii="Times New Roman" w:eastAsia="Times New Roman" w:hAnsi="Times New Roman" w:cs="Times New Roman"/>
          <w:sz w:val="24"/>
          <w:szCs w:val="24"/>
          <w:highlight w:val="white"/>
        </w:rPr>
        <w:t xml:space="preserve">. A person’s life sequence involves all of the states of affairs relevant to judging how they fare over the course of their life. More formally, we assume that, for any given person, there is a finite sequence,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of states of affairs that ends with the state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of the person’s being dead and that satisfies two conditions: </w:t>
      </w:r>
    </w:p>
    <w:p w14:paraId="0000000D" w14:textId="77777777"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Completeness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 xml:space="preserve"> contains all and only the states relevant to evaluating how well things are going for the person with respect to intrinsic value.  </w:t>
      </w:r>
    </w:p>
    <w:p w14:paraId="0000000E" w14:textId="77777777"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Order</w:t>
      </w:r>
      <w:r>
        <w:rPr>
          <w:rFonts w:ascii="Times New Roman" w:eastAsia="Times New Roman" w:hAnsi="Times New Roman" w:cs="Times New Roman"/>
          <w:sz w:val="24"/>
          <w:szCs w:val="24"/>
          <w:highlight w:val="white"/>
        </w:rPr>
        <w:t xml:space="preserve">: If two states,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j</w:t>
      </w:r>
      <w:r>
        <w:rPr>
          <w:rFonts w:ascii="Times New Roman" w:eastAsia="Times New Roman" w:hAnsi="Times New Roman" w:cs="Times New Roman"/>
          <w:sz w:val="24"/>
          <w:szCs w:val="24"/>
          <w:highlight w:val="white"/>
        </w:rPr>
        <w:t xml:space="preserve">, are relevant in the sense specified above and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r>
        <w:rPr>
          <w:rFonts w:ascii="Times New Roman" w:eastAsia="Times New Roman" w:hAnsi="Times New Roman" w:cs="Times New Roman"/>
          <w:sz w:val="24"/>
          <w:szCs w:val="24"/>
          <w:highlight w:val="white"/>
        </w:rPr>
        <w:t xml:space="preserve"> obtains before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j</w:t>
      </w:r>
      <w:r>
        <w:rPr>
          <w:rFonts w:ascii="Times New Roman" w:eastAsia="Times New Roman" w:hAnsi="Times New Roman" w:cs="Times New Roman"/>
          <w:sz w:val="24"/>
          <w:szCs w:val="24"/>
          <w:highlight w:val="white"/>
        </w:rPr>
        <w:t xml:space="preserve">, then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r>
        <w:rPr>
          <w:rFonts w:ascii="Times New Roman" w:eastAsia="Times New Roman" w:hAnsi="Times New Roman" w:cs="Times New Roman"/>
          <w:sz w:val="24"/>
          <w:szCs w:val="24"/>
          <w:highlight w:val="white"/>
        </w:rPr>
        <w:t xml:space="preserve"> appears before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j</w:t>
      </w:r>
      <w:r>
        <w:rPr>
          <w:rFonts w:ascii="Times New Roman" w:eastAsia="Times New Roman" w:hAnsi="Times New Roman" w:cs="Times New Roman"/>
          <w:sz w:val="24"/>
          <w:szCs w:val="24"/>
          <w:highlight w:val="white"/>
        </w:rPr>
        <w:t xml:space="preserve"> in the sequence S (i.e., </w:t>
      </w:r>
      <w:r>
        <w:rPr>
          <w:rFonts w:ascii="Times New Roman" w:eastAsia="Times New Roman" w:hAnsi="Times New Roman" w:cs="Times New Roman"/>
          <w:i/>
          <w:sz w:val="24"/>
          <w:szCs w:val="24"/>
          <w:highlight w:val="white"/>
        </w:rPr>
        <w:t>i</w:t>
      </w:r>
      <w:r>
        <w:rPr>
          <w:rFonts w:ascii="Times New Roman" w:eastAsia="Times New Roman" w:hAnsi="Times New Roman" w:cs="Times New Roman"/>
          <w:sz w:val="24"/>
          <w:szCs w:val="24"/>
          <w:highlight w:val="white"/>
        </w:rPr>
        <w:t xml:space="preserve"> &lt; </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w:t>
      </w:r>
    </w:p>
    <w:p w14:paraId="0000000F"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need life sequences to satisfy Completeness because we will use them to apply backward looking accounts of death’s value. Their evaluation of death may easily be mistaken if they rest on an incomplete story of how things go with respect to intrinsic value. Similarly, we need life sequences to satisfy Order because temporal order is evaluatively significant on backward looking accounts. As a heuristic for generating your own life sequence, imagine looking back on your life and telling a complete story of how things went. Imagine that your story does not leave out any important details for saying how well you fare intrinsically (satisfying Completeness) and that you describe the events in order (satisfying Order).</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w:t>
      </w:r>
    </w:p>
    <w:p w14:paraId="00000010" w14:textId="5F85B509"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Backward looking accounts say that a person’s death is bad </w:t>
      </w:r>
      <w:r w:rsidR="000B1341">
        <w:rPr>
          <w:rFonts w:ascii="Times New Roman" w:eastAsia="Times New Roman" w:hAnsi="Times New Roman" w:cs="Times New Roman"/>
          <w:sz w:val="24"/>
          <w:szCs w:val="24"/>
        </w:rPr>
        <w:t xml:space="preserve">in a respect </w:t>
      </w:r>
      <w:r>
        <w:rPr>
          <w:rFonts w:ascii="Times New Roman" w:eastAsia="Times New Roman" w:hAnsi="Times New Roman" w:cs="Times New Roman"/>
          <w:sz w:val="24"/>
          <w:szCs w:val="24"/>
        </w:rPr>
        <w:t>when it is a decline from some set of preceding states in their life sequence. These antecedent states constitute what we may call the comparison class for death.</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We can distinguish between various </w:t>
      </w:r>
      <w:r>
        <w:rPr>
          <w:rFonts w:ascii="Times New Roman" w:eastAsia="Times New Roman" w:hAnsi="Times New Roman" w:cs="Times New Roman"/>
          <w:sz w:val="24"/>
          <w:szCs w:val="24"/>
        </w:rPr>
        <w:lastRenderedPageBreak/>
        <w:t xml:space="preserve">backward looking accounts according to how they fix this comparison class. At the extremes, we may either include every state, or we may exclude every state but the most recent. </w:t>
      </w:r>
    </w:p>
    <w:p w14:paraId="00000011" w14:textId="73F65DB1"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Impartial Inclusivism</w:t>
      </w:r>
      <w:r>
        <w:rPr>
          <w:rFonts w:ascii="Times New Roman" w:eastAsia="Times New Roman" w:hAnsi="Times New Roman" w:cs="Times New Roman"/>
          <w:sz w:val="24"/>
          <w:szCs w:val="24"/>
        </w:rPr>
        <w:t xml:space="preserve">: Given a person’s life sequence,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the value </w:t>
      </w:r>
      <w:r w:rsidR="000B1341">
        <w:rPr>
          <w:rFonts w:ascii="Times New Roman" w:eastAsia="Times New Roman" w:hAnsi="Times New Roman" w:cs="Times New Roman"/>
          <w:sz w:val="24"/>
          <w:szCs w:val="24"/>
          <w:highlight w:val="white"/>
        </w:rPr>
        <w:t xml:space="preserve">(with respect to decline) </w:t>
      </w:r>
      <w:r>
        <w:rPr>
          <w:rFonts w:ascii="Times New Roman" w:eastAsia="Times New Roman" w:hAnsi="Times New Roman" w:cs="Times New Roman"/>
          <w:sz w:val="24"/>
          <w:szCs w:val="24"/>
          <w:highlight w:val="white"/>
        </w:rPr>
        <w:t xml:space="preserve">of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equals the sum of the differences between the intrinsic value of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and each preceding state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r>
        <w:rPr>
          <w:rFonts w:ascii="Times New Roman" w:eastAsia="Times New Roman" w:hAnsi="Times New Roman" w:cs="Times New Roman"/>
          <w:sz w:val="24"/>
          <w:szCs w:val="24"/>
          <w:highlight w:val="white"/>
        </w:rPr>
        <w:t xml:space="preserve"> (where 1 </w:t>
      </w:r>
      <m:oMath>
        <m:r>
          <w:rPr>
            <w:rFonts w:ascii="Cambria Math" w:hAnsi="Cambria Math"/>
          </w:rPr>
          <m:t>≤</m:t>
        </m:r>
      </m:oMath>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i</w:t>
      </w:r>
      <w:r>
        <w:rPr>
          <w:rFonts w:ascii="Times New Roman" w:eastAsia="Times New Roman" w:hAnsi="Times New Roman" w:cs="Times New Roman"/>
          <w:sz w:val="24"/>
          <w:szCs w:val="24"/>
          <w:highlight w:val="white"/>
        </w:rPr>
        <w:t xml:space="preserve"> &lt;</w:t>
      </w:r>
      <w:r>
        <w:rPr>
          <w:rFonts w:ascii="Times New Roman" w:eastAsia="Times New Roman" w:hAnsi="Times New Roman" w:cs="Times New Roman"/>
          <w:i/>
          <w:sz w:val="24"/>
          <w:szCs w:val="24"/>
          <w:highlight w:val="white"/>
        </w:rPr>
        <w:t xml:space="preserve"> n</w:t>
      </w:r>
      <w:r>
        <w:rPr>
          <w:rFonts w:ascii="Times New Roman" w:eastAsia="Times New Roman" w:hAnsi="Times New Roman" w:cs="Times New Roman"/>
          <w:sz w:val="24"/>
          <w:szCs w:val="24"/>
          <w:highlight w:val="white"/>
        </w:rPr>
        <w:t>).</w:t>
      </w:r>
    </w:p>
    <w:p w14:paraId="00000012" w14:textId="7AA5DA11"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Exclusivism</w:t>
      </w:r>
      <w:r>
        <w:rPr>
          <w:rFonts w:ascii="Times New Roman" w:eastAsia="Times New Roman" w:hAnsi="Times New Roman" w:cs="Times New Roman"/>
          <w:sz w:val="24"/>
          <w:szCs w:val="24"/>
        </w:rPr>
        <w:t xml:space="preserve">: Given a person’s life sequence,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the value </w:t>
      </w:r>
      <w:r w:rsidR="000B1341">
        <w:rPr>
          <w:rFonts w:ascii="Times New Roman" w:eastAsia="Times New Roman" w:hAnsi="Times New Roman" w:cs="Times New Roman"/>
          <w:sz w:val="24"/>
          <w:szCs w:val="24"/>
          <w:highlight w:val="white"/>
        </w:rPr>
        <w:t xml:space="preserve">(with respect to decline) </w:t>
      </w:r>
      <w:r>
        <w:rPr>
          <w:rFonts w:ascii="Times New Roman" w:eastAsia="Times New Roman" w:hAnsi="Times New Roman" w:cs="Times New Roman"/>
          <w:sz w:val="24"/>
          <w:szCs w:val="24"/>
          <w:highlight w:val="white"/>
        </w:rPr>
        <w:t xml:space="preserve">of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equals the difference between the intrinsic value of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n-1</w:t>
      </w:r>
      <w:r>
        <w:rPr>
          <w:rFonts w:ascii="Times New Roman" w:eastAsia="Times New Roman" w:hAnsi="Times New Roman" w:cs="Times New Roman"/>
          <w:sz w:val="24"/>
          <w:szCs w:val="24"/>
          <w:highlight w:val="white"/>
        </w:rPr>
        <w:t xml:space="preserve">. </w:t>
      </w:r>
    </w:p>
    <w:p w14:paraId="00000013"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defense of impartial inclusivism, one might observe that death is the end not of just one moment but of one’s life as a whole. To appreciate death’s decline, we must have a complete sense of the life that it ends. Only once we have appreciated the total amount of good in one’s life can we appreciate the extent to which death is a decline. This line of thought provides at least an initial motivation for accepting impartial inclusivism.</w:t>
      </w:r>
    </w:p>
    <w:p w14:paraId="00000014"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a life that is on balance constantly good, impartial inclusivism says that a later death is always worse than an earlier death. In this respect, impartial inclusivism is just the reverse of deprivationism which says that earlier deaths are always worse (under the same assumption). But impartial inclusivism fails to account for the special significance of a decline’s location: it can clearly be worse to die at a peak than at a later valley. For example, suppose Gerald’s life peaks in middle age and declines in old age to be barely worth living in his last decade. Holding fixed the shape of Gerald’s life, impartial inclusivism implies that death in old age is worse than death in middle age. But intuitively it would be worse for Gerald to die in middle age when his life is going best. Impartial inclusivism is therefore blind to the special significance of decline’s location. It can be worse to die at a peak than at a later valley.</w:t>
      </w:r>
    </w:p>
    <w:p w14:paraId="00000015"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Exclusivism in contrast vindicates the thought that dying at a peak is worse. It goes too far, however, in being sensitive to the location of death’s decline. Because exclusivism’s comparison class is the singleton set of the most recent state before death, its evaluation of death is extremely fragile. For example, suppose that before Frances dies in the car accident, she experiences a great deal of pain. Since this state is on balance intrinsically bad, death is a local incline. According to exclusivists, then, Frances’s death is good for her. But this is unacceptable. We cannot make a person’s death good for them by momentarily torturing them before their death. </w:t>
      </w:r>
    </w:p>
    <w:p w14:paraId="00000016"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a more plausible backward looking account, we must find a middle way between the fanatical impartiality of impartial inclusivism and the myopia of exclusivism. We must vindicate the significance of a decline’s location without offering objectionably fragile evaluations of death. The most natural middle way </w:t>
      </w:r>
      <w:r>
        <w:rPr>
          <w:rFonts w:ascii="Times New Roman" w:eastAsia="Times New Roman" w:hAnsi="Times New Roman" w:cs="Times New Roman"/>
          <w:i/>
          <w:sz w:val="24"/>
          <w:szCs w:val="24"/>
        </w:rPr>
        <w:t xml:space="preserve">partially </w:t>
      </w:r>
      <w:r>
        <w:rPr>
          <w:rFonts w:ascii="Times New Roman" w:eastAsia="Times New Roman" w:hAnsi="Times New Roman" w:cs="Times New Roman"/>
          <w:sz w:val="24"/>
          <w:szCs w:val="24"/>
        </w:rPr>
        <w:t>counts every preceding state in death’s comparison class.</w:t>
      </w:r>
    </w:p>
    <w:p w14:paraId="00000017" w14:textId="137C4581"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Partial Inclusivism</w:t>
      </w:r>
      <w:r>
        <w:rPr>
          <w:rFonts w:ascii="Times New Roman" w:eastAsia="Times New Roman" w:hAnsi="Times New Roman" w:cs="Times New Roman"/>
          <w:sz w:val="24"/>
          <w:szCs w:val="24"/>
        </w:rPr>
        <w:t xml:space="preserve">: Given a person’s life sequence,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the value </w:t>
      </w:r>
      <w:r w:rsidR="000B1341">
        <w:rPr>
          <w:rFonts w:ascii="Times New Roman" w:eastAsia="Times New Roman" w:hAnsi="Times New Roman" w:cs="Times New Roman"/>
          <w:sz w:val="24"/>
          <w:szCs w:val="24"/>
          <w:highlight w:val="white"/>
        </w:rPr>
        <w:t xml:space="preserve">(with respect to decline) </w:t>
      </w:r>
      <w:r>
        <w:rPr>
          <w:rFonts w:ascii="Times New Roman" w:eastAsia="Times New Roman" w:hAnsi="Times New Roman" w:cs="Times New Roman"/>
          <w:sz w:val="24"/>
          <w:szCs w:val="24"/>
          <w:highlight w:val="white"/>
        </w:rPr>
        <w:t xml:space="preserve">of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equals the sum of the </w:t>
      </w:r>
      <w:r>
        <w:rPr>
          <w:rFonts w:ascii="Times New Roman" w:eastAsia="Times New Roman" w:hAnsi="Times New Roman" w:cs="Times New Roman"/>
          <w:i/>
          <w:sz w:val="24"/>
          <w:szCs w:val="24"/>
          <w:highlight w:val="white"/>
        </w:rPr>
        <w:t xml:space="preserve">weighted </w:t>
      </w:r>
      <w:r>
        <w:rPr>
          <w:rFonts w:ascii="Times New Roman" w:eastAsia="Times New Roman" w:hAnsi="Times New Roman" w:cs="Times New Roman"/>
          <w:sz w:val="24"/>
          <w:szCs w:val="24"/>
          <w:highlight w:val="white"/>
        </w:rPr>
        <w:t xml:space="preserve">differences between the intrinsic value of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r>
        <w:rPr>
          <w:rFonts w:ascii="Times New Roman" w:eastAsia="Times New Roman" w:hAnsi="Times New Roman" w:cs="Times New Roman"/>
          <w:sz w:val="24"/>
          <w:szCs w:val="24"/>
          <w:highlight w:val="white"/>
        </w:rPr>
        <w:t xml:space="preserve"> and each preceding state s</w:t>
      </w:r>
      <w:r>
        <w:rPr>
          <w:rFonts w:ascii="Times New Roman" w:eastAsia="Times New Roman" w:hAnsi="Times New Roman" w:cs="Times New Roman"/>
          <w:i/>
          <w:sz w:val="24"/>
          <w:szCs w:val="24"/>
          <w:highlight w:val="white"/>
          <w:vertAlign w:val="subscript"/>
        </w:rPr>
        <w:t>i</w:t>
      </w:r>
      <w:r>
        <w:rPr>
          <w:rFonts w:ascii="Times New Roman" w:eastAsia="Times New Roman" w:hAnsi="Times New Roman" w:cs="Times New Roman"/>
          <w:sz w:val="24"/>
          <w:szCs w:val="24"/>
          <w:highlight w:val="white"/>
        </w:rPr>
        <w:t xml:space="preserve"> (where</w:t>
      </w:r>
      <m:oMath>
        <m:r>
          <w:rPr>
            <w:rFonts w:ascii="Times New Roman" w:eastAsia="Times New Roman" w:hAnsi="Times New Roman" w:cs="Times New Roman"/>
            <w:sz w:val="24"/>
            <w:szCs w:val="24"/>
            <w:highlight w:val="white"/>
          </w:rPr>
          <m:t>1≤i</m:t>
        </m:r>
      </m:oMath>
      <w:r>
        <w:rPr>
          <w:rFonts w:ascii="Times New Roman" w:eastAsia="Times New Roman" w:hAnsi="Times New Roman" w:cs="Times New Roman"/>
          <w:sz w:val="24"/>
          <w:szCs w:val="24"/>
          <w:highlight w:val="white"/>
        </w:rPr>
        <w:t>&lt;</w:t>
      </w:r>
      <w:r>
        <w:rPr>
          <w:rFonts w:ascii="Times New Roman" w:eastAsia="Times New Roman" w:hAnsi="Times New Roman" w:cs="Times New Roman"/>
          <w:i/>
          <w:sz w:val="24"/>
          <w:szCs w:val="24"/>
          <w:highlight w:val="white"/>
        </w:rPr>
        <w:t xml:space="preserve"> n</w:t>
      </w:r>
      <w:r>
        <w:rPr>
          <w:rFonts w:ascii="Times New Roman" w:eastAsia="Times New Roman" w:hAnsi="Times New Roman" w:cs="Times New Roman"/>
          <w:sz w:val="24"/>
          <w:szCs w:val="24"/>
          <w:highlight w:val="white"/>
        </w:rPr>
        <w:t xml:space="preserve">). </w:t>
      </w:r>
    </w:p>
    <w:p w14:paraId="00000018"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hope for partial inclusivism is that, by weighting more recent states more heavily, our evaluations of a death’s decline can be sensitive, but not too sensitive, to its location. To make good on this promise, we must motivate and develop a weight.</w:t>
      </w:r>
    </w:p>
    <w:p w14:paraId="00000019" w14:textId="77777777" w:rsidR="00A14768" w:rsidRDefault="002A5950">
      <w:pPr>
        <w:spacing w:line="48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ab/>
        <w:t xml:space="preserve">One option is to weigh more recent states more heavily just because they are more recent. But it is hard to see why recency itself should matter. Returning to the initial motivation for inclusivism, we include distant states in death’s comparison class because they are parts of the </w:t>
      </w:r>
      <w:r>
        <w:rPr>
          <w:rFonts w:ascii="Times New Roman" w:eastAsia="Times New Roman" w:hAnsi="Times New Roman" w:cs="Times New Roman"/>
          <w:sz w:val="24"/>
          <w:szCs w:val="24"/>
          <w:highlight w:val="white"/>
        </w:rPr>
        <w:lastRenderedPageBreak/>
        <w:t xml:space="preserve">life from which death is a decline. It should not matter in itself whether they are more recent or more distant parts of this life. </w:t>
      </w:r>
      <w:r>
        <w:rPr>
          <w:rFonts w:ascii="Times New Roman" w:eastAsia="Times New Roman" w:hAnsi="Times New Roman" w:cs="Times New Roman"/>
          <w:sz w:val="24"/>
          <w:szCs w:val="24"/>
          <w:highlight w:val="white"/>
        </w:rPr>
        <w:tab/>
      </w:r>
    </w:p>
    <w:p w14:paraId="0000001A"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It will be instructive to consider how the deprivationist responds to a similar issue. Opposite of impartial inclusivism, recall, deprivationism judges earlier deaths worse when life is constantly on balance good. But this is implausible. The most plausible form of deprivationism is partial, weighing some deprivations more heavily than others. But, it is not plausible that more distant deprivations are less grave merely because they are more distant in time. Rather, on the most attractive version of partial deprivationism, for a person at time x, the deprivation of some good at time y is less grave for the person at x when they are less prudentially connected to the person at time y who would have received the good.</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Dying in infancy is less bad for Gerald the infant because many of the goods of which death deprives Gerald the infant would have been enjoyed by later person stages who are only weakly psychologically connected to Gerald the infant. These later person stages share essentially no memories, beliefs, values, or plans with Gerald the infant. In contrast, Gerald in middle age is much more psychologically connected to his later selves, sharing many memories, beliefs, values, plans, and so on with them. As a result, death’s deprivation of benefits to them makes his death in middle age much worse for him. </w:t>
      </w:r>
    </w:p>
    <w:p w14:paraId="0000001B" w14:textId="74433B2F"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background assumption here is that psychological connectedness matters.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This is of course controversial, but taking it on provides the most natural explanation of our sense that death is a graver deprivation for Gerald in middle age than Gerald in infancy. Similarly, if we think that psychologically connectedness is what matters, then we can naturally explain why some parts of a person’s life should be weighed more heavily in evaluating their death. In </w:t>
      </w:r>
      <w:r>
        <w:rPr>
          <w:rFonts w:ascii="Times New Roman" w:eastAsia="Times New Roman" w:hAnsi="Times New Roman" w:cs="Times New Roman"/>
          <w:sz w:val="24"/>
          <w:szCs w:val="24"/>
          <w:highlight w:val="white"/>
        </w:rPr>
        <w:lastRenderedPageBreak/>
        <w:t xml:space="preserve">evaluating the gravity of death’s decline for a person at the end of their life, we should care about how well their person stages fared in the past, adjusting for their degree of psychological connectedness with them. For example, if Gerald dies in old age, then it matters quite a lot that he fared so well in middle age, as long as he retains a high degree of psychological connectedness with his </w:t>
      </w:r>
      <w:r w:rsidR="005042AF">
        <w:rPr>
          <w:rFonts w:ascii="Times New Roman" w:eastAsia="Times New Roman" w:hAnsi="Times New Roman" w:cs="Times New Roman"/>
          <w:sz w:val="24"/>
          <w:szCs w:val="24"/>
          <w:highlight w:val="white"/>
        </w:rPr>
        <w:t>middle-aged</w:t>
      </w:r>
      <w:r>
        <w:rPr>
          <w:rFonts w:ascii="Times New Roman" w:eastAsia="Times New Roman" w:hAnsi="Times New Roman" w:cs="Times New Roman"/>
          <w:sz w:val="24"/>
          <w:szCs w:val="24"/>
          <w:highlight w:val="white"/>
        </w:rPr>
        <w:t xml:space="preserve"> self. Accordingly, the difference between the nothingness of death and the high amount of well-being in Gerald’s middle age should be weighted heavily in determining the overall gravity of death’s decline for Gerald.  </w:t>
      </w:r>
    </w:p>
    <w:p w14:paraId="0000001C"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We can now see what goes wrong in the initial motivation for impartial inclusivism. For evaluating the gravity of death’s decline, what matters is life’s total value, looking back from the point of view of the final person stage. The total value of a life for its final person stage cannot be a simple aggregation of the value of its parts for their respective person stages. Rather, the value of each part of a life for its person stage contributes to the value of life on the whole for its final person stage only to the degree that the final person stage is psychologically connected to the earlier person stage. If we accept that psychological connectedness is what matters and that the gravity of death’s decline depends on the value of life on the whole, we are led to partial inclusivism. </w:t>
      </w:r>
    </w:p>
    <w:p w14:paraId="0000001D"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 other things being equal, then, death’s decline is graver the more psychologically connected one is to their prior selves. Partial inclusivism should weight differences between death and a prior state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r>
        <w:rPr>
          <w:rFonts w:ascii="Times New Roman" w:eastAsia="Times New Roman" w:hAnsi="Times New Roman" w:cs="Times New Roman"/>
          <w:sz w:val="24"/>
          <w:szCs w:val="24"/>
          <w:highlight w:val="white"/>
        </w:rPr>
        <w:t xml:space="preserve"> more heavily when the person stage who dies is more strongly connected to the person stage in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r>
        <w:rPr>
          <w:rFonts w:ascii="Times New Roman" w:eastAsia="Times New Roman" w:hAnsi="Times New Roman" w:cs="Times New Roman"/>
          <w:sz w:val="24"/>
          <w:szCs w:val="24"/>
          <w:highlight w:val="white"/>
        </w:rPr>
        <w:t xml:space="preserve">. Partial inclusivism can then vindicate our sense that dying at a peak is especially terrible. Gerald’s death, for instance, is especially terrible because he is (let us suppose) psychologically well-connected to his person stages who fared so well in his middle age. A later death is less bad for Gerald when his psychological connections to his person stages </w:t>
      </w:r>
      <w:r>
        <w:rPr>
          <w:rFonts w:ascii="Times New Roman" w:eastAsia="Times New Roman" w:hAnsi="Times New Roman" w:cs="Times New Roman"/>
          <w:sz w:val="24"/>
          <w:szCs w:val="24"/>
          <w:highlight w:val="white"/>
        </w:rPr>
        <w:lastRenderedPageBreak/>
        <w:t xml:space="preserve">at life’s peak have weakened and when his more recent person stages, to whom he is tightly connected, have fared less well. </w:t>
      </w:r>
    </w:p>
    <w:p w14:paraId="0000001E"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Moreover, like impartial inclusivism, partial inclusivism avoids the fragility of exclusivist evaluations of death. If Frances has had a good life with some degree of prudential unity, then death is a terrible decline for her even when her last moments are bad. For Frances’s death to be an incline on partial inclusivism, the final parts of her life would have to be bad, and she would have to lose psychological connections to her prior, well-faring selves. Suppose for instance that Frances’s last decade involves significant suffering as she slowly succumbs to dementia. In this case, it looks reasonable to judge Frances’s death an incline, an improvement, for Frances. In the deterioration of her psychological connections to her well-faring selves, Frances would have undergone a series of small deaths. By the end, what seems most significant is that death ends her suffering. </w:t>
      </w:r>
    </w:p>
    <w:p w14:paraId="0000001F"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I have argued that backward looking accounts of death have much to offer. They can explain why postmortem nonexistence, but not prenatal nonexistence, is bad and why preempted deaths are bad. In developing these accounts, we must precisify what makes for worse declines, and towards this end I have defended partial inclusivism, which inherits the virtues of impartial inclusivism and exclusivism while avoiding their vices. </w:t>
      </w:r>
    </w:p>
    <w:p w14:paraId="00000020"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one might resist the thought that purely backward looking accounts give the full story of death’s badness. One might instead conclude that death’s badness is a function of both its decline and its deprivation.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 am open to such a conclusion, but before reaching it, we should take backward looking accounts as far as they can go on their own terms. In that spirit, I will introduce and respond to an objection to purely backward looking accounts of death’s </w:t>
      </w:r>
      <w:r>
        <w:rPr>
          <w:rFonts w:ascii="Times New Roman" w:eastAsia="Times New Roman" w:hAnsi="Times New Roman" w:cs="Times New Roman"/>
          <w:sz w:val="24"/>
          <w:szCs w:val="24"/>
        </w:rPr>
        <w:lastRenderedPageBreak/>
        <w:t xml:space="preserve">badness. I will conclude by sketching and briefly assessing a mixed account that includes backward and forward looking considerations. </w:t>
      </w:r>
    </w:p>
    <w:p w14:paraId="00000021" w14:textId="77777777" w:rsidR="00A14768" w:rsidRDefault="002A5950">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Suppose Frank’s life has not been worth living: he has a disease that causes him agony and prevents him from maintaining meaningful relationships and pursuing fulfilling projects. But everything seems about to change: he has just learned of a new drug that will cure his disease. As he drives to the hospital to receive the miracle drug that would make the last few decades of his life well worth living, he dies in a car collision. On a purely backward looking account, Frank’s death is good for him since it ends his suffering. It may be natural to think, however, that death is bad for Frank because it deprives him of a very good future. This may lead us to conclude that deprivation has an important part to play in the overall story about the badness of death. </w:t>
      </w:r>
    </w:p>
    <w:p w14:paraId="00000022"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if we take purely backward looking accounts seriously, we may wish to avoid this conclusion. Towards that end, recall our judgments about preempted deaths. We do not judge Frances’s preempted death any less bad because she would have died shortly later. The core thought behind backward looking accounts vindicates this judgment: Frances’s death is a decline and thus bad for her, regardless of whether she would have died later. If we find this judgment about Frances’s preempted death to be stable, we may appeal to it to justify revising our judgments about Frank’s death. If we judge declines no better when they preempt later declines, we should judge inclines no worse when they preempt later inclines. In particular, Frank’s death is an incline that preempts a later incline. Thus, even though Frank’s death deprives him of an incredible improvement, we may arguably refrain from judging it bad on that account. To be good, it is enough that it is an improvement. It is of course not the best possible improvement available for Frank. But to be good does not require being the best.</w:t>
      </w:r>
    </w:p>
    <w:p w14:paraId="00000023"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this way, purely backward looking accounts exemplify an admirable consistency and elegance. By expressing the core thought that declines are bad, they avoid the problems of asymmetry and preemption while explaining our intuitions about a number of cases. In some cases, such as Frank’s unfortunate death above, they require revision to our intuitions. But such revisions can be motivated, and we may come to see them as reasonable. </w:t>
      </w:r>
    </w:p>
    <w:p w14:paraId="00000024"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being said in favor of purely backward looking accounts, many may find the purist revisions too radical to accept; many may remain committed to the thought that Frank’s death is all things considered bad for him. Those who wish to retain this judgment may accept a mixed account that includes both backward and forward looking considerations. </w:t>
      </w:r>
    </w:p>
    <w:p w14:paraId="00000025" w14:textId="77777777" w:rsidR="00A14768" w:rsidRDefault="002A595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Backward looking consideration</w:t>
      </w:r>
      <w:r>
        <w:rPr>
          <w:rFonts w:ascii="Times New Roman" w:eastAsia="Times New Roman" w:hAnsi="Times New Roman" w:cs="Times New Roman"/>
          <w:sz w:val="24"/>
          <w:szCs w:val="24"/>
        </w:rPr>
        <w:t xml:space="preserve">: Death is bad for its victim in one respect when it involves decline. </w:t>
      </w:r>
    </w:p>
    <w:p w14:paraId="00000026" w14:textId="77777777" w:rsidR="00A14768" w:rsidRDefault="002A595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Forward looking consideration</w:t>
      </w:r>
      <w:r>
        <w:rPr>
          <w:rFonts w:ascii="Times New Roman" w:eastAsia="Times New Roman" w:hAnsi="Times New Roman" w:cs="Times New Roman"/>
          <w:sz w:val="24"/>
          <w:szCs w:val="24"/>
        </w:rPr>
        <w:t>: Death is bad for its victim in one respect when it deprives them of future intrinsic goods.</w:t>
      </w:r>
    </w:p>
    <w:p w14:paraId="00000027"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Frank’s death involves only a modest incline while being a severe deprivation. A mixed account is thus able to explain our intuition that all things considered Frank’s death is bad for him. By including a backward looking consideration, the mixed account is also able to avoid the problem of preemption. While Frances’s death that preempts a later death does not deprive her of much, it does end a good life, and so it is all things considered bad for her.</w:t>
      </w:r>
    </w:p>
    <w:p w14:paraId="00000028" w14:textId="77777777" w:rsidR="00A14768" w:rsidRDefault="002A5950">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While the mixed account inherits many advantages from its backward looking element, it does not inherit the advantage of straightforwardly solving Lucretius’s symmetry problem. The mixed account establishes an asymmetry between prenatal and postmortem nonexistence </w:t>
      </w:r>
      <w:r>
        <w:rPr>
          <w:rFonts w:ascii="Times New Roman" w:eastAsia="Times New Roman" w:hAnsi="Times New Roman" w:cs="Times New Roman"/>
          <w:i/>
          <w:sz w:val="24"/>
          <w:szCs w:val="24"/>
        </w:rPr>
        <w:t>with respect to decline</w:t>
      </w:r>
      <w:r>
        <w:rPr>
          <w:rFonts w:ascii="Times New Roman" w:eastAsia="Times New Roman" w:hAnsi="Times New Roman" w:cs="Times New Roman"/>
          <w:sz w:val="24"/>
          <w:szCs w:val="24"/>
        </w:rPr>
        <w:t xml:space="preserve">. But so far it remains open whether prenatal nonexistence is on a par with postmortem nonexistence </w:t>
      </w:r>
      <w:r>
        <w:rPr>
          <w:rFonts w:ascii="Times New Roman" w:eastAsia="Times New Roman" w:hAnsi="Times New Roman" w:cs="Times New Roman"/>
          <w:i/>
          <w:sz w:val="24"/>
          <w:szCs w:val="24"/>
        </w:rPr>
        <w:t>with respect to deprivation</w:t>
      </w:r>
      <w:r>
        <w:rPr>
          <w:rFonts w:ascii="Times New Roman" w:eastAsia="Times New Roman" w:hAnsi="Times New Roman" w:cs="Times New Roman"/>
          <w:sz w:val="24"/>
          <w:szCs w:val="24"/>
        </w:rPr>
        <w:t xml:space="preserve">. If both periods of nonexistence can be </w:t>
      </w:r>
      <w:r>
        <w:rPr>
          <w:rFonts w:ascii="Times New Roman" w:eastAsia="Times New Roman" w:hAnsi="Times New Roman" w:cs="Times New Roman"/>
          <w:sz w:val="24"/>
          <w:szCs w:val="24"/>
        </w:rPr>
        <w:lastRenderedPageBreak/>
        <w:t>symmetrically deprivational, then both periods of nonexistence may be all things considered bad, and so there remains a puzzle about why we only consider postmortem nonexistence to be bad.</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So adopting the mixed account does not release deprivationists from their duty to establish an asymmetry in deprivation between prenatal and postmortem nonexistence. That being said, the mixed account does not exacerbate the problem of explaining why only postmortem nonexistence may be deprivationally bad. Therefore, on balance deprivationists stand only to gain by accepting the mixed account. </w:t>
      </w:r>
    </w:p>
    <w:p w14:paraId="00000029"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conclusion does not settle whether the mixed account is overall preferable to purely backward looking accounts of death’s badness. But, in any event, I hope to have shown that there is a powerful case for thinking that death is bad (in one respect) when it involves decline. In my view decline has a significant role to play in our account of death’s badness.</w:t>
      </w:r>
      <w:r w:rsidRPr="00D10CA9">
        <w:rPr>
          <w:rFonts w:ascii="Times New Roman" w:eastAsia="Times New Roman" w:hAnsi="Times New Roman" w:cs="Times New Roman"/>
          <w:sz w:val="24"/>
          <w:szCs w:val="24"/>
          <w:vertAlign w:val="superscript"/>
        </w:rPr>
        <w:footnoteReference w:id="13"/>
      </w:r>
      <w:r w:rsidRPr="00D10CA9">
        <w:rPr>
          <w:rFonts w:ascii="Times New Roman" w:eastAsia="Times New Roman" w:hAnsi="Times New Roman" w:cs="Times New Roman"/>
          <w:sz w:val="24"/>
          <w:szCs w:val="24"/>
        </w:rPr>
        <w:t xml:space="preserve"> </w:t>
      </w:r>
    </w:p>
    <w:p w14:paraId="0000002A" w14:textId="77777777" w:rsidR="00A14768" w:rsidRDefault="00A14768">
      <w:pPr>
        <w:spacing w:line="480" w:lineRule="auto"/>
        <w:rPr>
          <w:rFonts w:ascii="Times New Roman" w:eastAsia="Times New Roman" w:hAnsi="Times New Roman" w:cs="Times New Roman"/>
          <w:sz w:val="24"/>
          <w:szCs w:val="24"/>
        </w:rPr>
      </w:pPr>
    </w:p>
    <w:p w14:paraId="0000002B" w14:textId="77777777" w:rsidR="00A14768" w:rsidRDefault="00A14768">
      <w:pPr>
        <w:spacing w:line="480" w:lineRule="auto"/>
        <w:rPr>
          <w:rFonts w:ascii="Times New Roman" w:eastAsia="Times New Roman" w:hAnsi="Times New Roman" w:cs="Times New Roman"/>
          <w:sz w:val="24"/>
          <w:szCs w:val="24"/>
        </w:rPr>
      </w:pPr>
    </w:p>
    <w:p w14:paraId="0000002C"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D" w14:textId="77777777" w:rsidR="00A14768" w:rsidRDefault="00A14768">
      <w:pPr>
        <w:spacing w:line="480" w:lineRule="auto"/>
        <w:rPr>
          <w:rFonts w:ascii="Times New Roman" w:eastAsia="Times New Roman" w:hAnsi="Times New Roman" w:cs="Times New Roman"/>
          <w:sz w:val="24"/>
          <w:szCs w:val="24"/>
        </w:rPr>
      </w:pPr>
    </w:p>
    <w:p w14:paraId="0000002E" w14:textId="77777777" w:rsidR="00A14768" w:rsidRDefault="00A14768">
      <w:pPr>
        <w:spacing w:line="480" w:lineRule="auto"/>
        <w:rPr>
          <w:rFonts w:ascii="Times New Roman" w:eastAsia="Times New Roman" w:hAnsi="Times New Roman" w:cs="Times New Roman"/>
          <w:sz w:val="24"/>
          <w:szCs w:val="24"/>
        </w:rPr>
      </w:pPr>
    </w:p>
    <w:p w14:paraId="0000002F" w14:textId="77777777" w:rsidR="00A14768" w:rsidRDefault="00A14768">
      <w:pPr>
        <w:spacing w:line="480" w:lineRule="auto"/>
        <w:rPr>
          <w:rFonts w:ascii="Times New Roman" w:eastAsia="Times New Roman" w:hAnsi="Times New Roman" w:cs="Times New Roman"/>
          <w:sz w:val="24"/>
          <w:szCs w:val="24"/>
        </w:rPr>
      </w:pPr>
    </w:p>
    <w:p w14:paraId="00000030" w14:textId="77777777" w:rsidR="00A14768" w:rsidRDefault="00A14768">
      <w:pPr>
        <w:spacing w:line="480" w:lineRule="auto"/>
        <w:rPr>
          <w:rFonts w:ascii="Times New Roman" w:eastAsia="Times New Roman" w:hAnsi="Times New Roman" w:cs="Times New Roman"/>
          <w:sz w:val="24"/>
          <w:szCs w:val="24"/>
        </w:rPr>
      </w:pPr>
    </w:p>
    <w:p w14:paraId="00000031" w14:textId="77777777" w:rsidR="00A14768" w:rsidRDefault="00A14768">
      <w:pPr>
        <w:spacing w:line="480" w:lineRule="auto"/>
        <w:rPr>
          <w:rFonts w:ascii="Times New Roman" w:eastAsia="Times New Roman" w:hAnsi="Times New Roman" w:cs="Times New Roman"/>
          <w:sz w:val="24"/>
          <w:szCs w:val="24"/>
        </w:rPr>
      </w:pPr>
    </w:p>
    <w:p w14:paraId="62173B6B" w14:textId="77777777" w:rsidR="00122198" w:rsidRDefault="00122198">
      <w:pPr>
        <w:spacing w:line="480" w:lineRule="auto"/>
        <w:rPr>
          <w:rFonts w:ascii="Times New Roman" w:eastAsia="Times New Roman" w:hAnsi="Times New Roman" w:cs="Times New Roman"/>
          <w:sz w:val="24"/>
          <w:szCs w:val="24"/>
        </w:rPr>
      </w:pPr>
    </w:p>
    <w:p w14:paraId="00000038" w14:textId="1FA0422B"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Bibliography</w:t>
      </w:r>
    </w:p>
    <w:p w14:paraId="00000039"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Belshaw, Christopher. “Asymmetry and Non-Existence.” </w:t>
      </w:r>
      <w:r>
        <w:rPr>
          <w:rFonts w:ascii="Times New Roman" w:eastAsia="Times New Roman" w:hAnsi="Times New Roman" w:cs="Times New Roman"/>
          <w:i/>
          <w:sz w:val="24"/>
          <w:szCs w:val="24"/>
        </w:rPr>
        <w:t>Philosophical Studies 70</w:t>
      </w:r>
      <w:r>
        <w:rPr>
          <w:rFonts w:ascii="Times New Roman" w:eastAsia="Times New Roman" w:hAnsi="Times New Roman" w:cs="Times New Roman"/>
          <w:sz w:val="24"/>
          <w:szCs w:val="24"/>
        </w:rPr>
        <w:t>, no. 1 (1993):</w:t>
      </w:r>
    </w:p>
    <w:p w14:paraId="0000003A"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116.</w:t>
      </w:r>
    </w:p>
    <w:p w14:paraId="0000003B"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Bradley, Ben. </w:t>
      </w:r>
      <w:r>
        <w:rPr>
          <w:rFonts w:ascii="Times New Roman" w:eastAsia="Times New Roman" w:hAnsi="Times New Roman" w:cs="Times New Roman"/>
          <w:i/>
          <w:sz w:val="24"/>
          <w:szCs w:val="24"/>
        </w:rPr>
        <w:t>Well-Being and Death</w:t>
      </w:r>
      <w:r>
        <w:rPr>
          <w:rFonts w:ascii="Times New Roman" w:eastAsia="Times New Roman" w:hAnsi="Times New Roman" w:cs="Times New Roman"/>
          <w:sz w:val="24"/>
          <w:szCs w:val="24"/>
        </w:rPr>
        <w:t>. New York: Oxford University Press, 2009.</w:t>
      </w:r>
    </w:p>
    <w:p w14:paraId="0000003C"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Brueckner, Anthony and John Martin Fischer. “Why is Death Bad?”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w:t>
      </w:r>
      <w:r>
        <w:rPr>
          <w:rFonts w:ascii="Times New Roman" w:eastAsia="Times New Roman" w:hAnsi="Times New Roman" w:cs="Times New Roman"/>
          <w:sz w:val="24"/>
          <w:szCs w:val="24"/>
        </w:rPr>
        <w:t>,</w:t>
      </w:r>
    </w:p>
    <w:p w14:paraId="0000003D"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2 (1986): 213–223.</w:t>
      </w:r>
    </w:p>
    <w:p w14:paraId="0000003E" w14:textId="77777777" w:rsidR="00A14768" w:rsidRDefault="002A5950">
      <w:pPr>
        <w:pBdr>
          <w:left w:val="none" w:sz="0" w:space="6" w:color="auto"/>
        </w:pBdr>
        <w:shd w:val="clear" w:color="auto" w:fill="FCFCFC"/>
        <w:spacing w:after="12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Deng, Natalja. “How A-theoretic deprivationists should respond to Lucretius.” </w:t>
      </w:r>
      <w:r>
        <w:rPr>
          <w:rFonts w:ascii="Times New Roman" w:eastAsia="Times New Roman" w:hAnsi="Times New Roman" w:cs="Times New Roman"/>
          <w:i/>
          <w:sz w:val="24"/>
          <w:szCs w:val="24"/>
        </w:rPr>
        <w:t>Journal of</w:t>
      </w:r>
    </w:p>
    <w:p w14:paraId="0000003F" w14:textId="77777777" w:rsidR="00A14768" w:rsidRDefault="002A5950">
      <w:pPr>
        <w:pBdr>
          <w:left w:val="none" w:sz="0" w:space="6" w:color="auto"/>
        </w:pBdr>
        <w:shd w:val="clear" w:color="auto" w:fill="FCFCFC"/>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American Philosophical Association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no. 3 (2015): 417–432.</w:t>
      </w:r>
    </w:p>
    <w:p w14:paraId="00000040" w14:textId="77777777" w:rsidR="00A14768" w:rsidRDefault="002A5950">
      <w:pPr>
        <w:pBdr>
          <w:left w:val="none" w:sz="0" w:space="6" w:color="auto"/>
        </w:pBdr>
        <w:shd w:val="clear" w:color="auto" w:fill="FCFCFC"/>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Fred. “Some Puzzles About the Evil of Death.” </w:t>
      </w:r>
      <w:r>
        <w:rPr>
          <w:rFonts w:ascii="Times New Roman" w:eastAsia="Times New Roman" w:hAnsi="Times New Roman" w:cs="Times New Roman"/>
          <w:i/>
          <w:sz w:val="24"/>
          <w:szCs w:val="24"/>
        </w:rPr>
        <w:t>The Philosophical Review 100</w:t>
      </w:r>
      <w:r>
        <w:rPr>
          <w:rFonts w:ascii="Times New Roman" w:eastAsia="Times New Roman" w:hAnsi="Times New Roman" w:cs="Times New Roman"/>
          <w:sz w:val="24"/>
          <w:szCs w:val="24"/>
        </w:rPr>
        <w:t>, no. 2</w:t>
      </w:r>
    </w:p>
    <w:p w14:paraId="00000041" w14:textId="77777777" w:rsidR="00A14768" w:rsidRDefault="002A5950">
      <w:pPr>
        <w:pBdr>
          <w:left w:val="none" w:sz="0" w:space="6" w:color="auto"/>
        </w:pBdr>
        <w:shd w:val="clear" w:color="auto" w:fill="FCFCFC"/>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(1991): 205–227.</w:t>
      </w:r>
    </w:p>
    <w:p w14:paraId="00000042" w14:textId="77777777" w:rsidR="00A14768" w:rsidRDefault="002A595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Foddy, Bennett. “In Defense of a Temporal Account of Harm and Benefit.” </w:t>
      </w:r>
      <w:r>
        <w:rPr>
          <w:rFonts w:ascii="Times New Roman" w:eastAsia="Times New Roman" w:hAnsi="Times New Roman" w:cs="Times New Roman"/>
          <w:i/>
          <w:sz w:val="24"/>
          <w:szCs w:val="24"/>
        </w:rPr>
        <w:t>American</w:t>
      </w:r>
    </w:p>
    <w:p w14:paraId="00000043"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Philosophical Quarterly 51</w:t>
      </w:r>
      <w:r>
        <w:rPr>
          <w:rFonts w:ascii="Times New Roman" w:eastAsia="Times New Roman" w:hAnsi="Times New Roman" w:cs="Times New Roman"/>
          <w:sz w:val="24"/>
          <w:szCs w:val="24"/>
        </w:rPr>
        <w:t xml:space="preserve"> no. 2 (2014): 155</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165.</w:t>
      </w:r>
    </w:p>
    <w:p w14:paraId="00000044"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Johansson, Jens. “Past and Future Nonexistence.” </w:t>
      </w:r>
      <w:r>
        <w:rPr>
          <w:rFonts w:ascii="Times New Roman" w:eastAsia="Times New Roman" w:hAnsi="Times New Roman" w:cs="Times New Roman"/>
          <w:i/>
          <w:sz w:val="24"/>
          <w:szCs w:val="24"/>
        </w:rPr>
        <w:t>The Journal of Ethics 17</w:t>
      </w:r>
      <w:r>
        <w:rPr>
          <w:rFonts w:ascii="Times New Roman" w:eastAsia="Times New Roman" w:hAnsi="Times New Roman" w:cs="Times New Roman"/>
          <w:sz w:val="24"/>
          <w:szCs w:val="24"/>
        </w:rPr>
        <w:t>, no. 1/2 (2013):</w:t>
      </w:r>
    </w:p>
    <w:p w14:paraId="00000045"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51–64.</w:t>
      </w:r>
    </w:p>
    <w:p w14:paraId="00000046"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Lucretian Puzzle and the Nature of Time.” </w:t>
      </w:r>
      <w:r>
        <w:rPr>
          <w:rFonts w:ascii="Times New Roman" w:eastAsia="Times New Roman" w:hAnsi="Times New Roman" w:cs="Times New Roman"/>
          <w:i/>
          <w:sz w:val="24"/>
          <w:szCs w:val="24"/>
        </w:rPr>
        <w:t>The Journal of Ethics 21</w:t>
      </w:r>
      <w:r>
        <w:rPr>
          <w:rFonts w:ascii="Times New Roman" w:eastAsia="Times New Roman" w:hAnsi="Times New Roman" w:cs="Times New Roman"/>
          <w:sz w:val="24"/>
          <w:szCs w:val="24"/>
        </w:rPr>
        <w:t xml:space="preserve"> no. 3 (2017):</w:t>
      </w:r>
    </w:p>
    <w:p w14:paraId="00000047"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250.</w:t>
      </w:r>
    </w:p>
    <w:p w14:paraId="00000048"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Johansson, Jens and Olle Risberg. “The Preemption Problem.” </w:t>
      </w:r>
      <w:r>
        <w:rPr>
          <w:rFonts w:ascii="Times New Roman" w:eastAsia="Times New Roman" w:hAnsi="Times New Roman" w:cs="Times New Roman"/>
          <w:i/>
          <w:sz w:val="24"/>
          <w:szCs w:val="24"/>
        </w:rPr>
        <w:t>Philosophical Studies 176</w:t>
      </w:r>
      <w:r>
        <w:rPr>
          <w:rFonts w:ascii="Times New Roman" w:eastAsia="Times New Roman" w:hAnsi="Times New Roman" w:cs="Times New Roman"/>
          <w:sz w:val="24"/>
          <w:szCs w:val="24"/>
        </w:rPr>
        <w:t xml:space="preserve"> (2019):</w:t>
      </w:r>
    </w:p>
    <w:p w14:paraId="00000049"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365.</w:t>
      </w:r>
    </w:p>
    <w:p w14:paraId="0000004A"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Kamm, F. M. </w:t>
      </w:r>
      <w:r>
        <w:rPr>
          <w:rFonts w:ascii="Times New Roman" w:eastAsia="Times New Roman" w:hAnsi="Times New Roman" w:cs="Times New Roman"/>
          <w:i/>
          <w:sz w:val="24"/>
          <w:szCs w:val="24"/>
        </w:rPr>
        <w:t>Morality, Mortality Volume I: Death and Whom to Save From It</w:t>
      </w:r>
      <w:r>
        <w:rPr>
          <w:rFonts w:ascii="Times New Roman" w:eastAsia="Times New Roman" w:hAnsi="Times New Roman" w:cs="Times New Roman"/>
          <w:sz w:val="24"/>
          <w:szCs w:val="24"/>
        </w:rPr>
        <w:t>. New York:</w:t>
      </w:r>
    </w:p>
    <w:p w14:paraId="0000004B" w14:textId="77777777" w:rsidR="00A14768" w:rsidRDefault="002A595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Oxford University Press, 1993.</w:t>
      </w:r>
    </w:p>
    <w:p w14:paraId="0000004C"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All Over</w:t>
      </w:r>
      <w:r>
        <w:rPr>
          <w:rFonts w:ascii="Times New Roman" w:eastAsia="Times New Roman" w:hAnsi="Times New Roman" w:cs="Times New Roman"/>
          <w:sz w:val="24"/>
          <w:szCs w:val="24"/>
        </w:rPr>
        <w:t>. New York: Oxford University Press, 2020.</w:t>
      </w:r>
    </w:p>
    <w:p w14:paraId="0000004D"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Kaufman, Frederik. </w:t>
      </w:r>
      <w:r>
        <w:rPr>
          <w:rFonts w:ascii="Times New Roman" w:eastAsia="Times New Roman" w:hAnsi="Times New Roman" w:cs="Times New Roman"/>
          <w:sz w:val="24"/>
          <w:szCs w:val="24"/>
          <w:highlight w:val="white"/>
        </w:rPr>
        <w:t xml:space="preserve">“Pre-Vital and Post-Mortem Non-Existence.” </w:t>
      </w:r>
      <w:r>
        <w:rPr>
          <w:rFonts w:ascii="Times New Roman" w:eastAsia="Times New Roman" w:hAnsi="Times New Roman" w:cs="Times New Roman"/>
          <w:i/>
          <w:sz w:val="24"/>
          <w:szCs w:val="24"/>
          <w:highlight w:val="white"/>
        </w:rPr>
        <w:t>American Philosophical</w:t>
      </w:r>
    </w:p>
    <w:p w14:paraId="0000004E" w14:textId="77777777" w:rsidR="00A14768" w:rsidRDefault="002A5950">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i/>
          <w:sz w:val="24"/>
          <w:szCs w:val="24"/>
          <w:highlight w:val="white"/>
        </w:rPr>
        <w:lastRenderedPageBreak/>
        <w:t>Quarterly 36</w:t>
      </w:r>
      <w:r>
        <w:rPr>
          <w:rFonts w:ascii="Times New Roman" w:eastAsia="Times New Roman" w:hAnsi="Times New Roman" w:cs="Times New Roman"/>
          <w:sz w:val="24"/>
          <w:szCs w:val="24"/>
          <w:highlight w:val="white"/>
        </w:rPr>
        <w:t>, no. 1 (1999): 1–19.</w:t>
      </w:r>
    </w:p>
    <w:p w14:paraId="0000004F" w14:textId="77777777" w:rsidR="00A14768" w:rsidRDefault="002A5950">
      <w:pPr>
        <w:spacing w:line="480" w:lineRule="auto"/>
        <w:rPr>
          <w:rFonts w:ascii="Times New Roman" w:eastAsia="Times New Roman" w:hAnsi="Times New Roman" w:cs="Times New Roman"/>
          <w:i/>
          <w:sz w:val="24"/>
          <w:szCs w:val="24"/>
          <w:shd w:val="clear" w:color="auto" w:fill="FCFCFC"/>
        </w:rPr>
      </w:pPr>
      <w:r>
        <w:rPr>
          <w:rFonts w:ascii="Times New Roman" w:eastAsia="Times New Roman" w:hAnsi="Times New Roman" w:cs="Times New Roman"/>
          <w:sz w:val="24"/>
          <w:szCs w:val="24"/>
          <w:shd w:val="clear" w:color="auto" w:fill="FCFCFC"/>
        </w:rPr>
        <w:t xml:space="preserve">Klocksiem, </w:t>
      </w:r>
      <w:r>
        <w:rPr>
          <w:rFonts w:ascii="Times New Roman" w:eastAsia="Times New Roman" w:hAnsi="Times New Roman" w:cs="Times New Roman"/>
          <w:sz w:val="24"/>
          <w:szCs w:val="24"/>
        </w:rPr>
        <w:t>Justin.</w:t>
      </w:r>
      <w:r>
        <w:rPr>
          <w:rFonts w:ascii="Times New Roman" w:eastAsia="Times New Roman" w:hAnsi="Times New Roman" w:cs="Times New Roman"/>
          <w:sz w:val="24"/>
          <w:szCs w:val="24"/>
          <w:shd w:val="clear" w:color="auto" w:fill="FCFCFC"/>
        </w:rPr>
        <w:t xml:space="preserve"> “A defense of the counterfactual comparative account of harm.” </w:t>
      </w:r>
      <w:r>
        <w:rPr>
          <w:rFonts w:ascii="Times New Roman" w:eastAsia="Times New Roman" w:hAnsi="Times New Roman" w:cs="Times New Roman"/>
          <w:i/>
          <w:sz w:val="24"/>
          <w:szCs w:val="24"/>
          <w:shd w:val="clear" w:color="auto" w:fill="FCFCFC"/>
        </w:rPr>
        <w:t>American</w:t>
      </w:r>
    </w:p>
    <w:p w14:paraId="00000050"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FCFCFC"/>
        </w:rPr>
        <w:t>Philosophical Quarterly</w:t>
      </w:r>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49</w:t>
      </w:r>
      <w:r>
        <w:rPr>
          <w:rFonts w:ascii="Times New Roman" w:eastAsia="Times New Roman" w:hAnsi="Times New Roman" w:cs="Times New Roman"/>
          <w:sz w:val="24"/>
          <w:szCs w:val="24"/>
          <w:shd w:val="clear" w:color="auto" w:fill="FCFCFC"/>
        </w:rPr>
        <w:t>, no. 4 (2012): 285–300.</w:t>
      </w:r>
    </w:p>
    <w:p w14:paraId="00000051"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Lucretius. </w:t>
      </w:r>
      <w:r>
        <w:rPr>
          <w:rFonts w:ascii="Times New Roman" w:eastAsia="Times New Roman" w:hAnsi="Times New Roman" w:cs="Times New Roman"/>
          <w:i/>
          <w:sz w:val="24"/>
          <w:szCs w:val="24"/>
          <w:highlight w:val="white"/>
        </w:rPr>
        <w:t>On the Nature of the Universe</w:t>
      </w:r>
      <w:r>
        <w:rPr>
          <w:rFonts w:ascii="Times New Roman" w:eastAsia="Times New Roman" w:hAnsi="Times New Roman" w:cs="Times New Roman"/>
          <w:sz w:val="24"/>
          <w:szCs w:val="24"/>
          <w:highlight w:val="white"/>
        </w:rPr>
        <w:t>. Translated by R.E. Latham. Harmondsworth:</w:t>
      </w:r>
    </w:p>
    <w:p w14:paraId="00000052"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Penguin, 1951.</w:t>
      </w:r>
    </w:p>
    <w:p w14:paraId="00000053"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McMahan, Jeff. </w:t>
      </w:r>
      <w:r>
        <w:rPr>
          <w:rFonts w:ascii="Times New Roman" w:eastAsia="Times New Roman" w:hAnsi="Times New Roman" w:cs="Times New Roman"/>
          <w:i/>
          <w:sz w:val="24"/>
          <w:szCs w:val="24"/>
        </w:rPr>
        <w:t>The Ethics of Killing: Problems at the Margins of Life</w:t>
      </w:r>
      <w:r>
        <w:rPr>
          <w:rFonts w:ascii="Times New Roman" w:eastAsia="Times New Roman" w:hAnsi="Times New Roman" w:cs="Times New Roman"/>
          <w:sz w:val="24"/>
          <w:szCs w:val="24"/>
        </w:rPr>
        <w:t>. New York: Oxford</w:t>
      </w:r>
    </w:p>
    <w:p w14:paraId="00000054"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Press, 2002.</w:t>
      </w:r>
    </w:p>
    <w:p w14:paraId="00000055"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Nagel, Thomas. “Death.” </w:t>
      </w:r>
      <w:r>
        <w:rPr>
          <w:rFonts w:ascii="Times New Roman" w:eastAsia="Times New Roman" w:hAnsi="Times New Roman" w:cs="Times New Roman"/>
          <w:i/>
          <w:sz w:val="24"/>
          <w:szCs w:val="24"/>
        </w:rPr>
        <w:t>Noûs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no. 1 (1970): 73</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80. </w:t>
      </w:r>
    </w:p>
    <w:p w14:paraId="00000056"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Parfit, Derek. </w:t>
      </w:r>
      <w:r>
        <w:rPr>
          <w:rFonts w:ascii="Times New Roman" w:eastAsia="Times New Roman" w:hAnsi="Times New Roman" w:cs="Times New Roman"/>
          <w:i/>
          <w:sz w:val="24"/>
          <w:szCs w:val="24"/>
        </w:rPr>
        <w:t>Reasons and Persons</w:t>
      </w:r>
      <w:r>
        <w:rPr>
          <w:rFonts w:ascii="Times New Roman" w:eastAsia="Times New Roman" w:hAnsi="Times New Roman" w:cs="Times New Roman"/>
          <w:sz w:val="24"/>
          <w:szCs w:val="24"/>
        </w:rPr>
        <w:t>. New York: Oxford University Press, 1984.</w:t>
      </w:r>
    </w:p>
    <w:p w14:paraId="00000057"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“Equality and Priority.” </w:t>
      </w:r>
      <w:r>
        <w:rPr>
          <w:rFonts w:ascii="Times New Roman" w:eastAsia="Times New Roman" w:hAnsi="Times New Roman" w:cs="Times New Roman"/>
          <w:i/>
          <w:sz w:val="24"/>
          <w:szCs w:val="24"/>
        </w:rPr>
        <w:t>Ratio X</w:t>
      </w:r>
      <w:r>
        <w:rPr>
          <w:rFonts w:ascii="Times New Roman" w:eastAsia="Times New Roman" w:hAnsi="Times New Roman" w:cs="Times New Roman"/>
          <w:sz w:val="24"/>
          <w:szCs w:val="24"/>
        </w:rPr>
        <w:t>, no. 3 (1997): 202–221.</w:t>
      </w:r>
    </w:p>
    <w:p w14:paraId="00000058"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Rabenberg, Michael. “Harm.” </w:t>
      </w:r>
      <w:r>
        <w:rPr>
          <w:rFonts w:ascii="Times New Roman" w:eastAsia="Times New Roman" w:hAnsi="Times New Roman" w:cs="Times New Roman"/>
          <w:i/>
          <w:sz w:val="24"/>
          <w:szCs w:val="24"/>
        </w:rPr>
        <w:t>Journal of Ethics and Social Philosophy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no. 3 (2015): 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32.</w:t>
      </w:r>
    </w:p>
    <w:p w14:paraId="00000059" w14:textId="77777777" w:rsidR="00A14768" w:rsidRDefault="002A5950">
      <w:pPr>
        <w:spacing w:line="480" w:lineRule="auto"/>
        <w:rPr>
          <w:rFonts w:ascii="Times New Roman" w:eastAsia="Times New Roman" w:hAnsi="Times New Roman" w:cs="Times New Roman"/>
          <w:i/>
          <w:sz w:val="24"/>
          <w:szCs w:val="24"/>
          <w:shd w:val="clear" w:color="auto" w:fill="FCFCFC"/>
        </w:rPr>
      </w:pPr>
      <w:r>
        <w:rPr>
          <w:rFonts w:ascii="Times New Roman" w:eastAsia="Times New Roman" w:hAnsi="Times New Roman" w:cs="Times New Roman"/>
          <w:sz w:val="24"/>
          <w:szCs w:val="24"/>
          <w:shd w:val="clear" w:color="auto" w:fill="FCFCFC"/>
        </w:rPr>
        <w:t xml:space="preserve">Robson, Jon. “A-time to die: A growing block account of the evil of death.” </w:t>
      </w:r>
      <w:r>
        <w:rPr>
          <w:rFonts w:ascii="Times New Roman" w:eastAsia="Times New Roman" w:hAnsi="Times New Roman" w:cs="Times New Roman"/>
          <w:i/>
          <w:sz w:val="24"/>
          <w:szCs w:val="24"/>
          <w:shd w:val="clear" w:color="auto" w:fill="FCFCFC"/>
        </w:rPr>
        <w:t>Philosophia</w:t>
      </w:r>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42</w:t>
      </w:r>
    </w:p>
    <w:p w14:paraId="0000005A" w14:textId="77777777" w:rsidR="00A14768" w:rsidRDefault="002A5950">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shd w:val="clear" w:color="auto" w:fill="FCFCFC"/>
        </w:rPr>
        <w:t>(2014): 911–925.</w:t>
      </w:r>
    </w:p>
    <w:p w14:paraId="0000005B" w14:textId="77777777" w:rsidR="00A14768" w:rsidRDefault="002A595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Smuts, Aaron. “Less Good But Not Bad: In Defense of Epicureanism About Death.” </w:t>
      </w:r>
      <w:r>
        <w:rPr>
          <w:rFonts w:ascii="Times New Roman" w:eastAsia="Times New Roman" w:hAnsi="Times New Roman" w:cs="Times New Roman"/>
          <w:i/>
          <w:sz w:val="24"/>
          <w:szCs w:val="24"/>
          <w:highlight w:val="white"/>
        </w:rPr>
        <w:t>Pacific</w:t>
      </w:r>
    </w:p>
    <w:p w14:paraId="0000005C" w14:textId="77777777" w:rsidR="00A14768" w:rsidRDefault="002A5950">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i/>
          <w:sz w:val="24"/>
          <w:szCs w:val="24"/>
          <w:highlight w:val="white"/>
        </w:rPr>
        <w:t>Philosophical Quarterly 93</w:t>
      </w:r>
      <w:r>
        <w:rPr>
          <w:rFonts w:ascii="Times New Roman" w:eastAsia="Times New Roman" w:hAnsi="Times New Roman" w:cs="Times New Roman"/>
          <w:sz w:val="24"/>
          <w:szCs w:val="24"/>
          <w:highlight w:val="white"/>
        </w:rPr>
        <w:t>, no. 2 (2012): 197– 227.</w:t>
      </w:r>
    </w:p>
    <w:p w14:paraId="0000005D"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Timmerman, Travis. “Avoiding the Asymmetry Problem.”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XXXI </w:t>
      </w:r>
      <w:r>
        <w:rPr>
          <w:rFonts w:ascii="Times New Roman" w:eastAsia="Times New Roman" w:hAnsi="Times New Roman" w:cs="Times New Roman"/>
          <w:sz w:val="24"/>
          <w:szCs w:val="24"/>
        </w:rPr>
        <w:t>(2018): 88</w:t>
      </w:r>
      <w:r>
        <w:rPr>
          <w:rFonts w:ascii="Times New Roman" w:eastAsia="Times New Roman" w:hAnsi="Times New Roman" w:cs="Times New Roman"/>
          <w:sz w:val="24"/>
          <w:szCs w:val="24"/>
          <w:highlight w:val="white"/>
        </w:rPr>
        <w:t>–102.</w:t>
      </w:r>
    </w:p>
    <w:sectPr w:rsidR="00A1476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6DB1" w14:textId="77777777" w:rsidR="00AC6AFB" w:rsidRDefault="00AC6AFB">
      <w:pPr>
        <w:spacing w:line="240" w:lineRule="auto"/>
      </w:pPr>
      <w:r>
        <w:separator/>
      </w:r>
    </w:p>
  </w:endnote>
  <w:endnote w:type="continuationSeparator" w:id="0">
    <w:p w14:paraId="0D0C4E6A" w14:textId="77777777" w:rsidR="00AC6AFB" w:rsidRDefault="00AC6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A14768" w:rsidRDefault="00A14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42F4" w14:textId="77777777" w:rsidR="00AC6AFB" w:rsidRDefault="00AC6AFB">
      <w:pPr>
        <w:spacing w:line="240" w:lineRule="auto"/>
      </w:pPr>
      <w:r>
        <w:separator/>
      </w:r>
    </w:p>
  </w:footnote>
  <w:footnote w:type="continuationSeparator" w:id="0">
    <w:p w14:paraId="53E67D98" w14:textId="77777777" w:rsidR="00AC6AFB" w:rsidRDefault="00AC6AFB">
      <w:pPr>
        <w:spacing w:line="240" w:lineRule="auto"/>
      </w:pPr>
      <w:r>
        <w:continuationSeparator/>
      </w:r>
    </w:p>
  </w:footnote>
  <w:footnote w:id="1">
    <w:p w14:paraId="0000005E"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some of the classic works defending deprivationism, see Thomas Nagel, “Death,” </w:t>
      </w:r>
      <w:r>
        <w:rPr>
          <w:rFonts w:ascii="Times New Roman" w:eastAsia="Times New Roman" w:hAnsi="Times New Roman" w:cs="Times New Roman"/>
          <w:i/>
          <w:sz w:val="20"/>
          <w:szCs w:val="20"/>
        </w:rPr>
        <w:t>Noûs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sz w:val="20"/>
          <w:szCs w:val="20"/>
        </w:rPr>
        <w:t>, no. 1 (1970): 73</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80; Anthony Brueckner and John Martin Fischer, “Why is Death Bad?” </w:t>
      </w:r>
      <w:r>
        <w:rPr>
          <w:rFonts w:ascii="Times New Roman" w:eastAsia="Times New Roman" w:hAnsi="Times New Roman" w:cs="Times New Roman"/>
          <w:i/>
          <w:sz w:val="20"/>
          <w:szCs w:val="20"/>
        </w:rPr>
        <w:t>Philosophical Studies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50</w:t>
      </w:r>
      <w:r>
        <w:rPr>
          <w:rFonts w:ascii="Times New Roman" w:eastAsia="Times New Roman" w:hAnsi="Times New Roman" w:cs="Times New Roman"/>
          <w:sz w:val="20"/>
          <w:szCs w:val="20"/>
        </w:rPr>
        <w:t xml:space="preserve">, no. 2 (1986): 213–223; Fred Feldman, “Some Puzzles About the Evil of Death,” </w:t>
      </w:r>
      <w:r>
        <w:rPr>
          <w:rFonts w:ascii="Times New Roman" w:eastAsia="Times New Roman" w:hAnsi="Times New Roman" w:cs="Times New Roman"/>
          <w:i/>
          <w:sz w:val="20"/>
          <w:szCs w:val="20"/>
        </w:rPr>
        <w:t>The Philosophical Review 100</w:t>
      </w:r>
      <w:r>
        <w:rPr>
          <w:rFonts w:ascii="Times New Roman" w:eastAsia="Times New Roman" w:hAnsi="Times New Roman" w:cs="Times New Roman"/>
          <w:sz w:val="20"/>
          <w:szCs w:val="20"/>
        </w:rPr>
        <w:t xml:space="preserve">, no. 2 (1991) 205–227; Ben Bradley, </w:t>
      </w:r>
      <w:r>
        <w:rPr>
          <w:rFonts w:ascii="Times New Roman" w:eastAsia="Times New Roman" w:hAnsi="Times New Roman" w:cs="Times New Roman"/>
          <w:i/>
          <w:sz w:val="20"/>
          <w:szCs w:val="20"/>
        </w:rPr>
        <w:t>Well-Being and Death</w:t>
      </w:r>
      <w:r>
        <w:rPr>
          <w:rFonts w:ascii="Times New Roman" w:eastAsia="Times New Roman" w:hAnsi="Times New Roman" w:cs="Times New Roman"/>
          <w:sz w:val="20"/>
          <w:szCs w:val="20"/>
        </w:rPr>
        <w:t xml:space="preserve"> (New York: Oxford University Press, 2009). Epicureans, those who deny that death is bad, may argue instead for a different forward looking account, such as a causal account on which a person’s death is not bad since it does not cause them to suffer. For instance, see </w:t>
      </w:r>
      <w:r>
        <w:rPr>
          <w:rFonts w:ascii="Times New Roman" w:eastAsia="Times New Roman" w:hAnsi="Times New Roman" w:cs="Times New Roman"/>
          <w:sz w:val="20"/>
          <w:szCs w:val="20"/>
          <w:highlight w:val="white"/>
        </w:rPr>
        <w:t xml:space="preserve">Aaron Smuts, “Less Good But Not Bad: In Defense of Epicureanism About Death,” </w:t>
      </w:r>
      <w:r>
        <w:rPr>
          <w:rFonts w:ascii="Times New Roman" w:eastAsia="Times New Roman" w:hAnsi="Times New Roman" w:cs="Times New Roman"/>
          <w:i/>
          <w:sz w:val="20"/>
          <w:szCs w:val="20"/>
          <w:highlight w:val="white"/>
        </w:rPr>
        <w:t>Pacific Philosophical Quarterly 93</w:t>
      </w:r>
      <w:r>
        <w:rPr>
          <w:rFonts w:ascii="Times New Roman" w:eastAsia="Times New Roman" w:hAnsi="Times New Roman" w:cs="Times New Roman"/>
          <w:sz w:val="20"/>
          <w:szCs w:val="20"/>
          <w:highlight w:val="white"/>
        </w:rPr>
        <w:t xml:space="preserve"> (2012): 202</w:t>
      </w:r>
      <w:r>
        <w:rPr>
          <w:rFonts w:ascii="Times New Roman" w:eastAsia="Times New Roman" w:hAnsi="Times New Roman" w:cs="Times New Roman"/>
          <w:sz w:val="20"/>
          <w:szCs w:val="20"/>
        </w:rPr>
        <w:t>. Alternatively, Epicureans might deny that there is any interesting account of extrinsic value at all, forward looking or not. On this strategy, for the regulation of our actions and attitudes, all that matters is intrinsic value.</w:t>
      </w:r>
    </w:p>
  </w:footnote>
  <w:footnote w:id="2">
    <w:p w14:paraId="00000066"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Lucretius’s exposition, see </w:t>
      </w:r>
      <w:r>
        <w:rPr>
          <w:rFonts w:ascii="Times New Roman" w:eastAsia="Times New Roman" w:hAnsi="Times New Roman" w:cs="Times New Roman"/>
          <w:sz w:val="20"/>
          <w:szCs w:val="20"/>
          <w:highlight w:val="white"/>
        </w:rPr>
        <w:t xml:space="preserve">Lucretius. </w:t>
      </w:r>
      <w:r>
        <w:rPr>
          <w:rFonts w:ascii="Times New Roman" w:eastAsia="Times New Roman" w:hAnsi="Times New Roman" w:cs="Times New Roman"/>
          <w:i/>
          <w:sz w:val="20"/>
          <w:szCs w:val="20"/>
          <w:highlight w:val="white"/>
        </w:rPr>
        <w:t>On the Nature of the Universe</w:t>
      </w:r>
      <w:r>
        <w:rPr>
          <w:rFonts w:ascii="Times New Roman" w:eastAsia="Times New Roman" w:hAnsi="Times New Roman" w:cs="Times New Roman"/>
          <w:sz w:val="20"/>
          <w:szCs w:val="20"/>
          <w:highlight w:val="white"/>
        </w:rPr>
        <w:t>, translated by R.E. Latham (Harmondsworth: Penguin, 1951): 125. For some attempts to resolve the symmetry problem, see</w:t>
      </w:r>
      <w:r>
        <w:rPr>
          <w:rFonts w:ascii="Times New Roman" w:eastAsia="Times New Roman" w:hAnsi="Times New Roman" w:cs="Times New Roman"/>
          <w:sz w:val="20"/>
          <w:szCs w:val="20"/>
        </w:rPr>
        <w:t xml:space="preserve"> Christopher Belshaw, “Asymmetry and Non-Existence,” </w:t>
      </w:r>
      <w:r>
        <w:rPr>
          <w:rFonts w:ascii="Times New Roman" w:eastAsia="Times New Roman" w:hAnsi="Times New Roman" w:cs="Times New Roman"/>
          <w:i/>
          <w:sz w:val="20"/>
          <w:szCs w:val="20"/>
        </w:rPr>
        <w:t>Philosophical Studies 70</w:t>
      </w:r>
      <w:r>
        <w:rPr>
          <w:rFonts w:ascii="Times New Roman" w:eastAsia="Times New Roman" w:hAnsi="Times New Roman" w:cs="Times New Roman"/>
          <w:sz w:val="20"/>
          <w:szCs w:val="20"/>
        </w:rPr>
        <w:t>, no. 1 (1993): 103</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116; Frederik Kaufman, </w:t>
      </w:r>
      <w:r>
        <w:rPr>
          <w:rFonts w:ascii="Times New Roman" w:eastAsia="Times New Roman" w:hAnsi="Times New Roman" w:cs="Times New Roman"/>
          <w:sz w:val="20"/>
          <w:szCs w:val="20"/>
          <w:highlight w:val="white"/>
        </w:rPr>
        <w:t xml:space="preserve">“Pre-Vital and Post-Mortem Non-Existence,” </w:t>
      </w:r>
      <w:r>
        <w:rPr>
          <w:rFonts w:ascii="Times New Roman" w:eastAsia="Times New Roman" w:hAnsi="Times New Roman" w:cs="Times New Roman"/>
          <w:i/>
          <w:sz w:val="20"/>
          <w:szCs w:val="20"/>
          <w:highlight w:val="white"/>
        </w:rPr>
        <w:t>American Philosophical</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Quarterly 36</w:t>
      </w:r>
      <w:r>
        <w:rPr>
          <w:rFonts w:ascii="Times New Roman" w:eastAsia="Times New Roman" w:hAnsi="Times New Roman" w:cs="Times New Roman"/>
          <w:sz w:val="20"/>
          <w:szCs w:val="20"/>
          <w:highlight w:val="white"/>
        </w:rPr>
        <w:t xml:space="preserve">, no. 1 (1999): 1–19; </w:t>
      </w:r>
      <w:r>
        <w:rPr>
          <w:rFonts w:ascii="Times New Roman" w:eastAsia="Times New Roman" w:hAnsi="Times New Roman" w:cs="Times New Roman"/>
          <w:sz w:val="20"/>
          <w:szCs w:val="20"/>
        </w:rPr>
        <w:t xml:space="preserve">Jon </w:t>
      </w:r>
      <w:r>
        <w:rPr>
          <w:rFonts w:ascii="Times New Roman" w:eastAsia="Times New Roman" w:hAnsi="Times New Roman" w:cs="Times New Roman"/>
          <w:sz w:val="20"/>
          <w:szCs w:val="20"/>
          <w:shd w:val="clear" w:color="auto" w:fill="FCFCFC"/>
        </w:rPr>
        <w:t xml:space="preserve">Robson, “A-time to die: A growing block account of the evil of death,” </w:t>
      </w:r>
      <w:r>
        <w:rPr>
          <w:rFonts w:ascii="Times New Roman" w:eastAsia="Times New Roman" w:hAnsi="Times New Roman" w:cs="Times New Roman"/>
          <w:i/>
          <w:sz w:val="20"/>
          <w:szCs w:val="20"/>
          <w:shd w:val="clear" w:color="auto" w:fill="FCFCFC"/>
        </w:rPr>
        <w:t>Philosophia</w:t>
      </w:r>
      <w:r>
        <w:rPr>
          <w:rFonts w:ascii="Times New Roman" w:eastAsia="Times New Roman" w:hAnsi="Times New Roman" w:cs="Times New Roman"/>
          <w:sz w:val="20"/>
          <w:szCs w:val="20"/>
          <w:shd w:val="clear" w:color="auto" w:fill="FCFCFC"/>
        </w:rPr>
        <w:t xml:space="preserve"> </w:t>
      </w:r>
      <w:r>
        <w:rPr>
          <w:rFonts w:ascii="Times New Roman" w:eastAsia="Times New Roman" w:hAnsi="Times New Roman" w:cs="Times New Roman"/>
          <w:i/>
          <w:sz w:val="20"/>
          <w:szCs w:val="20"/>
          <w:shd w:val="clear" w:color="auto" w:fill="FCFCFC"/>
        </w:rPr>
        <w:t xml:space="preserve">42 </w:t>
      </w:r>
      <w:r>
        <w:rPr>
          <w:rFonts w:ascii="Times New Roman" w:eastAsia="Times New Roman" w:hAnsi="Times New Roman" w:cs="Times New Roman"/>
          <w:sz w:val="20"/>
          <w:szCs w:val="20"/>
          <w:shd w:val="clear" w:color="auto" w:fill="FCFCFC"/>
        </w:rPr>
        <w:t xml:space="preserve">(2014): 911–925; </w:t>
      </w:r>
      <w:r>
        <w:rPr>
          <w:rFonts w:ascii="Times New Roman" w:eastAsia="Times New Roman" w:hAnsi="Times New Roman" w:cs="Times New Roman"/>
          <w:sz w:val="20"/>
          <w:szCs w:val="20"/>
        </w:rPr>
        <w:t xml:space="preserve">Natalja Deng, “How A-theoretic deprivationists should respond to Lucretius,” </w:t>
      </w:r>
      <w:r>
        <w:rPr>
          <w:rFonts w:ascii="Times New Roman" w:eastAsia="Times New Roman" w:hAnsi="Times New Roman" w:cs="Times New Roman"/>
          <w:i/>
          <w:sz w:val="20"/>
          <w:szCs w:val="20"/>
        </w:rPr>
        <w:t>Journal of the American Philosophical Association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sz w:val="20"/>
          <w:szCs w:val="20"/>
        </w:rPr>
        <w:t xml:space="preserve">, no. 3 (2015): 417–432; </w:t>
      </w:r>
      <w:r>
        <w:rPr>
          <w:rFonts w:ascii="Times New Roman" w:eastAsia="Times New Roman" w:hAnsi="Times New Roman" w:cs="Times New Roman"/>
          <w:sz w:val="20"/>
          <w:szCs w:val="20"/>
          <w:shd w:val="clear" w:color="auto" w:fill="FCFCFC"/>
        </w:rPr>
        <w:t xml:space="preserve">Travis </w:t>
      </w:r>
      <w:r>
        <w:rPr>
          <w:rFonts w:ascii="Times New Roman" w:eastAsia="Times New Roman" w:hAnsi="Times New Roman" w:cs="Times New Roman"/>
          <w:sz w:val="20"/>
          <w:szCs w:val="20"/>
        </w:rPr>
        <w:t xml:space="preserve">Timmerman, “Avoiding the Asymmetry Problem,” </w:t>
      </w:r>
      <w:r>
        <w:rPr>
          <w:rFonts w:ascii="Times New Roman" w:eastAsia="Times New Roman" w:hAnsi="Times New Roman" w:cs="Times New Roman"/>
          <w:i/>
          <w:sz w:val="20"/>
          <w:szCs w:val="20"/>
        </w:rPr>
        <w:t>Ratio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XXXI </w:t>
      </w:r>
      <w:r>
        <w:rPr>
          <w:rFonts w:ascii="Times New Roman" w:eastAsia="Times New Roman" w:hAnsi="Times New Roman" w:cs="Times New Roman"/>
          <w:sz w:val="20"/>
          <w:szCs w:val="20"/>
        </w:rPr>
        <w:t>(2018): 88</w:t>
      </w:r>
      <w:r>
        <w:rPr>
          <w:rFonts w:ascii="Times New Roman" w:eastAsia="Times New Roman" w:hAnsi="Times New Roman" w:cs="Times New Roman"/>
          <w:sz w:val="20"/>
          <w:szCs w:val="20"/>
          <w:highlight w:val="white"/>
        </w:rPr>
        <w:t xml:space="preserve">–102. For objections to proposed solutions, see Jens </w:t>
      </w:r>
      <w:r>
        <w:rPr>
          <w:rFonts w:ascii="Times New Roman" w:eastAsia="Times New Roman" w:hAnsi="Times New Roman" w:cs="Times New Roman"/>
          <w:sz w:val="20"/>
          <w:szCs w:val="20"/>
        </w:rPr>
        <w:t xml:space="preserve">Johansson, “Past and Future Nonexistence,” </w:t>
      </w:r>
      <w:r>
        <w:rPr>
          <w:rFonts w:ascii="Times New Roman" w:eastAsia="Times New Roman" w:hAnsi="Times New Roman" w:cs="Times New Roman"/>
          <w:i/>
          <w:sz w:val="20"/>
          <w:szCs w:val="20"/>
        </w:rPr>
        <w:t>The Journal of Ethics 17</w:t>
      </w:r>
      <w:r>
        <w:rPr>
          <w:rFonts w:ascii="Times New Roman" w:eastAsia="Times New Roman" w:hAnsi="Times New Roman" w:cs="Times New Roman"/>
          <w:sz w:val="20"/>
          <w:szCs w:val="20"/>
        </w:rPr>
        <w:t xml:space="preserve">, no. 1/2 (2013): 51–64, and “The Lucretian Puzzle and the Nature of Time,” </w:t>
      </w:r>
      <w:r>
        <w:rPr>
          <w:rFonts w:ascii="Times New Roman" w:eastAsia="Times New Roman" w:hAnsi="Times New Roman" w:cs="Times New Roman"/>
          <w:i/>
          <w:sz w:val="20"/>
          <w:szCs w:val="20"/>
        </w:rPr>
        <w:t>The Journal of Ethics 21</w:t>
      </w:r>
      <w:r>
        <w:rPr>
          <w:rFonts w:ascii="Times New Roman" w:eastAsia="Times New Roman" w:hAnsi="Times New Roman" w:cs="Times New Roman"/>
          <w:sz w:val="20"/>
          <w:szCs w:val="20"/>
        </w:rPr>
        <w:t xml:space="preserve"> no. 3 (2017): 239</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250.</w:t>
      </w:r>
    </w:p>
  </w:footnote>
  <w:footnote w:id="3">
    <w:p w14:paraId="00000067"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proposed solutions to the preemption problem, see Ben Bradley, </w:t>
      </w:r>
      <w:r>
        <w:rPr>
          <w:rFonts w:ascii="Times New Roman" w:eastAsia="Times New Roman" w:hAnsi="Times New Roman" w:cs="Times New Roman"/>
          <w:i/>
          <w:sz w:val="20"/>
          <w:szCs w:val="20"/>
        </w:rPr>
        <w:t>Well-Being and Death</w:t>
      </w:r>
      <w:r>
        <w:rPr>
          <w:rFonts w:ascii="Times New Roman" w:eastAsia="Times New Roman" w:hAnsi="Times New Roman" w:cs="Times New Roman"/>
          <w:sz w:val="20"/>
          <w:szCs w:val="20"/>
        </w:rPr>
        <w:t xml:space="preserve"> (New York: Oxford University Press, 2009): 52</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60; Justin </w:t>
      </w:r>
      <w:r>
        <w:rPr>
          <w:rFonts w:ascii="Times New Roman" w:eastAsia="Times New Roman" w:hAnsi="Times New Roman" w:cs="Times New Roman"/>
          <w:sz w:val="20"/>
          <w:szCs w:val="20"/>
          <w:shd w:val="clear" w:color="auto" w:fill="FCFCFC"/>
        </w:rPr>
        <w:t xml:space="preserve">Klocksiem, “A defense of the counterfactual comparative account of harm,” </w:t>
      </w:r>
      <w:r>
        <w:rPr>
          <w:rFonts w:ascii="Times New Roman" w:eastAsia="Times New Roman" w:hAnsi="Times New Roman" w:cs="Times New Roman"/>
          <w:i/>
          <w:sz w:val="20"/>
          <w:szCs w:val="20"/>
          <w:shd w:val="clear" w:color="auto" w:fill="FCFCFC"/>
        </w:rPr>
        <w:t>American Philosophical Quarterly</w:t>
      </w:r>
      <w:r>
        <w:rPr>
          <w:rFonts w:ascii="Times New Roman" w:eastAsia="Times New Roman" w:hAnsi="Times New Roman" w:cs="Times New Roman"/>
          <w:sz w:val="20"/>
          <w:szCs w:val="20"/>
          <w:shd w:val="clear" w:color="auto" w:fill="FCFCFC"/>
        </w:rPr>
        <w:t xml:space="preserve"> </w:t>
      </w:r>
      <w:r>
        <w:rPr>
          <w:rFonts w:ascii="Times New Roman" w:eastAsia="Times New Roman" w:hAnsi="Times New Roman" w:cs="Times New Roman"/>
          <w:i/>
          <w:sz w:val="20"/>
          <w:szCs w:val="20"/>
          <w:shd w:val="clear" w:color="auto" w:fill="FCFCFC"/>
        </w:rPr>
        <w:t>49</w:t>
      </w:r>
      <w:r>
        <w:rPr>
          <w:rFonts w:ascii="Times New Roman" w:eastAsia="Times New Roman" w:hAnsi="Times New Roman" w:cs="Times New Roman"/>
          <w:sz w:val="20"/>
          <w:szCs w:val="20"/>
          <w:shd w:val="clear" w:color="auto" w:fill="FCFCFC"/>
        </w:rPr>
        <w:t>, no. 4 (2012): 285–300.</w:t>
      </w:r>
      <w:r>
        <w:rPr>
          <w:rFonts w:ascii="Times New Roman" w:eastAsia="Times New Roman" w:hAnsi="Times New Roman" w:cs="Times New Roman"/>
          <w:sz w:val="20"/>
          <w:szCs w:val="20"/>
        </w:rPr>
        <w:t xml:space="preserve"> For objections to the proposed solutions, see Jens Johansson and Olle Risberg, “The Preemption Problem,” </w:t>
      </w:r>
      <w:r>
        <w:rPr>
          <w:rFonts w:ascii="Times New Roman" w:eastAsia="Times New Roman" w:hAnsi="Times New Roman" w:cs="Times New Roman"/>
          <w:i/>
          <w:sz w:val="20"/>
          <w:szCs w:val="20"/>
        </w:rPr>
        <w:t>Philosophical Studies 176</w:t>
      </w:r>
      <w:r>
        <w:rPr>
          <w:rFonts w:ascii="Times New Roman" w:eastAsia="Times New Roman" w:hAnsi="Times New Roman" w:cs="Times New Roman"/>
          <w:sz w:val="20"/>
          <w:szCs w:val="20"/>
        </w:rPr>
        <w:t xml:space="preserve"> (2019): 351</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365.</w:t>
      </w:r>
    </w:p>
  </w:footnote>
  <w:footnote w:id="4">
    <w:p w14:paraId="00000068"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There are of course other problems facing those who deny Epicureanism. For instance, there is also the timing problem: if death is bad for the one who dies, </w:t>
      </w:r>
      <w:r>
        <w:rPr>
          <w:rFonts w:ascii="Times New Roman" w:eastAsia="Times New Roman" w:hAnsi="Times New Roman" w:cs="Times New Roman"/>
          <w:i/>
          <w:sz w:val="20"/>
          <w:szCs w:val="20"/>
        </w:rPr>
        <w:t xml:space="preserve">when </w:t>
      </w:r>
      <w:r>
        <w:rPr>
          <w:rFonts w:ascii="Times New Roman" w:eastAsia="Times New Roman" w:hAnsi="Times New Roman" w:cs="Times New Roman"/>
          <w:sz w:val="20"/>
          <w:szCs w:val="20"/>
        </w:rPr>
        <w:t xml:space="preserve">is it bad for them? These problems that face anti-Epicureans, however, will trouble both forward and backward looking accounts of death’s badness alike. </w:t>
      </w:r>
    </w:p>
  </w:footnote>
  <w:footnote w:id="5">
    <w:p w14:paraId="00000069"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Another backward looking consideration—distinct from the one I investigate here—has recently been proposed by Frances Kamm. Death limits how much good </w:t>
      </w:r>
      <w:r>
        <w:rPr>
          <w:rFonts w:ascii="Times New Roman" w:eastAsia="Times New Roman" w:hAnsi="Times New Roman" w:cs="Times New Roman"/>
          <w:i/>
          <w:sz w:val="20"/>
          <w:szCs w:val="20"/>
        </w:rPr>
        <w:t>will have been</w:t>
      </w:r>
      <w:r>
        <w:rPr>
          <w:rFonts w:ascii="Times New Roman" w:eastAsia="Times New Roman" w:hAnsi="Times New Roman" w:cs="Times New Roman"/>
          <w:sz w:val="20"/>
          <w:szCs w:val="20"/>
        </w:rPr>
        <w:t xml:space="preserve"> contained in one’s life, and when one’s life has been less good, one has a greater </w:t>
      </w:r>
      <w:r>
        <w:rPr>
          <w:rFonts w:ascii="Times New Roman" w:eastAsia="Times New Roman" w:hAnsi="Times New Roman" w:cs="Times New Roman"/>
          <w:i/>
          <w:sz w:val="20"/>
          <w:szCs w:val="20"/>
        </w:rPr>
        <w:t xml:space="preserve">need </w:t>
      </w:r>
      <w:r>
        <w:rPr>
          <w:rFonts w:ascii="Times New Roman" w:eastAsia="Times New Roman" w:hAnsi="Times New Roman" w:cs="Times New Roman"/>
          <w:sz w:val="20"/>
          <w:szCs w:val="20"/>
        </w:rPr>
        <w:t xml:space="preserve">for more good life. In general, one might think, death is worse (in one respect) when one’s life has contained less good. Kamm calls this view </w:t>
      </w:r>
      <w:r>
        <w:rPr>
          <w:rFonts w:ascii="Times New Roman" w:eastAsia="Times New Roman" w:hAnsi="Times New Roman" w:cs="Times New Roman"/>
          <w:i/>
          <w:sz w:val="20"/>
          <w:szCs w:val="20"/>
        </w:rPr>
        <w:t xml:space="preserve">Willhavehadism </w:t>
      </w:r>
      <w:r>
        <w:rPr>
          <w:rFonts w:ascii="Times New Roman" w:eastAsia="Times New Roman" w:hAnsi="Times New Roman" w:cs="Times New Roman"/>
          <w:sz w:val="20"/>
          <w:szCs w:val="20"/>
        </w:rPr>
        <w:t xml:space="preserve">or </w:t>
      </w:r>
      <w:r>
        <w:rPr>
          <w:rFonts w:ascii="Times New Roman" w:eastAsia="Times New Roman" w:hAnsi="Times New Roman" w:cs="Times New Roman"/>
          <w:i/>
          <w:sz w:val="20"/>
          <w:szCs w:val="20"/>
        </w:rPr>
        <w:t>Needism</w:t>
      </w:r>
      <w:r>
        <w:rPr>
          <w:rFonts w:ascii="Times New Roman" w:eastAsia="Times New Roman" w:hAnsi="Times New Roman" w:cs="Times New Roman"/>
          <w:sz w:val="20"/>
          <w:szCs w:val="20"/>
        </w:rPr>
        <w:t xml:space="preserve">—see F. M. Kamm, </w:t>
      </w:r>
      <w:r>
        <w:rPr>
          <w:rFonts w:ascii="Times New Roman" w:eastAsia="Times New Roman" w:hAnsi="Times New Roman" w:cs="Times New Roman"/>
          <w:i/>
          <w:sz w:val="20"/>
          <w:szCs w:val="20"/>
        </w:rPr>
        <w:t>All Over</w:t>
      </w:r>
      <w:r>
        <w:rPr>
          <w:rFonts w:ascii="Times New Roman" w:eastAsia="Times New Roman" w:hAnsi="Times New Roman" w:cs="Times New Roman"/>
          <w:sz w:val="20"/>
          <w:szCs w:val="20"/>
        </w:rPr>
        <w:t xml:space="preserve"> (New York: Oxford University Press, 2020): 9. Since a person’s death involves less decline when their life contains less good, the backward looking consideration of need pulls in the opposite direction from the backward looking consideration of decline. My own view—which I can state but not defend here—is that need should not factor into our account of whether a person’s death is bad for them. This being said, need may yet have a role to play in our thinking about distributive justice. It may be that we have moral reason to give priority to the worse off. The literature on prioritarianism is substantial and complex, but for a clear entry point, see Derek Parfit, “Equality and Priority,” </w:t>
      </w:r>
      <w:r>
        <w:rPr>
          <w:rFonts w:ascii="Times New Roman" w:eastAsia="Times New Roman" w:hAnsi="Times New Roman" w:cs="Times New Roman"/>
          <w:i/>
          <w:sz w:val="20"/>
          <w:szCs w:val="20"/>
        </w:rPr>
        <w:t>Ratio X</w:t>
      </w:r>
      <w:r>
        <w:rPr>
          <w:rFonts w:ascii="Times New Roman" w:eastAsia="Times New Roman" w:hAnsi="Times New Roman" w:cs="Times New Roman"/>
          <w:sz w:val="20"/>
          <w:szCs w:val="20"/>
        </w:rPr>
        <w:t>, no. 3 (1997): 202–221.</w:t>
      </w:r>
    </w:p>
  </w:footnote>
  <w:footnote w:id="6">
    <w:p w14:paraId="00000065"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Kamm identifies decline as one of the factors that may explain our thinking about why death is bad and worse than prenatal nonexistence. Kamm also points to other factors, including that death annihilates its victims and shows them to be vulnerable. In earlier work, Kamm concluded that deprivation plays a greater role in accounting for death’s badness than these factors. (See F.M. Kamm, </w:t>
      </w:r>
      <w:r>
        <w:rPr>
          <w:rFonts w:ascii="Times New Roman" w:eastAsia="Times New Roman" w:hAnsi="Times New Roman" w:cs="Times New Roman"/>
          <w:i/>
          <w:sz w:val="20"/>
          <w:szCs w:val="20"/>
        </w:rPr>
        <w:t>Morality, Mortality Volume I: Death and Whom to Save From It</w:t>
      </w:r>
      <w:r>
        <w:rPr>
          <w:rFonts w:ascii="Times New Roman" w:eastAsia="Times New Roman" w:hAnsi="Times New Roman" w:cs="Times New Roman"/>
          <w:sz w:val="20"/>
          <w:szCs w:val="20"/>
        </w:rPr>
        <w:t xml:space="preserve"> (New York: Oxford University Press, 1993): 48.) But more recently, Kamm seems to treat (at least some) non-deprivational factors as on a par with deprivation. See F. M. Kamm, </w:t>
      </w:r>
      <w:r>
        <w:rPr>
          <w:rFonts w:ascii="Times New Roman" w:eastAsia="Times New Roman" w:hAnsi="Times New Roman" w:cs="Times New Roman"/>
          <w:i/>
          <w:sz w:val="20"/>
          <w:szCs w:val="20"/>
        </w:rPr>
        <w:t>Almost Over</w:t>
      </w:r>
      <w:r>
        <w:rPr>
          <w:rFonts w:ascii="Times New Roman" w:eastAsia="Times New Roman" w:hAnsi="Times New Roman" w:cs="Times New Roman"/>
          <w:sz w:val="20"/>
          <w:szCs w:val="20"/>
        </w:rPr>
        <w:t xml:space="preserve">, 1–30. </w:t>
      </w:r>
    </w:p>
  </w:footnote>
  <w:footnote w:id="7">
    <w:p w14:paraId="00000060"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For the sake of simplicity, in the cases I discuss, I assume that each person’s life sequence begins with the end of their prenatal nonexistence and ends with the beginning of their postmortem nonexistence. This assumption rules out the occurrence of prenatal or postmortem events which are intrinsically good or bad.</w:t>
      </w:r>
    </w:p>
  </w:footnote>
  <w:footnote w:id="8">
    <w:p w14:paraId="0000006B" w14:textId="77777777" w:rsidR="00A14768" w:rsidRDefault="002A5950">
      <w:pPr>
        <w:spacing w:line="240" w:lineRule="auto"/>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sz w:val="20"/>
          <w:szCs w:val="20"/>
        </w:rPr>
        <w:t xml:space="preserve"> On my preferred framing, backward looking accounts compare the state of being dead to prior states of life. Similarly, deprivationism can be framed as an account that compares the state of being dead to future, counterfactual states of life. However, Epicureans sometimes object to such comparisons. According to the objection, the state of a subject being dead cannot be assigned an intrinsic value—not even a neutral or zero value—for the dead. In response to this objection, some deprivationists have framed their views so as not to require the allegedly illicit comparison. (For instance, see Fred Feldman, “Some Puzzles About the Evil of Death,” </w:t>
      </w:r>
      <w:r>
        <w:rPr>
          <w:rFonts w:ascii="Times New Roman" w:eastAsia="Times New Roman" w:hAnsi="Times New Roman" w:cs="Times New Roman"/>
          <w:i/>
          <w:sz w:val="20"/>
          <w:szCs w:val="20"/>
        </w:rPr>
        <w:t>The Philosophical Review 100</w:t>
      </w:r>
      <w:r>
        <w:rPr>
          <w:rFonts w:ascii="Times New Roman" w:eastAsia="Times New Roman" w:hAnsi="Times New Roman" w:cs="Times New Roman"/>
          <w:sz w:val="20"/>
          <w:szCs w:val="20"/>
        </w:rPr>
        <w:t xml:space="preserve">, no. 2 (1991): 219–220.) They say that dying at time t is bad for a person just in case their actual life is worse than the life they would have led had they not died at t. This does not compare a person’s being alive to their nonexistence but rather a person’s actual life to their counterfactual life. If one wants their backward looking account to avoid comparing life with nonexistence, they may reframe it as well: A person’s death is bad (in one respect) for them to the extent that their life contains intrinsic goods. As I see it, however, this is only a matter of framing insofar as it does not affect what verdicts the accounts deliver. </w:t>
      </w:r>
    </w:p>
  </w:footnote>
  <w:footnote w:id="9">
    <w:p w14:paraId="00000061"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Jeff McMahan, </w:t>
      </w:r>
      <w:r>
        <w:rPr>
          <w:rFonts w:ascii="Times New Roman" w:eastAsia="Times New Roman" w:hAnsi="Times New Roman" w:cs="Times New Roman"/>
          <w:i/>
          <w:sz w:val="20"/>
          <w:szCs w:val="20"/>
        </w:rPr>
        <w:t>The Ethics of Killing: Problems at the Margins of Life</w:t>
      </w:r>
      <w:r>
        <w:rPr>
          <w:rFonts w:ascii="Times New Roman" w:eastAsia="Times New Roman" w:hAnsi="Times New Roman" w:cs="Times New Roman"/>
          <w:sz w:val="20"/>
          <w:szCs w:val="20"/>
        </w:rPr>
        <w:t xml:space="preserve"> (New York: Oxford University Press, 2002): 169</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174. </w:t>
      </w:r>
    </w:p>
  </w:footnote>
  <w:footnote w:id="10">
    <w:p w14:paraId="00000064"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the locus classicus of this view, see Derek Parfit, </w:t>
      </w:r>
      <w:r>
        <w:rPr>
          <w:rFonts w:ascii="Times New Roman" w:eastAsia="Times New Roman" w:hAnsi="Times New Roman" w:cs="Times New Roman"/>
          <w:i/>
          <w:sz w:val="20"/>
          <w:szCs w:val="20"/>
        </w:rPr>
        <w:t xml:space="preserve">Reasons and Persons </w:t>
      </w:r>
      <w:r>
        <w:rPr>
          <w:rFonts w:ascii="Times New Roman" w:eastAsia="Times New Roman" w:hAnsi="Times New Roman" w:cs="Times New Roman"/>
          <w:sz w:val="20"/>
          <w:szCs w:val="20"/>
        </w:rPr>
        <w:t>(New York: Oxford University Press, 1984).</w:t>
      </w:r>
    </w:p>
  </w:footnote>
  <w:footnote w:id="11">
    <w:p w14:paraId="00000062"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instance, Michael Rabenberg defends an account of harm in general which combines forward and backward looking elements. See Michael Rabenberg, “Harm,” </w:t>
      </w:r>
      <w:r>
        <w:rPr>
          <w:rFonts w:ascii="Times New Roman" w:eastAsia="Times New Roman" w:hAnsi="Times New Roman" w:cs="Times New Roman"/>
          <w:i/>
          <w:sz w:val="20"/>
          <w:szCs w:val="20"/>
        </w:rPr>
        <w:t>Journal of Ethics and Social Philosophy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8</w:t>
      </w:r>
      <w:r>
        <w:rPr>
          <w:rFonts w:ascii="Times New Roman" w:eastAsia="Times New Roman" w:hAnsi="Times New Roman" w:cs="Times New Roman"/>
          <w:sz w:val="20"/>
          <w:szCs w:val="20"/>
        </w:rPr>
        <w:t>, no. 3 (2015): 1</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32.</w:t>
      </w:r>
    </w:p>
  </w:footnote>
  <w:footnote w:id="12">
    <w:p w14:paraId="0000006C"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 a result, to respond to Lucretius’s symmetry problem, it is not enough to argue that death is worse in some respects than prenatal nonexistence. This represents a serious challenge to Kamm’s suggested solution to Lucretius’s symmetry problem. See Kamm, </w:t>
      </w:r>
      <w:r>
        <w:rPr>
          <w:rFonts w:ascii="Times New Roman" w:eastAsia="Times New Roman" w:hAnsi="Times New Roman" w:cs="Times New Roman"/>
          <w:i/>
          <w:sz w:val="20"/>
          <w:szCs w:val="20"/>
        </w:rPr>
        <w:t>All Over</w:t>
      </w:r>
      <w:r>
        <w:rPr>
          <w:rFonts w:ascii="Times New Roman" w:eastAsia="Times New Roman" w:hAnsi="Times New Roman" w:cs="Times New Roman"/>
          <w:sz w:val="20"/>
          <w:szCs w:val="20"/>
        </w:rPr>
        <w:t>, 20</w:t>
      </w:r>
      <w:r>
        <w:rPr>
          <w:rFonts w:ascii="Times New Roman" w:eastAsia="Times New Roman" w:hAnsi="Times New Roman" w:cs="Times New Roman"/>
          <w:sz w:val="20"/>
          <w:szCs w:val="20"/>
          <w:shd w:val="clear" w:color="auto" w:fill="FCFCFC"/>
        </w:rPr>
        <w:t>–</w:t>
      </w:r>
      <w:r>
        <w:rPr>
          <w:rFonts w:ascii="Times New Roman" w:eastAsia="Times New Roman" w:hAnsi="Times New Roman" w:cs="Times New Roman"/>
          <w:sz w:val="20"/>
          <w:szCs w:val="20"/>
        </w:rPr>
        <w:t>21.</w:t>
      </w:r>
    </w:p>
  </w:footnote>
  <w:footnote w:id="13">
    <w:p w14:paraId="0000006A" w14:textId="32497270" w:rsidR="00A14768" w:rsidRPr="00895F79" w:rsidRDefault="002A5950">
      <w:pPr>
        <w:spacing w:line="240" w:lineRule="auto"/>
        <w:rPr>
          <w:rFonts w:ascii="Times New Roman" w:eastAsia="Times New Roman" w:hAnsi="Times New Roman" w:cs="Times New Roman"/>
          <w:color w:val="FF0000"/>
          <w:sz w:val="20"/>
          <w:szCs w:val="20"/>
        </w:rPr>
      </w:pPr>
      <w:r w:rsidRPr="00895F79">
        <w:rPr>
          <w:rFonts w:ascii="Times New Roman" w:hAnsi="Times New Roman" w:cs="Times New Roman"/>
          <w:sz w:val="20"/>
          <w:szCs w:val="20"/>
          <w:vertAlign w:val="superscript"/>
        </w:rPr>
        <w:footnoteRef/>
      </w:r>
      <w:r w:rsidRPr="00895F79">
        <w:rPr>
          <w:rFonts w:ascii="Times New Roman" w:eastAsia="Times New Roman" w:hAnsi="Times New Roman" w:cs="Times New Roman"/>
          <w:sz w:val="20"/>
          <w:szCs w:val="20"/>
        </w:rPr>
        <w:t xml:space="preserve"> I am grateful </w:t>
      </w:r>
      <w:r w:rsidR="00895F79">
        <w:rPr>
          <w:rFonts w:ascii="Times New Roman" w:eastAsia="Times New Roman" w:hAnsi="Times New Roman" w:cs="Times New Roman"/>
          <w:sz w:val="20"/>
          <w:szCs w:val="20"/>
        </w:rPr>
        <w:t xml:space="preserve">to </w:t>
      </w:r>
      <w:r w:rsidR="00895F79" w:rsidRPr="00895F79">
        <w:rPr>
          <w:rFonts w:ascii="Times New Roman" w:hAnsi="Times New Roman" w:cs="Times New Roman"/>
          <w:sz w:val="20"/>
          <w:szCs w:val="20"/>
        </w:rPr>
        <w:t>Christian Coons, Molly Gardner, Alex Worsnip, Matt Wyss, and an anonymous referee for their comments on this paper and its ancestors. I am also grateful to Charlene Elsby and Abraham Schwab who, through many conversations several years ago, helped me to first think about the philosophy of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6BF1106C" w:rsidR="00A14768" w:rsidRDefault="002A595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19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8"/>
    <w:rsid w:val="000A2572"/>
    <w:rsid w:val="000B1341"/>
    <w:rsid w:val="00122198"/>
    <w:rsid w:val="00181A9B"/>
    <w:rsid w:val="001A6B57"/>
    <w:rsid w:val="002A5950"/>
    <w:rsid w:val="00306C41"/>
    <w:rsid w:val="00323B09"/>
    <w:rsid w:val="0032408A"/>
    <w:rsid w:val="005042AF"/>
    <w:rsid w:val="005365F6"/>
    <w:rsid w:val="00635918"/>
    <w:rsid w:val="00650DF2"/>
    <w:rsid w:val="007B6E16"/>
    <w:rsid w:val="00800A1C"/>
    <w:rsid w:val="0082683C"/>
    <w:rsid w:val="00895F79"/>
    <w:rsid w:val="00921D09"/>
    <w:rsid w:val="0098437A"/>
    <w:rsid w:val="00A14768"/>
    <w:rsid w:val="00AC6AFB"/>
    <w:rsid w:val="00AF2446"/>
    <w:rsid w:val="00D10CA9"/>
    <w:rsid w:val="00ED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6F1B"/>
  <w15:docId w15:val="{4C49EC27-24CD-4115-80CC-44160E2C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0B1341"/>
    <w:pPr>
      <w:spacing w:line="240" w:lineRule="auto"/>
    </w:pPr>
    <w:rPr>
      <w:sz w:val="20"/>
      <w:szCs w:val="20"/>
    </w:rPr>
  </w:style>
  <w:style w:type="character" w:customStyle="1" w:styleId="FootnoteTextChar">
    <w:name w:val="Footnote Text Char"/>
    <w:basedOn w:val="DefaultParagraphFont"/>
    <w:link w:val="FootnoteText"/>
    <w:uiPriority w:val="99"/>
    <w:semiHidden/>
    <w:rsid w:val="000B1341"/>
    <w:rPr>
      <w:sz w:val="20"/>
      <w:szCs w:val="20"/>
    </w:rPr>
  </w:style>
  <w:style w:type="character" w:styleId="FootnoteReference">
    <w:name w:val="footnote reference"/>
    <w:basedOn w:val="DefaultParagraphFont"/>
    <w:uiPriority w:val="99"/>
    <w:semiHidden/>
    <w:unhideWhenUsed/>
    <w:rsid w:val="000B1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0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Thieme</dc:creator>
  <cp:lastModifiedBy>Aaron Thieme</cp:lastModifiedBy>
  <cp:revision>5</cp:revision>
  <dcterms:created xsi:type="dcterms:W3CDTF">2022-10-15T19:48:00Z</dcterms:created>
  <dcterms:modified xsi:type="dcterms:W3CDTF">2022-10-15T20:01:00Z</dcterms:modified>
</cp:coreProperties>
</file>