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681D2" w14:textId="77777777" w:rsidR="00FA264C" w:rsidRDefault="00FA264C" w:rsidP="00EB68D8">
      <w:pPr>
        <w:jc w:val="center"/>
        <w:rPr>
          <w:b/>
          <w:sz w:val="32"/>
          <w:szCs w:val="32"/>
        </w:rPr>
      </w:pPr>
    </w:p>
    <w:p w14:paraId="46DF4169" w14:textId="77777777" w:rsidR="00FA264C" w:rsidRDefault="00FA264C" w:rsidP="00EB68D8">
      <w:pPr>
        <w:jc w:val="center"/>
        <w:rPr>
          <w:b/>
          <w:sz w:val="32"/>
          <w:szCs w:val="32"/>
        </w:rPr>
      </w:pPr>
    </w:p>
    <w:p w14:paraId="75D7DBBF" w14:textId="55AEFF2C" w:rsidR="00401A77" w:rsidRDefault="00DB0F1B" w:rsidP="008E5120">
      <w:pPr>
        <w:jc w:val="center"/>
        <w:outlineLvl w:val="0"/>
        <w:rPr>
          <w:b/>
          <w:sz w:val="32"/>
          <w:szCs w:val="32"/>
        </w:rPr>
      </w:pPr>
      <w:r w:rsidRPr="00EB68D8">
        <w:rPr>
          <w:b/>
          <w:sz w:val="32"/>
          <w:szCs w:val="32"/>
        </w:rPr>
        <w:t>Chastity in the Workplace</w:t>
      </w:r>
    </w:p>
    <w:p w14:paraId="7DDD372D" w14:textId="77777777" w:rsidR="00FA264C" w:rsidRPr="00EB68D8" w:rsidRDefault="00FA264C" w:rsidP="00EB68D8">
      <w:pPr>
        <w:jc w:val="center"/>
        <w:rPr>
          <w:b/>
          <w:sz w:val="32"/>
          <w:szCs w:val="32"/>
        </w:rPr>
      </w:pPr>
    </w:p>
    <w:p w14:paraId="6AD5F8EA" w14:textId="19EED506" w:rsidR="00401A77" w:rsidRDefault="00F07831" w:rsidP="008E5120">
      <w:pPr>
        <w:jc w:val="center"/>
        <w:outlineLvl w:val="0"/>
      </w:pPr>
      <w:r>
        <w:t>Chris Tweedt</w:t>
      </w:r>
    </w:p>
    <w:p w14:paraId="7A6F0D3C" w14:textId="115BB0A2" w:rsidR="00386667" w:rsidRDefault="00386667" w:rsidP="008E5120">
      <w:pPr>
        <w:jc w:val="center"/>
        <w:outlineLvl w:val="0"/>
      </w:pPr>
      <w:r>
        <w:t>Christopher Newport University</w:t>
      </w:r>
    </w:p>
    <w:p w14:paraId="2A9AB7FA" w14:textId="77777777" w:rsidR="00FA264C" w:rsidRDefault="00FA264C" w:rsidP="00EB68D8">
      <w:pPr>
        <w:jc w:val="center"/>
      </w:pPr>
    </w:p>
    <w:p w14:paraId="55392D9C" w14:textId="77777777" w:rsidR="00F07831" w:rsidRDefault="00F07831"/>
    <w:p w14:paraId="29E9E947" w14:textId="0B0CAEA0" w:rsidR="007F037D" w:rsidRDefault="00EB49CC" w:rsidP="00E72A25">
      <w:pPr>
        <w:spacing w:line="480" w:lineRule="auto"/>
      </w:pPr>
      <w:r>
        <w:t>Most businesses are aware of the costs associated with sexual harassment in the workplace—on the victim side, these costs include</w:t>
      </w:r>
      <w:r w:rsidR="008B47C3">
        <w:t xml:space="preserve"> </w:t>
      </w:r>
      <w:r w:rsidR="00631DE2">
        <w:t>psychological</w:t>
      </w:r>
      <w:r w:rsidR="008944F8">
        <w:t xml:space="preserve"> </w:t>
      </w:r>
      <w:r w:rsidR="008B47C3">
        <w:t>health issues</w:t>
      </w:r>
      <w:r w:rsidR="008944F8">
        <w:t xml:space="preserve">, </w:t>
      </w:r>
      <w:r w:rsidR="000B01EF">
        <w:t xml:space="preserve">lower organizational commitment, </w:t>
      </w:r>
      <w:r w:rsidR="00F66C13">
        <w:t>higher quit rates</w:t>
      </w:r>
      <w:r w:rsidR="008B47C3">
        <w:t xml:space="preserve"> and absenteeism,</w:t>
      </w:r>
      <w:r w:rsidR="00F66C13">
        <w:t xml:space="preserve"> </w:t>
      </w:r>
      <w:r w:rsidR="004260C9">
        <w:t xml:space="preserve">decreased job satisfaction, </w:t>
      </w:r>
      <w:r>
        <w:t>and lost career opportunities;</w:t>
      </w:r>
      <w:r w:rsidR="007F037D">
        <w:rPr>
          <w:rStyle w:val="EndnoteReference"/>
        </w:rPr>
        <w:endnoteReference w:id="1"/>
      </w:r>
      <w:r w:rsidR="007F037D">
        <w:t xml:space="preserve"> on the company side, these costs include policy formation and implementation costs, litigation costs, productivity and turnover losses, and reputational damage.</w:t>
      </w:r>
      <w:r w:rsidR="007F037D">
        <w:rPr>
          <w:rStyle w:val="EndnoteReference"/>
        </w:rPr>
        <w:endnoteReference w:id="2"/>
      </w:r>
      <w:r w:rsidR="007F037D">
        <w:t xml:space="preserve"> </w:t>
      </w:r>
    </w:p>
    <w:p w14:paraId="11EB7CAC" w14:textId="77777777" w:rsidR="007F037D" w:rsidRDefault="007F037D" w:rsidP="00D265E9">
      <w:pPr>
        <w:spacing w:line="480" w:lineRule="auto"/>
      </w:pPr>
    </w:p>
    <w:p w14:paraId="02E0E025" w14:textId="10CE31FE" w:rsidR="007F037D" w:rsidRDefault="007F037D" w:rsidP="00D265E9">
      <w:pPr>
        <w:spacing w:line="480" w:lineRule="auto"/>
      </w:pPr>
      <w:r>
        <w:t>Business</w:t>
      </w:r>
      <w:r w:rsidR="00821CAA">
        <w:t>es</w:t>
      </w:r>
      <w:r>
        <w:t xml:space="preserve"> are also concerned about limiting sexual harassment in the workplace, as is evidenced by efforts to train employees (over 70% of businesses </w:t>
      </w:r>
      <w:r w:rsidRPr="00055290">
        <w:t>in the U.S. have sexual harassment training programs</w:t>
      </w:r>
      <w:r w:rsidRPr="00055290">
        <w:rPr>
          <w:rStyle w:val="EndnoteReference"/>
        </w:rPr>
        <w:endnoteReference w:id="3"/>
      </w:r>
      <w:r>
        <w:t>) and ethics consulting companies’ appeal to companies’ desire to limit sexual harassment as part of their marketing material.</w:t>
      </w:r>
      <w:r>
        <w:rPr>
          <w:rStyle w:val="EndnoteReference"/>
        </w:rPr>
        <w:endnoteReference w:id="4"/>
      </w:r>
      <w:r>
        <w:t xml:space="preserve"> Strict policies and punishments are generally taken to be the most effective means of deterring harassment;</w:t>
      </w:r>
      <w:r>
        <w:rPr>
          <w:rStyle w:val="EndnoteReference"/>
        </w:rPr>
        <w:endnoteReference w:id="5"/>
      </w:r>
      <w:r>
        <w:t xml:space="preserve"> however, policies are expensive and time-consuming to develop, revise, and enforce, and, as is the case with most wrongdoing in the workplace, it is better for companies and their employees for businesspeople to display attitudes, dispositions, and behaviors that make policy enforcement unnecessary, especially when policy development is absent or enforcement is ineffective, as has been the case with respect to sexual harassment. </w:t>
      </w:r>
    </w:p>
    <w:p w14:paraId="121A982C" w14:textId="77777777" w:rsidR="007F037D" w:rsidRDefault="007F037D" w:rsidP="00D265E9">
      <w:pPr>
        <w:spacing w:line="480" w:lineRule="auto"/>
      </w:pPr>
    </w:p>
    <w:p w14:paraId="2C150FF2" w14:textId="60BAF106" w:rsidR="007F037D" w:rsidRDefault="007F037D" w:rsidP="00D265E9">
      <w:pPr>
        <w:spacing w:line="480" w:lineRule="auto"/>
      </w:pPr>
      <w:r>
        <w:t xml:space="preserve">A good place to begin an inquiry into the kinds of attitudes, dispositions, and behaviors that are valuable in the workplace with respect to sexual harassment in particular is to investigate </w:t>
      </w:r>
      <w:r>
        <w:lastRenderedPageBreak/>
        <w:t xml:space="preserve">chastity, a virtue with respect to sexual attraction. Although the business ethics literature contains work on sexual harassment, it has very little to say on chastity or its value in the workplace even though unchaste behavior underlies the prevalence of sexual harassment. The hope is that once the reason and locus of chastity </w:t>
      </w:r>
      <w:r w:rsidR="00325852">
        <w:t>are</w:t>
      </w:r>
      <w:r>
        <w:t xml:space="preserve"> identified, the professionals who know how to train businesspeople in developing virtues will better be able to focus their attention and efforts.</w:t>
      </w:r>
    </w:p>
    <w:p w14:paraId="214C809D" w14:textId="77777777" w:rsidR="007F037D" w:rsidRDefault="007F037D" w:rsidP="00D265E9">
      <w:pPr>
        <w:spacing w:line="480" w:lineRule="auto"/>
      </w:pPr>
    </w:p>
    <w:p w14:paraId="166013FE" w14:textId="30BA2E02" w:rsidR="007F037D" w:rsidRDefault="007F037D" w:rsidP="00D265E9">
      <w:pPr>
        <w:spacing w:line="480" w:lineRule="auto"/>
      </w:pPr>
      <w:r>
        <w:t>This article begins this investigation into chastity worth having in the workplace,</w:t>
      </w:r>
      <w:r>
        <w:rPr>
          <w:rStyle w:val="EndnoteReference"/>
        </w:rPr>
        <w:endnoteReference w:id="6"/>
      </w:r>
      <w:r>
        <w:t xml:space="preserve"> taking typical company policies as a guide for what kind of chastity is worth having in the workplace. I begin with the assumption that chastity is a virtue, an excellent disposition or a particular state of a person having to do with sexual activity, whether it is refraining from certain kinds of those activities, avoiding thoughts about certain kinds of those of activities, or regulating desires for certain kinds of those activities. This assumption is broad enough to capture what chastity is assumed to be in most of the extant philosophical and theological literature on chastity.</w:t>
      </w:r>
      <w:r>
        <w:rPr>
          <w:rStyle w:val="EndnoteReference"/>
        </w:rPr>
        <w:endnoteReference w:id="7"/>
      </w:r>
      <w:r>
        <w:t xml:space="preserve"> I then ask: for what reasons is chastity worth having in the workplace? I consider four answers—harm prevention, respect for employee consent/dissent, respect for others’ dignity, and conflict of interest avoidance—and I examine workplace policies that enforce chaste behavior in search for a unified and underlying reason for these policies. I</w:t>
      </w:r>
      <w:r w:rsidR="000E438A">
        <w:t>f we can find such a reason, we ha</w:t>
      </w:r>
      <w:r>
        <w:t xml:space="preserve">ve found a primary reason that it is worth being chaste in the workplace, and so with respect to the chaste person, the need to enforce sexual harassment policies will be reduced if not eliminated. In the process of locating the primary reason for the value of being chaste in the workplace in particular, we will be given tools to develop an account of chastity worth having in the workplace, which I will argue is primarily cognitive, rather than volitional or affective. I will </w:t>
      </w:r>
      <w:r>
        <w:lastRenderedPageBreak/>
        <w:t xml:space="preserve">conclude that chastity is the disposition not to construe a coworker as a satisfier of one’s sexual interest, and I argue that chastity is valuable in the workplace because it secures coworkers’ ability to have their contributions appropriately valued. </w:t>
      </w:r>
    </w:p>
    <w:p w14:paraId="7C8C2AAC" w14:textId="77777777" w:rsidR="007F037D" w:rsidRDefault="007F037D" w:rsidP="00FA264C">
      <w:pPr>
        <w:spacing w:line="480" w:lineRule="auto"/>
      </w:pPr>
    </w:p>
    <w:p w14:paraId="62D4B155" w14:textId="4AEA0A9D" w:rsidR="007F037D" w:rsidRDefault="007F037D" w:rsidP="00FA264C">
      <w:pPr>
        <w:spacing w:line="480" w:lineRule="auto"/>
      </w:pPr>
      <w:r>
        <w:t xml:space="preserve">In what follows, then, I will first consider reasons for workplace policies that enforce chaste behavior and encourage chaste dispositions—harm prevention (Section </w:t>
      </w:r>
      <w:r w:rsidR="005B60E7">
        <w:t>I</w:t>
      </w:r>
      <w:r>
        <w:t xml:space="preserve">), respect for employee consent (Section </w:t>
      </w:r>
      <w:r w:rsidR="005B60E7">
        <w:t>II</w:t>
      </w:r>
      <w:r>
        <w:t xml:space="preserve">), respect for others’ dignity (Section </w:t>
      </w:r>
      <w:r w:rsidR="005B60E7">
        <w:t>III</w:t>
      </w:r>
      <w:r>
        <w:t xml:space="preserve">), and conflict of interest avoidance (Section </w:t>
      </w:r>
      <w:r w:rsidR="005B60E7">
        <w:t>IV</w:t>
      </w:r>
      <w:r>
        <w:t xml:space="preserve">)—and I then develop an account of chastity worth having in the workplace (Section </w:t>
      </w:r>
      <w:r w:rsidR="005B60E7">
        <w:t>V</w:t>
      </w:r>
      <w:r>
        <w:t xml:space="preserve">). </w:t>
      </w:r>
    </w:p>
    <w:p w14:paraId="32E5C640" w14:textId="32C0532D" w:rsidR="007F037D" w:rsidRDefault="007F037D" w:rsidP="00667C3B">
      <w:pPr>
        <w:spacing w:line="480" w:lineRule="auto"/>
      </w:pPr>
      <w:r>
        <w:t xml:space="preserve"> </w:t>
      </w:r>
    </w:p>
    <w:p w14:paraId="29C1C586" w14:textId="750974FA" w:rsidR="007F037D" w:rsidRPr="002F506D" w:rsidRDefault="005B60E7" w:rsidP="008E5120">
      <w:pPr>
        <w:spacing w:line="480" w:lineRule="auto"/>
        <w:outlineLvl w:val="0"/>
        <w:rPr>
          <w:b/>
          <w:sz w:val="28"/>
          <w:szCs w:val="28"/>
        </w:rPr>
      </w:pPr>
      <w:r w:rsidRPr="002F506D">
        <w:rPr>
          <w:b/>
          <w:sz w:val="28"/>
          <w:szCs w:val="28"/>
        </w:rPr>
        <w:t xml:space="preserve">I </w:t>
      </w:r>
      <w:r w:rsidR="007F037D" w:rsidRPr="002F506D">
        <w:rPr>
          <w:b/>
          <w:sz w:val="28"/>
          <w:szCs w:val="28"/>
        </w:rPr>
        <w:t xml:space="preserve">Stage </w:t>
      </w:r>
      <w:r w:rsidRPr="002F506D">
        <w:rPr>
          <w:b/>
          <w:sz w:val="28"/>
          <w:szCs w:val="28"/>
        </w:rPr>
        <w:t>1</w:t>
      </w:r>
      <w:r w:rsidR="007F037D" w:rsidRPr="002F506D">
        <w:rPr>
          <w:b/>
          <w:sz w:val="28"/>
          <w:szCs w:val="28"/>
        </w:rPr>
        <w:t>: Harm Prevention</w:t>
      </w:r>
    </w:p>
    <w:p w14:paraId="5427A57D" w14:textId="7E350D5E" w:rsidR="007F037D" w:rsidRDefault="007F037D" w:rsidP="00D265E9">
      <w:pPr>
        <w:spacing w:line="480" w:lineRule="auto"/>
      </w:pPr>
      <w:r>
        <w:t>The first paragraph of this article emphasized the well</w:t>
      </w:r>
      <w:r w:rsidR="005B60E7">
        <w:t>-</w:t>
      </w:r>
      <w:r>
        <w:t>documented patterns of harms (and risks of harms) that sexual harassment causes. This long list of harms is often used to argue that companies ought to have and enforce policies that prevent the unchaste behavior that leads to those harms. The risk of these harms is often calculated by Ethics and Compliance software that tracks sexual harassment training and anonymous reporting and provides organizations with data and analytics that is used for risk management reasons—to limit the organization’s liability. This software sometimes comes with proprietary algorithms that determine ethics risk factors and calculates the return on investment for applying certain risk management efforts,</w:t>
      </w:r>
      <w:r>
        <w:rPr>
          <w:rStyle w:val="EndnoteReference"/>
        </w:rPr>
        <w:endnoteReference w:id="8"/>
      </w:r>
      <w:r>
        <w:t xml:space="preserve"> and these software companies appeal to risk reduction to market their particular products.</w:t>
      </w:r>
      <w:r>
        <w:rPr>
          <w:rStyle w:val="EndnoteReference"/>
        </w:rPr>
        <w:endnoteReference w:id="9"/>
      </w:r>
      <w:r>
        <w:t xml:space="preserve"> So, risk reduction/harm mitigation is one reason for implementing policies against sexual harassment and for the value of having broadly chaste dispositions in the workplace—chastity in the workplace reduces harm to employees and to the business as a whole. </w:t>
      </w:r>
    </w:p>
    <w:p w14:paraId="284E1534" w14:textId="77777777" w:rsidR="007F037D" w:rsidRDefault="007F037D" w:rsidP="00D265E9">
      <w:pPr>
        <w:spacing w:line="480" w:lineRule="auto"/>
      </w:pPr>
    </w:p>
    <w:p w14:paraId="798BA252" w14:textId="02E23ABA" w:rsidR="007F037D" w:rsidRDefault="007F037D" w:rsidP="00D265E9">
      <w:pPr>
        <w:spacing w:line="480" w:lineRule="auto"/>
      </w:pPr>
      <w:r>
        <w:t>Several recent articles provide taxonomies of the harms that result from sexual harassment in the workplace, both to the victims and to the organizations in which the harassment occurs,</w:t>
      </w:r>
      <w:r w:rsidRPr="001C56F7">
        <w:rPr>
          <w:rStyle w:val="EndnoteReference"/>
        </w:rPr>
        <w:t xml:space="preserve"> </w:t>
      </w:r>
      <w:r>
        <w:rPr>
          <w:rStyle w:val="EndnoteReference"/>
        </w:rPr>
        <w:endnoteReference w:id="10"/>
      </w:r>
      <w:r>
        <w:t xml:space="preserve"> and a list of these harms and more was given in the first paragraph, so I will not take up space doing that again here. It is worth noting, however, that although the kinds of harms can be described, the severity of the harms is notoriously difficult to determine: sexual harassment is often unreported, and reports about the percentage of cases that go unreported vary widely; surveys about whether sexual harassment has occurred differ in approaches—some ask whether the respondent has been sexually harassed, whereas others ask whether the respondent has experienced particular behaviors listed by the survey; and surveys that are given over many years have wording changes that alter the meaning of the survey question.</w:t>
      </w:r>
      <w:r>
        <w:rPr>
          <w:rStyle w:val="EndnoteReference"/>
        </w:rPr>
        <w:endnoteReference w:id="11"/>
      </w:r>
      <w:r>
        <w:t xml:space="preserve"> </w:t>
      </w:r>
    </w:p>
    <w:p w14:paraId="56902429" w14:textId="77777777" w:rsidR="007F037D" w:rsidRDefault="007F037D" w:rsidP="00D265E9">
      <w:pPr>
        <w:spacing w:line="480" w:lineRule="auto"/>
      </w:pPr>
    </w:p>
    <w:p w14:paraId="7BCA55C6" w14:textId="3520D746" w:rsidR="007F037D" w:rsidRDefault="007F037D" w:rsidP="00D265E9">
      <w:pPr>
        <w:spacing w:line="480" w:lineRule="auto"/>
      </w:pPr>
      <w:r>
        <w:t xml:space="preserve">If we conclude that unchaste behavior in the workplace poses a severe harm to employees and businesses, there still might be other reasons for creating and enforcing policies against unchaste behavior. And if harm prevention is not the only reason for creating and enforcing such policies, we can further ask whether harm prevention is the primary reason for creating and enforcing policies against sexual harassment. </w:t>
      </w:r>
    </w:p>
    <w:p w14:paraId="72C8228A" w14:textId="77777777" w:rsidR="007F037D" w:rsidRDefault="007F037D" w:rsidP="00D265E9">
      <w:pPr>
        <w:spacing w:line="480" w:lineRule="auto"/>
      </w:pPr>
    </w:p>
    <w:p w14:paraId="1FB2411C" w14:textId="73660BE9" w:rsidR="007F037D" w:rsidRDefault="007F037D" w:rsidP="00D265E9">
      <w:pPr>
        <w:spacing w:line="480" w:lineRule="auto"/>
      </w:pPr>
      <w:r>
        <w:t>We do, in fact, have reason to think that harm prevention is not the only reason for creating and enforcing policies against unchaste behaviors; enforcement of policies against spying and stalking reveal</w:t>
      </w:r>
      <w:r w:rsidR="00E12724">
        <w:t>s</w:t>
      </w:r>
      <w:r>
        <w:t xml:space="preserve"> some other reasons for valuing chastity in the workplace. Consider the following examples</w:t>
      </w:r>
      <w:r w:rsidR="00EE5F95">
        <w:t>:</w:t>
      </w:r>
      <w:r w:rsidRPr="000D69BF">
        <w:rPr>
          <w:rStyle w:val="EndnoteReference"/>
        </w:rPr>
        <w:endnoteReference w:id="12"/>
      </w:r>
      <w:r w:rsidRPr="000D69BF">
        <w:t xml:space="preserve"> </w:t>
      </w:r>
    </w:p>
    <w:p w14:paraId="48D6D31B" w14:textId="77777777" w:rsidR="007F037D" w:rsidRDefault="007F037D" w:rsidP="006B1222">
      <w:pPr>
        <w:spacing w:line="480" w:lineRule="auto"/>
        <w:ind w:firstLine="720"/>
      </w:pPr>
    </w:p>
    <w:p w14:paraId="29CC5CAE" w14:textId="5ED05056" w:rsidR="007F037D" w:rsidRDefault="007F037D" w:rsidP="009B0BC2">
      <w:pPr>
        <w:spacing w:line="480" w:lineRule="auto"/>
        <w:ind w:left="720"/>
      </w:pPr>
      <w:r w:rsidRPr="009B0BC2">
        <w:rPr>
          <w:b/>
        </w:rPr>
        <w:lastRenderedPageBreak/>
        <w:t>Spying</w:t>
      </w:r>
      <w:r>
        <w:t xml:space="preserve">: An employee spies on other employees in restrooms for voyeuristic reasons without disclosing any of this information to anyone else. The company leadership that would take responsive action </w:t>
      </w:r>
      <w:r w:rsidR="00BE3047">
        <w:t>is certain</w:t>
      </w:r>
      <w:r>
        <w:t xml:space="preserve"> both that no one else will learn of the spying and that the spying employees will never come in contact with their victims. </w:t>
      </w:r>
    </w:p>
    <w:p w14:paraId="746D9496" w14:textId="77777777" w:rsidR="007F037D" w:rsidRDefault="007F037D" w:rsidP="009B0BC2">
      <w:pPr>
        <w:spacing w:line="480" w:lineRule="auto"/>
        <w:ind w:left="720"/>
      </w:pPr>
    </w:p>
    <w:p w14:paraId="7B8E5200" w14:textId="2EC3FB44" w:rsidR="007F037D" w:rsidRDefault="007F037D" w:rsidP="009B0BC2">
      <w:pPr>
        <w:spacing w:line="480" w:lineRule="auto"/>
        <w:ind w:left="720"/>
      </w:pPr>
      <w:r w:rsidRPr="009B0BC2">
        <w:rPr>
          <w:b/>
        </w:rPr>
        <w:t>Stalking</w:t>
      </w:r>
      <w:r>
        <w:t xml:space="preserve">: A small group of employees hacks into other employees’ personal mobile devices without permission in search of sexually explicit content. They keep their findings to themselves, and all records of the stalking </w:t>
      </w:r>
      <w:r w:rsidR="00C80AA8">
        <w:t>are</w:t>
      </w:r>
      <w:r>
        <w:t xml:space="preserve"> deleted</w:t>
      </w:r>
      <w:r w:rsidR="00973E60">
        <w:t xml:space="preserve"> before anyone, except for </w:t>
      </w:r>
      <w:r w:rsidR="00171D39">
        <w:t xml:space="preserve">one person in </w:t>
      </w:r>
      <w:r w:rsidR="00973E60">
        <w:t>the company</w:t>
      </w:r>
      <w:r w:rsidR="0011371D">
        <w:t>’s</w:t>
      </w:r>
      <w:r w:rsidR="00973E60">
        <w:t xml:space="preserve"> leadership, </w:t>
      </w:r>
      <w:r>
        <w:t xml:space="preserve">discovers </w:t>
      </w:r>
      <w:r w:rsidR="00171D39">
        <w:t>that the</w:t>
      </w:r>
      <w:r w:rsidR="005477CD">
        <w:t xml:space="preserve"> hack</w:t>
      </w:r>
      <w:r w:rsidR="00171D39">
        <w:t xml:space="preserve"> occurred</w:t>
      </w:r>
      <w:r>
        <w:t xml:space="preserve">.  </w:t>
      </w:r>
    </w:p>
    <w:p w14:paraId="02E20CAF" w14:textId="77777777" w:rsidR="007F037D" w:rsidRDefault="007F037D" w:rsidP="00D265E9">
      <w:pPr>
        <w:spacing w:line="480" w:lineRule="auto"/>
      </w:pPr>
    </w:p>
    <w:p w14:paraId="49990608" w14:textId="1C031E48" w:rsidR="007F037D" w:rsidRDefault="007F037D" w:rsidP="00D265E9">
      <w:pPr>
        <w:spacing w:line="480" w:lineRule="auto"/>
      </w:pPr>
      <w:r>
        <w:t>Such actions do not harm the victims; they do not inflict pain, cause emotional distress, or result in financial harm—the victims are completely ignorant of the privacy violations and would otherwise interact with and be interacted with in exactly the same way as if the spying/stalking had not occurred</w:t>
      </w:r>
      <w:r w:rsidR="005E35C0">
        <w:t>. T</w:t>
      </w:r>
      <w:r>
        <w:t xml:space="preserve">he victims would not feel differently from how they would feel were the spying/stalking not to have </w:t>
      </w:r>
      <w:r w:rsidRPr="000D69BF">
        <w:t xml:space="preserve">occurred. Definitions of ‘harm’ </w:t>
      </w:r>
      <w:r>
        <w:t xml:space="preserve">in the philosophical literature </w:t>
      </w:r>
      <w:r w:rsidRPr="000D69BF">
        <w:t xml:space="preserve">vary, but the specifications </w:t>
      </w:r>
      <w:r>
        <w:t xml:space="preserve">in </w:t>
      </w:r>
      <w:r w:rsidRPr="000D69BF">
        <w:rPr>
          <w:b/>
        </w:rPr>
        <w:t>Spying</w:t>
      </w:r>
      <w:r>
        <w:t xml:space="preserve"> and </w:t>
      </w:r>
      <w:r w:rsidRPr="000D69BF">
        <w:rPr>
          <w:b/>
        </w:rPr>
        <w:t>Stalking</w:t>
      </w:r>
      <w:r w:rsidRPr="000D69BF">
        <w:t xml:space="preserve"> either make it so that the victim was unharmed (on, e.g. Feinberg</w:t>
      </w:r>
      <w:r>
        <w:t>’s (1987)</w:t>
      </w:r>
      <w:r w:rsidRPr="000D69BF">
        <w:t xml:space="preserve"> definition of ‘harm’ as involving a setback to one’s interests), or, if the definition of ‘harm’ is wide enough to include being wronged in a way that does not affect the understanding, affections, or behavior of the victim, it is difficult to see what work harm is doing to help one understand anything beyond being wronged</w:t>
      </w:r>
      <w:r>
        <w:t>.</w:t>
      </w:r>
      <w:r>
        <w:rPr>
          <w:rStyle w:val="EndnoteReference"/>
        </w:rPr>
        <w:endnoteReference w:id="13"/>
      </w:r>
      <w:r w:rsidRPr="000D69BF">
        <w:rPr>
          <w:sz w:val="20"/>
          <w:szCs w:val="20"/>
        </w:rPr>
        <w:t xml:space="preserve"> </w:t>
      </w:r>
      <w:r>
        <w:t xml:space="preserve">Despite the fact that this behavior does not harm its victims, these unchaste behaviors are still worth prohibiting in the workplace. If anti-stalking or anti-spying policies should be put in place solely to prevent harms, then the policies should not be enforceable (or should be excepted) in </w:t>
      </w:r>
      <w:r w:rsidRPr="00A55B17">
        <w:rPr>
          <w:b/>
        </w:rPr>
        <w:t>Spying</w:t>
      </w:r>
      <w:r>
        <w:t xml:space="preserve"> and </w:t>
      </w:r>
      <w:r w:rsidRPr="00A55B17">
        <w:rPr>
          <w:b/>
        </w:rPr>
        <w:t>Stalking</w:t>
      </w:r>
      <w:r>
        <w:t xml:space="preserve">, but </w:t>
      </w:r>
      <w:r>
        <w:lastRenderedPageBreak/>
        <w:t xml:space="preserve">since it is worth enforcing those policies in the above examples, harm prevention is not the sole reason for worthwhile workplace policies. </w:t>
      </w:r>
    </w:p>
    <w:p w14:paraId="5A6F5E49" w14:textId="77777777" w:rsidR="007F037D" w:rsidRDefault="007F037D" w:rsidP="008C30EB">
      <w:pPr>
        <w:spacing w:line="480" w:lineRule="auto"/>
      </w:pPr>
    </w:p>
    <w:p w14:paraId="5F791EFE" w14:textId="6266241B" w:rsidR="007F037D" w:rsidRPr="001F4855" w:rsidRDefault="007F037D" w:rsidP="008C30EB">
      <w:pPr>
        <w:spacing w:line="480" w:lineRule="auto"/>
      </w:pPr>
      <w:r>
        <w:t xml:space="preserve">Chaste dispositions would significantly reduce, if not eliminate, the occurrence of such the behaviors in </w:t>
      </w:r>
      <w:r w:rsidRPr="005C67DF">
        <w:rPr>
          <w:b/>
        </w:rPr>
        <w:t>Spying</w:t>
      </w:r>
      <w:r>
        <w:t xml:space="preserve"> and </w:t>
      </w:r>
      <w:r w:rsidRPr="005C67DF">
        <w:rPr>
          <w:b/>
        </w:rPr>
        <w:t>Stalking</w:t>
      </w:r>
      <w:r>
        <w:t xml:space="preserve">. Let us, then, continue to look for the reason for prohibiting the unchaste behaviors in the examples in order to discover the primary reason that it is worth being chaste in the workplace. </w:t>
      </w:r>
    </w:p>
    <w:p w14:paraId="7E4F7C1B" w14:textId="77777777" w:rsidR="007F037D" w:rsidRDefault="007F037D" w:rsidP="00FA264C">
      <w:pPr>
        <w:spacing w:line="480" w:lineRule="auto"/>
      </w:pPr>
    </w:p>
    <w:p w14:paraId="172E09B4" w14:textId="152E9111" w:rsidR="007F037D" w:rsidRPr="00F1792B" w:rsidRDefault="009D35D2" w:rsidP="008E5120">
      <w:pPr>
        <w:spacing w:line="480" w:lineRule="auto"/>
        <w:outlineLvl w:val="0"/>
        <w:rPr>
          <w:b/>
        </w:rPr>
      </w:pPr>
      <w:r>
        <w:rPr>
          <w:b/>
        </w:rPr>
        <w:t xml:space="preserve">II </w:t>
      </w:r>
      <w:r w:rsidR="007F037D">
        <w:rPr>
          <w:b/>
        </w:rPr>
        <w:t>Stage 2</w:t>
      </w:r>
      <w:r w:rsidR="007F037D" w:rsidRPr="000E6801">
        <w:rPr>
          <w:b/>
        </w:rPr>
        <w:t xml:space="preserve">: </w:t>
      </w:r>
      <w:r w:rsidR="007F037D">
        <w:rPr>
          <w:b/>
        </w:rPr>
        <w:t>Respecting Consent/Dissent</w:t>
      </w:r>
    </w:p>
    <w:p w14:paraId="4D931F07" w14:textId="3BB5327E" w:rsidR="007F037D" w:rsidRDefault="007F037D" w:rsidP="00FA264C">
      <w:pPr>
        <w:spacing w:line="480" w:lineRule="auto"/>
      </w:pPr>
      <w:r>
        <w:t xml:space="preserve">One might think that the spying/stalking employees’ actions in </w:t>
      </w:r>
      <w:r w:rsidRPr="008D2478">
        <w:rPr>
          <w:b/>
        </w:rPr>
        <w:t>Spying</w:t>
      </w:r>
      <w:r>
        <w:t xml:space="preserve"> and </w:t>
      </w:r>
      <w:r w:rsidRPr="008D2478">
        <w:rPr>
          <w:b/>
        </w:rPr>
        <w:t>Stalking</w:t>
      </w:r>
      <w:r>
        <w:t xml:space="preserve"> should have been prevented by workplace policies precisely because the victims would have dissented to the spying and stalking.</w:t>
      </w:r>
      <w:r>
        <w:rPr>
          <w:rStyle w:val="EndnoteReference"/>
        </w:rPr>
        <w:endnoteReference w:id="14"/>
      </w:r>
      <w:r>
        <w:t xml:space="preserve"> If so, honoring individuals’ dissent to certain behaviors is one reason for developing and enforcing policies against unchaste behaviors in the workplace. In addition, the ability to consent and dissent is </w:t>
      </w:r>
      <w:r w:rsidRPr="008657B8">
        <w:rPr>
          <w:i/>
        </w:rPr>
        <w:t>prima facie</w:t>
      </w:r>
      <w:r>
        <w:t xml:space="preserve"> a valuable human good, one that is perhaps constitutive of complete personhood and inclusion in the community of moral agents.</w:t>
      </w:r>
      <w:r>
        <w:rPr>
          <w:rStyle w:val="EndnoteReference"/>
        </w:rPr>
        <w:endnoteReference w:id="15"/>
      </w:r>
      <w:r>
        <w:t xml:space="preserve"> Chastity then protects against certain kinds of behaviors to which others would dissent in the workplace and is thus a way of protecting a valuable human good. In addition, if workplace policies are solely for the sake of preventing situations in which some people display behaviors to which others dissent, and if everyone were chaste, there would be </w:t>
      </w:r>
      <w:r w:rsidR="009D35D2">
        <w:t xml:space="preserve">a </w:t>
      </w:r>
      <w:r>
        <w:t xml:space="preserve">greatly reduced need for workplace policies that restrict behaviors related to sex. </w:t>
      </w:r>
    </w:p>
    <w:p w14:paraId="318D9FA6" w14:textId="77777777" w:rsidR="007F037D" w:rsidRDefault="007F037D" w:rsidP="007E7460">
      <w:pPr>
        <w:spacing w:line="480" w:lineRule="auto"/>
      </w:pPr>
    </w:p>
    <w:p w14:paraId="1EEB5896" w14:textId="5A380110" w:rsidR="007F037D" w:rsidRDefault="007F037D" w:rsidP="007E7460">
      <w:pPr>
        <w:spacing w:line="480" w:lineRule="auto"/>
      </w:pPr>
      <w:r>
        <w:t xml:space="preserve">Although some workplace policies prevent some situations to which individuals dissent, workplace policies do not prevent all these situations; individual dissent is often not respected </w:t>
      </w:r>
      <w:r>
        <w:lastRenderedPageBreak/>
        <w:t>even by permissible and worthwhile policies and procedures. The kind or range of dissent worth respecting in the workplace often differs from the kind or range of dissent worth respecting outside the workplace. For example, i</w:t>
      </w:r>
      <w:r w:rsidRPr="004810F2">
        <w:t xml:space="preserve">n the workplace in particular, corporate </w:t>
      </w:r>
      <w:r>
        <w:t>policies</w:t>
      </w:r>
      <w:r w:rsidRPr="004810F2">
        <w:t xml:space="preserve"> might require </w:t>
      </w:r>
      <w:r>
        <w:t xml:space="preserve">an employee to </w:t>
      </w:r>
      <w:r w:rsidRPr="004810F2">
        <w:t xml:space="preserve">perform </w:t>
      </w:r>
      <w:r>
        <w:t xml:space="preserve">additional </w:t>
      </w:r>
      <w:r w:rsidRPr="004810F2">
        <w:t>job duties</w:t>
      </w:r>
      <w:r>
        <w:t xml:space="preserve"> (such as additional hours, menial paperwork filing, and additional reporting)</w:t>
      </w:r>
      <w:r w:rsidRPr="004810F2">
        <w:t xml:space="preserve"> </w:t>
      </w:r>
      <w:r>
        <w:t xml:space="preserve">on the spot that </w:t>
      </w:r>
      <w:r w:rsidRPr="004810F2">
        <w:t xml:space="preserve">they would not perform were they not pressured into doing </w:t>
      </w:r>
      <w:r>
        <w:t xml:space="preserve">so </w:t>
      </w:r>
      <w:r w:rsidRPr="004810F2">
        <w:t xml:space="preserve">by virtue of </w:t>
      </w:r>
      <w:r>
        <w:t>job loss, poor evaluations, etc.</w:t>
      </w:r>
      <w:r w:rsidRPr="004810F2">
        <w:t xml:space="preserve"> </w:t>
      </w:r>
      <w:r>
        <w:t>These policies create an ultimatum that constitutes a threat: do this work or be fired.</w:t>
      </w:r>
      <w:r>
        <w:rPr>
          <w:rStyle w:val="EndnoteReference"/>
        </w:rPr>
        <w:endnoteReference w:id="16"/>
      </w:r>
      <w:r>
        <w:t xml:space="preserve"> Similarly, employees can be forced to cease a romantic relationship with a coworker if such a relationship violates worthwhile workplace policies, even if each partner would dissent to the dissolution of the relationship. </w:t>
      </w:r>
    </w:p>
    <w:p w14:paraId="21327F2B" w14:textId="77777777" w:rsidR="007F037D" w:rsidRDefault="007F037D" w:rsidP="008C30EB">
      <w:pPr>
        <w:spacing w:line="480" w:lineRule="auto"/>
      </w:pPr>
    </w:p>
    <w:p w14:paraId="4985D0EE" w14:textId="778B2616" w:rsidR="007F037D" w:rsidRDefault="007F037D" w:rsidP="008C30EB">
      <w:pPr>
        <w:spacing w:line="480" w:lineRule="auto"/>
      </w:pPr>
      <w:r>
        <w:t>These actions do not respect</w:t>
      </w:r>
      <w:r w:rsidRPr="004810F2">
        <w:t xml:space="preserve"> </w:t>
      </w:r>
      <w:r>
        <w:t>employees’</w:t>
      </w:r>
      <w:r w:rsidRPr="004810F2">
        <w:t xml:space="preserve"> </w:t>
      </w:r>
      <w:r>
        <w:t>dissent</w:t>
      </w:r>
      <w:r w:rsidRPr="004810F2">
        <w:t xml:space="preserve"> as </w:t>
      </w:r>
      <w:r>
        <w:t>dissent</w:t>
      </w:r>
      <w:r w:rsidRPr="004810F2">
        <w:t xml:space="preserve"> is typically understood in other cont</w:t>
      </w:r>
      <w:r>
        <w:t xml:space="preserve">exts. Imagine, for example, one party to a serious dating relationship telling the other, who desires not to have sex until marriage, “Have sex with me right now or I’ll end this relationship,” (“Do this or you’re fired from this relationship.”) Such a threat, by virtue of its influence on the recipient’s decision making, both disrespects the recipient’s dissent to sex and goes even further by invalidating the recipient’s consent were the recipient to offer it. On </w:t>
      </w:r>
      <w:r w:rsidRPr="000301E2">
        <w:t>many theories of consent,</w:t>
      </w:r>
      <w:r>
        <w:t xml:space="preserve"> threats</w:t>
      </w:r>
      <w:r w:rsidRPr="000301E2">
        <w:t xml:space="preserve"> and resulting pressure invalidates the </w:t>
      </w:r>
      <w:r>
        <w:t>recipient’s</w:t>
      </w:r>
      <w:r w:rsidRPr="000301E2">
        <w:t xml:space="preserve"> </w:t>
      </w:r>
      <w:r>
        <w:t>consent,</w:t>
      </w:r>
      <w:r w:rsidRPr="000301E2">
        <w:rPr>
          <w:rStyle w:val="EndnoteReference"/>
        </w:rPr>
        <w:endnoteReference w:id="17"/>
      </w:r>
      <w:r>
        <w:t xml:space="preserve"> and a</w:t>
      </w:r>
      <w:r w:rsidRPr="000301E2">
        <w:t>ccording to almost all sexual harassment traini</w:t>
      </w:r>
      <w:r>
        <w:t>ng, threats invalidate consent. The invalidation of consent by threats</w:t>
      </w:r>
      <w:r w:rsidRPr="000301E2">
        <w:t xml:space="preserve"> is </w:t>
      </w:r>
      <w:r>
        <w:t>a position maintained</w:t>
      </w:r>
      <w:r w:rsidRPr="000301E2">
        <w:t xml:space="preserve"> by the U.S. government</w:t>
      </w:r>
      <w:r>
        <w:t>’s</w:t>
      </w:r>
      <w:r w:rsidRPr="000301E2">
        <w:t xml:space="preserve"> guidance on federally-funded universities’ definitions of consent for purposes of Title IX training: </w:t>
      </w:r>
      <w:r w:rsidRPr="00543DBE">
        <w:t xml:space="preserve">“There is no consent when there is force, expressed or implied, or when coercion, intimidation, threats, or duress is used. Whether a person has taken advantage of a position of influence over another person may be a factor in determining consent.” </w:t>
      </w:r>
      <w:r>
        <w:rPr>
          <w:rFonts w:eastAsia="Times New Roman"/>
          <w:color w:val="262626"/>
          <w:shd w:val="clear" w:color="auto" w:fill="FFFFFF"/>
        </w:rPr>
        <w:t>(U.S. Government 2014)</w:t>
      </w:r>
      <w:r w:rsidRPr="000301E2">
        <w:rPr>
          <w:rFonts w:eastAsia="Times New Roman"/>
          <w:color w:val="262626"/>
          <w:shd w:val="clear" w:color="auto" w:fill="FFFFFF"/>
        </w:rPr>
        <w:t xml:space="preserve"> </w:t>
      </w:r>
      <w:r>
        <w:t>I</w:t>
      </w:r>
      <w:r w:rsidRPr="000301E2">
        <w:t xml:space="preserve">n addition, in the medical ethics literature, </w:t>
      </w:r>
      <w:r w:rsidRPr="000301E2">
        <w:lastRenderedPageBreak/>
        <w:t>where informed consent i</w:t>
      </w:r>
      <w:r>
        <w:t>s discussed at length, threats (</w:t>
      </w:r>
      <w:r w:rsidRPr="000301E2">
        <w:t xml:space="preserve">even </w:t>
      </w:r>
      <w:r>
        <w:t>threats involving minimal bodily harm)</w:t>
      </w:r>
      <w:r w:rsidRPr="000301E2">
        <w:t xml:space="preserve"> can invalidate the voluntariness condition on consent, making it so that the patient is either unable to consent, or, if they consent, cannot provide valid consent.</w:t>
      </w:r>
      <w:r>
        <w:rPr>
          <w:rStyle w:val="EndnoteReference"/>
        </w:rPr>
        <w:endnoteReference w:id="18"/>
      </w:r>
      <w:r>
        <w:t xml:space="preserve"> Such threats </w:t>
      </w:r>
      <w:r w:rsidRPr="00C15AD1">
        <w:rPr>
          <w:i/>
        </w:rPr>
        <w:t>ipso facto</w:t>
      </w:r>
      <w:r>
        <w:t xml:space="preserve"> also disrespect the recipient’s dissent—per Title IX training and the medical ethics literature, force, intimidation, and threats disrespect the recipient’s dissent. In contrast, in a workplace when an owner tells an employee to accept a paperwork-filing position or lose employment, either the threat and resulting pressure does not invalidate the employee’s dissent as it is typically understood or disrespecting employee dissent is sometimes permissible in workplace contexts. </w:t>
      </w:r>
    </w:p>
    <w:p w14:paraId="294562A0" w14:textId="77777777" w:rsidR="007F037D" w:rsidRDefault="007F037D" w:rsidP="008C30EB">
      <w:pPr>
        <w:spacing w:line="480" w:lineRule="auto"/>
      </w:pPr>
    </w:p>
    <w:p w14:paraId="2E880A3A" w14:textId="02B62BA5" w:rsidR="007F037D" w:rsidRDefault="007F037D" w:rsidP="008C30EB">
      <w:pPr>
        <w:spacing w:line="480" w:lineRule="auto"/>
      </w:pPr>
      <w:r>
        <w:t>Of course, there are contexts in which coworkers must respect others’ dissent. This respect is violated when, for example, a manager threatens an employee in a way that pressures the employee into providing personal favors for the manager. It is impermissible for the man</w:t>
      </w:r>
      <w:r w:rsidR="00D308EB">
        <w:t>a</w:t>
      </w:r>
      <w:r>
        <w:t xml:space="preserve">ger to tell an employee that the employee must buy the manager groceries or be fired (when that task is not within the employee’s job responsibilities). Such an ultimatum is impermissible not just because it requires the employee to do something to which the employee would otherwise dissent (otherwise other worthwhile policies would be impermissible, as shown in the previous paragraph) but because the reason for the ultimatum is not primarily to benefit the company but is instead solely to benefit the individual manager. </w:t>
      </w:r>
    </w:p>
    <w:p w14:paraId="65E54AF8" w14:textId="77777777" w:rsidR="007F037D" w:rsidRDefault="007F037D" w:rsidP="008C30EB">
      <w:pPr>
        <w:spacing w:line="480" w:lineRule="auto"/>
      </w:pPr>
    </w:p>
    <w:p w14:paraId="1A5A67CD" w14:textId="65B9FB87" w:rsidR="007F037D" w:rsidRDefault="007F037D" w:rsidP="008C30EB">
      <w:pPr>
        <w:spacing w:line="480" w:lineRule="auto"/>
      </w:pPr>
      <w:r>
        <w:t>This contrast is instructive. It reveals that in the workplace, employees can sometimes permissibly be pressured against their dissent (as it is commonly</w:t>
      </w:r>
      <w:r w:rsidR="002D5A03">
        <w:t xml:space="preserve"> </w:t>
      </w:r>
      <w:r>
        <w:t xml:space="preserve">understood) to perform tasks that are primarily for the sake of the company’s benefit but not those that are solely for the </w:t>
      </w:r>
      <w:r>
        <w:lastRenderedPageBreak/>
        <w:t xml:space="preserve">personal benefit of an individual so long as the employee wishes to retain employment with the company. </w:t>
      </w:r>
    </w:p>
    <w:p w14:paraId="287A0ACD" w14:textId="77777777" w:rsidR="007F037D" w:rsidRDefault="007F037D" w:rsidP="008C30EB">
      <w:pPr>
        <w:spacing w:line="480" w:lineRule="auto"/>
      </w:pPr>
    </w:p>
    <w:p w14:paraId="19204EC4" w14:textId="744F82D5" w:rsidR="007F037D" w:rsidRDefault="007F037D" w:rsidP="008C30EB">
      <w:pPr>
        <w:spacing w:line="480" w:lineRule="auto"/>
      </w:pPr>
      <w:r>
        <w:t xml:space="preserve">Respecting employee dissent, then, does not have the role that one might think it has if one extrapolates from what is required in the context of individual relationships; if a workplace policy is made for the sake of the organization as a whole and pertains to an employee’s behavior on the job, employee dissent, as it is typically understood, can be permissibly overridden. </w:t>
      </w:r>
    </w:p>
    <w:p w14:paraId="6CFD13DE" w14:textId="77777777" w:rsidR="007F037D" w:rsidRDefault="007F037D" w:rsidP="008C30EB">
      <w:pPr>
        <w:spacing w:line="480" w:lineRule="auto"/>
      </w:pPr>
    </w:p>
    <w:p w14:paraId="6CAE4589" w14:textId="12C2E854" w:rsidR="007F037D" w:rsidRDefault="007F037D" w:rsidP="008C30EB">
      <w:pPr>
        <w:spacing w:line="480" w:lineRule="auto"/>
      </w:pPr>
      <w:r>
        <w:t xml:space="preserve">What has been said here is compatible with it not being the case that every kind of dissent can be overridden for the organization’s goals; instead, the point is that there are some cases in which individual dissent can be overridden for the sake of company goals. Further, an organization can never simply force an individual to perform an action “no matter what.” Instead, organizations can give employees ultimatums that constitute a threat relevant to their employment and such a threat is both permissible and would disrespect employee dissent as it is typically understood. </w:t>
      </w:r>
      <w:r w:rsidR="00C63A10">
        <w:t>So, i</w:t>
      </w:r>
      <w:r>
        <w:t xml:space="preserve">f chastity is worth having in the workplace, it is not worth having merely because it respects the dissent of others in the workplace—our account of the consent involved needs to be more nuanced than it is typically understood. Instead, chastity is worth having in workplace contexts because it respects a certain kind or range of dissent that is different from the kind or range of dissent worth respecting outside of workplace contexts. </w:t>
      </w:r>
    </w:p>
    <w:p w14:paraId="43F00ABC" w14:textId="77777777" w:rsidR="007F037D" w:rsidRDefault="007F037D" w:rsidP="008C30EB">
      <w:pPr>
        <w:spacing w:line="480" w:lineRule="auto"/>
      </w:pPr>
    </w:p>
    <w:p w14:paraId="41DC65C7" w14:textId="4AF8EB76" w:rsidR="007F037D" w:rsidRDefault="007F037D" w:rsidP="008C30EB">
      <w:pPr>
        <w:spacing w:line="480" w:lineRule="auto"/>
      </w:pPr>
      <w:r>
        <w:t xml:space="preserve">To discover what kind or range of dissent is worth protecting with company policies, we can look to a reason besides respecting dissent for which there are worthwhile company policies against </w:t>
      </w:r>
      <w:r w:rsidRPr="004453C7">
        <w:rPr>
          <w:b/>
        </w:rPr>
        <w:t>Spying</w:t>
      </w:r>
      <w:r>
        <w:t xml:space="preserve"> and </w:t>
      </w:r>
      <w:r w:rsidRPr="004453C7">
        <w:rPr>
          <w:b/>
        </w:rPr>
        <w:t>Stalking</w:t>
      </w:r>
      <w:r>
        <w:t xml:space="preserve"> above. Perhaps that reason will provide insight into the kind of </w:t>
      </w:r>
      <w:r>
        <w:lastRenderedPageBreak/>
        <w:t xml:space="preserve">dissent worth respecting with company policies. One such reason for worthwhile policies like those against </w:t>
      </w:r>
      <w:r w:rsidRPr="00FA11CE">
        <w:rPr>
          <w:b/>
        </w:rPr>
        <w:t>Spying</w:t>
      </w:r>
      <w:r>
        <w:t xml:space="preserve"> and </w:t>
      </w:r>
      <w:r w:rsidRPr="00FA11CE">
        <w:rPr>
          <w:b/>
        </w:rPr>
        <w:t>Stalking</w:t>
      </w:r>
      <w:r>
        <w:t xml:space="preserve">, which is also a general reason for respecting others’ privacy, is to prevent violations of the victim’s dignity. </w:t>
      </w:r>
    </w:p>
    <w:p w14:paraId="44A6D07D" w14:textId="77777777" w:rsidR="007F037D" w:rsidRDefault="007F037D" w:rsidP="0058156B">
      <w:pPr>
        <w:spacing w:line="480" w:lineRule="auto"/>
      </w:pPr>
    </w:p>
    <w:p w14:paraId="3E209382" w14:textId="6E415FB8" w:rsidR="007F037D" w:rsidRPr="00ED19C4" w:rsidRDefault="00D44DBC" w:rsidP="008E5120">
      <w:pPr>
        <w:spacing w:line="480" w:lineRule="auto"/>
        <w:outlineLvl w:val="0"/>
        <w:rPr>
          <w:b/>
        </w:rPr>
      </w:pPr>
      <w:r>
        <w:rPr>
          <w:b/>
        </w:rPr>
        <w:t xml:space="preserve">III </w:t>
      </w:r>
      <w:r w:rsidR="007F037D" w:rsidRPr="001F4855">
        <w:rPr>
          <w:b/>
        </w:rPr>
        <w:t>Stage 3: Dignity Violations</w:t>
      </w:r>
    </w:p>
    <w:p w14:paraId="75850DE6" w14:textId="417B70E5" w:rsidR="007F037D" w:rsidRDefault="007F037D" w:rsidP="008C30EB">
      <w:pPr>
        <w:spacing w:line="480" w:lineRule="auto"/>
      </w:pPr>
      <w:r>
        <w:t>One often-cited reason that privacy violations are morally impermissible, even when they do not harm their victim, is that by taking someone’s personal information without their permission, one is thereby removing the victim’s ability to maintain boundaries that define their position in their community.</w:t>
      </w:r>
      <w:r>
        <w:rPr>
          <w:rStyle w:val="EndnoteReference"/>
        </w:rPr>
        <w:endnoteReference w:id="19"/>
      </w:r>
      <w:r>
        <w:t xml:space="preserve"> Applied to the workplace, even if the extracted personal information does not harm the victim, one’s viewing of private information creates a kind of relationship that changes the victim’s position in their work environment. This is because certain kinds of information </w:t>
      </w:r>
      <w:r w:rsidR="00D9440B">
        <w:t>acquisition</w:t>
      </w:r>
      <w:r>
        <w:t xml:space="preserve"> influence the kinds of relationships one has within their community. For examples in which kinds of information indicate the nature of one’s relationships: one’s spouse has different information about them (e.g</w:t>
      </w:r>
      <w:r w:rsidR="00D9440B">
        <w:t>. what they look like when they a</w:t>
      </w:r>
      <w:r>
        <w:t xml:space="preserve">re at their worst) than do one’s acquaintances; one’s bank teller has different information about their customer (e.g. what their account balances are) than does that customer’s close friends; and one’s employer has different information about their employee (how the employee is performing) than does the employee’s parents. Exactly what kinds of information are standard for each type of relationship can vary by culture and sub-culture; yet, information is an important or essential way to shape one’s relationships. Most relevant to </w:t>
      </w:r>
      <w:r w:rsidRPr="00C848F1">
        <w:rPr>
          <w:b/>
        </w:rPr>
        <w:t>Spying</w:t>
      </w:r>
      <w:r>
        <w:t xml:space="preserve"> and </w:t>
      </w:r>
      <w:r w:rsidRPr="00C848F1">
        <w:rPr>
          <w:b/>
        </w:rPr>
        <w:t>Stalking</w:t>
      </w:r>
      <w:r>
        <w:t xml:space="preserve">, the kind of information businesspeople have about their coworkers is different from the kind of information that, say, married partners have about each other. In </w:t>
      </w:r>
      <w:r w:rsidRPr="000A12CF">
        <w:rPr>
          <w:b/>
        </w:rPr>
        <w:t>Spying</w:t>
      </w:r>
      <w:r>
        <w:t xml:space="preserve"> and </w:t>
      </w:r>
      <w:r w:rsidRPr="000A12CF">
        <w:rPr>
          <w:b/>
        </w:rPr>
        <w:t>Stalking</w:t>
      </w:r>
      <w:r>
        <w:t xml:space="preserve">, the spying/stalking employees are creating a close kind of relationship that changes the nature of the relationships that otherwise would have </w:t>
      </w:r>
      <w:r>
        <w:lastRenderedPageBreak/>
        <w:t xml:space="preserve">simply been coworker relationships. In short, one can acquire a different kind of, and more intimate, relationship to another person by acquiring certain kinds of information about them. </w:t>
      </w:r>
    </w:p>
    <w:p w14:paraId="6AD8951A" w14:textId="77777777" w:rsidR="007F037D" w:rsidRDefault="007F037D" w:rsidP="008C30EB">
      <w:pPr>
        <w:spacing w:line="480" w:lineRule="auto"/>
      </w:pPr>
    </w:p>
    <w:p w14:paraId="54658E3A" w14:textId="44CE684E" w:rsidR="007F037D" w:rsidRDefault="007F037D" w:rsidP="008C30EB">
      <w:pPr>
        <w:spacing w:line="480" w:lineRule="auto"/>
      </w:pPr>
      <w:r>
        <w:t xml:space="preserve">By extracting personal information from someone, the extractor acquires a non-permitted close relationship with the victim </w:t>
      </w:r>
      <w:r w:rsidRPr="000871E1">
        <w:t>and thereby removes the victim’s ability to maintain boundaries that are essential to maintaining the kind of community of which the victim is a part. Why is it important to maintain a certain kind of community in which one has a certain position? The answer is that one’s position in certain kinds of communities is a basic or</w:t>
      </w:r>
      <w:r>
        <w:t xml:space="preserve"> foundational good for an individual, and if one has no control over their position in their community, then this basic or foundational good is unprotected. Since foundational goods are worth protecting, it is worth creating policies that protect one’s privacy, even if not protecting it does not always harm the individual. </w:t>
      </w:r>
    </w:p>
    <w:p w14:paraId="65525720" w14:textId="77777777" w:rsidR="007F037D" w:rsidRDefault="007F037D" w:rsidP="00433717">
      <w:pPr>
        <w:spacing w:line="480" w:lineRule="auto"/>
      </w:pPr>
    </w:p>
    <w:p w14:paraId="2378ACD7" w14:textId="11DCF93D" w:rsidR="007F037D" w:rsidRDefault="007F037D" w:rsidP="00433717">
      <w:pPr>
        <w:spacing w:line="480" w:lineRule="auto"/>
      </w:pPr>
      <w:r>
        <w:t xml:space="preserve">To summarize the conclusions so far: chastity is worth having in the workplace because it protects an important human good—one’s position in their community. This good is worth protecting even if its loss does not harm the victim. And when that community is a workplace community, the important human good that is protected is not just any kind of individual consent/dissent, since individual consent/dissent can be overridden for the sake of another good—a fundamental good that has to do specifically with one’s position in the workplace community. </w:t>
      </w:r>
    </w:p>
    <w:p w14:paraId="22E548C8" w14:textId="77777777" w:rsidR="007F037D" w:rsidRDefault="007F037D" w:rsidP="008C30EB">
      <w:pPr>
        <w:spacing w:line="480" w:lineRule="auto"/>
      </w:pPr>
    </w:p>
    <w:p w14:paraId="7FEFF0C9" w14:textId="1BEF38EE" w:rsidR="007F037D" w:rsidRDefault="007F037D" w:rsidP="008C30EB">
      <w:pPr>
        <w:spacing w:line="480" w:lineRule="auto"/>
      </w:pPr>
      <w:r>
        <w:t xml:space="preserve">At this point, one might wonder whether one’s position in the workplace community is specifically related to the organization’s interests, where ‘interests’ here is meant to refer not just </w:t>
      </w:r>
      <w:r>
        <w:lastRenderedPageBreak/>
        <w:t xml:space="preserve">to any interests an organization has but what interests </w:t>
      </w:r>
      <w:r w:rsidR="00944AD4">
        <w:t xml:space="preserve">the </w:t>
      </w:r>
      <w:r>
        <w:t xml:space="preserve">organization </w:t>
      </w:r>
      <w:r w:rsidRPr="002B3B8C">
        <w:rPr>
          <w:i/>
        </w:rPr>
        <w:t>should</w:t>
      </w:r>
      <w:r>
        <w:t xml:space="preserve"> have. In the above section on preventing harm, </w:t>
      </w:r>
      <w:r w:rsidRPr="00D30C23">
        <w:rPr>
          <w:b/>
        </w:rPr>
        <w:t>Spying</w:t>
      </w:r>
      <w:r>
        <w:t xml:space="preserve"> and </w:t>
      </w:r>
      <w:r w:rsidRPr="00D30C23">
        <w:rPr>
          <w:b/>
        </w:rPr>
        <w:t>Stalking</w:t>
      </w:r>
      <w:r>
        <w:t xml:space="preserve"> involve actions performed for personal interests, not the interests of the companies involved, and in the section on respecting consent/dissent, the employee whose job was threatened were they not to take on additional responsibilities had their dissent disrespected for the sake of the organization’s (legitimate) interests. The same is true when coworkers are asked to dissolve a relationship. One might then think that what best protects a person’s position in their workplace community is when everyone in the community acts for the sake of the organization’s interests, so chastity is ultimately worth having in the workplace because it protects the organization’s interests against conflicting personal interests. It is to this issue that we turn in the next section. </w:t>
      </w:r>
    </w:p>
    <w:p w14:paraId="0D69B17E" w14:textId="77777777" w:rsidR="007F037D" w:rsidRDefault="007F037D" w:rsidP="00FA264C">
      <w:pPr>
        <w:spacing w:line="480" w:lineRule="auto"/>
      </w:pPr>
    </w:p>
    <w:p w14:paraId="6EC77705" w14:textId="6E5B2EBB" w:rsidR="007F037D" w:rsidRDefault="005D0C68" w:rsidP="008E5120">
      <w:pPr>
        <w:spacing w:line="480" w:lineRule="auto"/>
        <w:outlineLvl w:val="0"/>
        <w:rPr>
          <w:b/>
        </w:rPr>
      </w:pPr>
      <w:r>
        <w:rPr>
          <w:b/>
        </w:rPr>
        <w:t xml:space="preserve">IV </w:t>
      </w:r>
      <w:r w:rsidR="007F037D">
        <w:rPr>
          <w:b/>
        </w:rPr>
        <w:t>Stage 4</w:t>
      </w:r>
      <w:r w:rsidR="007F037D" w:rsidRPr="00B16927">
        <w:rPr>
          <w:b/>
        </w:rPr>
        <w:t>: Conflicts of Interest</w:t>
      </w:r>
    </w:p>
    <w:p w14:paraId="2395785B" w14:textId="22807E00" w:rsidR="007F037D" w:rsidRDefault="007F037D" w:rsidP="007224FB">
      <w:pPr>
        <w:spacing w:line="480" w:lineRule="auto"/>
      </w:pPr>
      <w:r>
        <w:t>Protection against conflicts of interest is the often-cited reason</w:t>
      </w:r>
      <w:r w:rsidRPr="004810F2">
        <w:t xml:space="preserve"> for </w:t>
      </w:r>
      <w:r>
        <w:t xml:space="preserve">worthwhile policies preventing nepotism and </w:t>
      </w:r>
      <w:r w:rsidRPr="004810F2">
        <w:t>workplace romances</w:t>
      </w:r>
      <w:r>
        <w:t>. Workplace policies prohibiting romantic relationships do so because romantic relationships tend to incline</w:t>
      </w:r>
      <w:r w:rsidRPr="004810F2">
        <w:t xml:space="preserve"> coworker</w:t>
      </w:r>
      <w:r>
        <w:t>s</w:t>
      </w:r>
      <w:r w:rsidRPr="004810F2">
        <w:t xml:space="preserve">, as a result of </w:t>
      </w:r>
      <w:r>
        <w:t>romantic</w:t>
      </w:r>
      <w:r w:rsidRPr="004810F2">
        <w:t xml:space="preserve"> incentive</w:t>
      </w:r>
      <w:r>
        <w:t>s</w:t>
      </w:r>
      <w:r w:rsidRPr="004810F2">
        <w:t xml:space="preserve">, to deviate from the </w:t>
      </w:r>
      <w:r>
        <w:t xml:space="preserve">good of the workplace community. This deviation could include distraction, discrimination, power imbalances, or untoward interaction if the relationship ends acrimoniously. In fact, </w:t>
      </w:r>
      <w:r w:rsidRPr="004810F2">
        <w:t xml:space="preserve">were workplace superiors to have both access to the occurrence of </w:t>
      </w:r>
      <w:r>
        <w:t>romantic or sexual interests</w:t>
      </w:r>
      <w:r w:rsidRPr="004810F2">
        <w:t xml:space="preserve"> and the means to prevent </w:t>
      </w:r>
      <w:r>
        <w:t xml:space="preserve">them by means of a policy, they would likely do so, even if those relationships do not have the status of a dating relationship, so long as doing so would not create greater losses or injustices. Chastity, then, would prevent the need for the application of these policies and would protect the organizations’ interests against conflicting personal romantic or sexual interests. </w:t>
      </w:r>
    </w:p>
    <w:p w14:paraId="3E52D61E" w14:textId="77777777" w:rsidR="007F037D" w:rsidRDefault="007F037D" w:rsidP="00D648BA">
      <w:pPr>
        <w:spacing w:line="480" w:lineRule="auto"/>
      </w:pPr>
    </w:p>
    <w:p w14:paraId="42F0361F" w14:textId="4D92BB73" w:rsidR="007F037D" w:rsidRDefault="007F037D" w:rsidP="00D648BA">
      <w:pPr>
        <w:spacing w:line="480" w:lineRule="auto"/>
      </w:pPr>
      <w:r>
        <w:t>Chastity</w:t>
      </w:r>
      <w:r w:rsidR="002E1633">
        <w:t>, then,</w:t>
      </w:r>
      <w:r>
        <w:t xml:space="preserve"> is valuable both because it protects </w:t>
      </w:r>
      <w:r w:rsidRPr="00B34B48">
        <w:rPr>
          <w:i/>
        </w:rPr>
        <w:t>individuals’ position in their workplace community</w:t>
      </w:r>
      <w:r>
        <w:t xml:space="preserve"> against individual sexual interests—the conclusion of the previous section—and because it protects </w:t>
      </w:r>
      <w:r w:rsidRPr="00B34B48">
        <w:rPr>
          <w:i/>
        </w:rPr>
        <w:t>the organization’s interests</w:t>
      </w:r>
      <w:r>
        <w:t xml:space="preserve"> against individual sexual interests. One can then reasonably ask whether one’s position in the workplace is also in the interest of organizations, and if one’s position in the workplace is in organizations’ interests, we can ask: what about one’s position in the workplace is in the interest of the organization? I will maintain that it is in the interest of organizations (and it is a good thing) for the organization’s members to be appropriately valued for their contributions to the workplace. Chastity helps to secure this interest against conflicting individual sexual interests, and it also helps to protect this good by preventing others from removing the victim’s ability to maintain boundaries in their workplace community. </w:t>
      </w:r>
    </w:p>
    <w:p w14:paraId="0AED22F4" w14:textId="77777777" w:rsidR="007F037D" w:rsidRDefault="007F037D" w:rsidP="00D648BA">
      <w:pPr>
        <w:spacing w:line="480" w:lineRule="auto"/>
      </w:pPr>
    </w:p>
    <w:p w14:paraId="173F63A1" w14:textId="7764E167" w:rsidR="007F037D" w:rsidRDefault="007F037D" w:rsidP="00D648BA">
      <w:pPr>
        <w:spacing w:line="480" w:lineRule="auto"/>
      </w:pPr>
      <w:r>
        <w:t>To show how chastity helps to secure one’s ability to be appropriately valued for their contributions to workplace success, let us again look to worthwhile workplace policies, this time contrasting policies against workplace romances with policies against different partnerships between coworkers, like married partners. E</w:t>
      </w:r>
      <w:r w:rsidRPr="004810F2">
        <w:t xml:space="preserve">ven in workplaces in which </w:t>
      </w:r>
      <w:r>
        <w:t xml:space="preserve">office </w:t>
      </w:r>
      <w:r w:rsidRPr="004810F2">
        <w:t xml:space="preserve">romances are </w:t>
      </w:r>
      <w:r>
        <w:t>reasonably</w:t>
      </w:r>
      <w:r w:rsidRPr="004810F2">
        <w:t xml:space="preserve"> prohibited, </w:t>
      </w:r>
      <w:r>
        <w:t xml:space="preserve">it is often </w:t>
      </w:r>
      <w:r w:rsidRPr="004810F2">
        <w:t xml:space="preserve">reasonable to allow </w:t>
      </w:r>
      <w:r>
        <w:t xml:space="preserve">some </w:t>
      </w:r>
      <w:r w:rsidRPr="004810F2">
        <w:t xml:space="preserve">married partners to work together. </w:t>
      </w:r>
      <w:r>
        <w:t>In fact, anti-nepotism policies often group spouses together with sibling and parent</w:t>
      </w:r>
      <w:r w:rsidR="002E1633">
        <w:t>–</w:t>
      </w:r>
      <w:r>
        <w:t>child relationships. Behind this division between workplace romances on one hand and spouses/family members on the other seems to be the idea that married partners, like siblings, are better able to curb romantic and sexual interests whenever those interests would interfere with the well-functioning of the business community than are dating couples.</w:t>
      </w:r>
      <w:r>
        <w:rPr>
          <w:rStyle w:val="EndnoteReference"/>
        </w:rPr>
        <w:endnoteReference w:id="20"/>
      </w:r>
      <w:r>
        <w:t xml:space="preserve"> There might be reasons not to </w:t>
      </w:r>
      <w:r>
        <w:lastRenderedPageBreak/>
        <w:t>allow spouses to work together—favoritism, for example, as it is with other nepotistic relationships—but spouses’ inability to curb sexual interest does not seem to be the reason not to allow spouses to work together, whereas dating partners’ inability to curb (or difficult</w:t>
      </w:r>
      <w:r w:rsidR="00C727F7">
        <w:t>y</w:t>
      </w:r>
      <w:r>
        <w:t xml:space="preserve"> with curbing) sexual interest does seem to be the reason not to allow dating partners to work together. </w:t>
      </w:r>
    </w:p>
    <w:p w14:paraId="4662AD40" w14:textId="77777777" w:rsidR="007F037D" w:rsidRDefault="007F037D" w:rsidP="00D648BA">
      <w:pPr>
        <w:spacing w:line="480" w:lineRule="auto"/>
      </w:pPr>
    </w:p>
    <w:p w14:paraId="52C17A1E" w14:textId="05442A60" w:rsidR="007F037D" w:rsidRDefault="007F037D" w:rsidP="00D648BA">
      <w:pPr>
        <w:spacing w:line="480" w:lineRule="auto"/>
      </w:pPr>
      <w:r>
        <w:t>Other reasons an organization might have for disallowing dating relationships in the workplace—the tenuous, complicated, transient nature of many dating relationships—do not seem to be the ultimate reasons for disallowing such relationships. In fact, even if an organization knew that a pair of coworkers’ dating relationship would not end unfavorably before both partners quit (for reasons independent of their relationship), it might be worthwhile for a company to require the dissolution of the relationship. The dissolution requirement might be worthwhile because individuals in some kinds of the above relationships tend to relate to each other as if the other is a satisfier of sexual interest; that way of relating to each other is likely to prevent simultaneously relating to the other in a way that conduces to appropriately valuing the other’s contributions to the workplace,</w:t>
      </w:r>
      <w:r>
        <w:rPr>
          <w:rStyle w:val="EndnoteReference"/>
        </w:rPr>
        <w:endnoteReference w:id="21"/>
      </w:r>
      <w:r>
        <w:t xml:space="preserve"> in part due to distraction from other aspects of a person or, in the extreme case, a reorientation of a view of that person that prevents appreciating their other contributions entirely, subsuming work life into romantic life and interpreting much of the other person’s workplace actions in light of romantic opportunities. </w:t>
      </w:r>
    </w:p>
    <w:p w14:paraId="529D5C72" w14:textId="77777777" w:rsidR="007F037D" w:rsidRDefault="007F037D" w:rsidP="00D648BA">
      <w:pPr>
        <w:spacing w:line="480" w:lineRule="auto"/>
      </w:pPr>
    </w:p>
    <w:p w14:paraId="7274037C" w14:textId="02DEE3D9" w:rsidR="007F037D" w:rsidRDefault="007F037D" w:rsidP="00D648BA">
      <w:pPr>
        <w:spacing w:line="480" w:lineRule="auto"/>
      </w:pPr>
      <w:r>
        <w:t xml:space="preserve">To summarize, the fundamental good that has to do with one’s position in their workplace community and a good that is in organizations’ interests is to have each worker’s contributions toward workplace success appropriately valued. This is revealed by the reasons behind workplace policies that enforce chaste behavior, like those against workplace romances, </w:t>
      </w:r>
      <w:r>
        <w:lastRenderedPageBreak/>
        <w:t xml:space="preserve">contrasted with the reasons behind policies against married people working together—nepotism policies. Since it is in organizations’ interests for each individual to have a position in their workplace community in which they are appropriately valued for their workplace contributions, it is worth having chastity in the workplace, where chastity protects against the sexual interests that interfere with appropriate valuation of others’ contributions toward workplace success. </w:t>
      </w:r>
    </w:p>
    <w:p w14:paraId="79F06657" w14:textId="77777777" w:rsidR="007F037D" w:rsidRDefault="007F037D" w:rsidP="00D648BA">
      <w:pPr>
        <w:spacing w:line="480" w:lineRule="auto"/>
      </w:pPr>
    </w:p>
    <w:p w14:paraId="032EDF82" w14:textId="72ACFC17" w:rsidR="007F037D" w:rsidRDefault="007F037D" w:rsidP="00D648BA">
      <w:pPr>
        <w:spacing w:line="480" w:lineRule="auto"/>
      </w:pPr>
      <w:r>
        <w:t xml:space="preserve">We can now ask exactly what chastity worth having in the workplace is. Whatever it is, it will be some sort of disposition that prevents one’s sexual interest from interfering with one’s appropriate valuation of others’ contributions to workplace success. </w:t>
      </w:r>
    </w:p>
    <w:p w14:paraId="380BA77F" w14:textId="77777777" w:rsidR="007F037D" w:rsidRDefault="007F037D" w:rsidP="006D7A1F">
      <w:pPr>
        <w:spacing w:line="480" w:lineRule="auto"/>
      </w:pPr>
    </w:p>
    <w:p w14:paraId="32257992" w14:textId="456B610B" w:rsidR="007F037D" w:rsidRPr="006D7A1F" w:rsidRDefault="00E10DBF" w:rsidP="008E5120">
      <w:pPr>
        <w:spacing w:line="480" w:lineRule="auto"/>
        <w:outlineLvl w:val="0"/>
        <w:rPr>
          <w:b/>
        </w:rPr>
      </w:pPr>
      <w:r>
        <w:rPr>
          <w:b/>
        </w:rPr>
        <w:t xml:space="preserve">V </w:t>
      </w:r>
      <w:r w:rsidR="007F037D">
        <w:rPr>
          <w:b/>
        </w:rPr>
        <w:t>The Account:</w:t>
      </w:r>
      <w:r w:rsidR="007F037D" w:rsidRPr="006D7A1F">
        <w:rPr>
          <w:b/>
        </w:rPr>
        <w:t xml:space="preserve"> Workplace Chastity Worth Having</w:t>
      </w:r>
    </w:p>
    <w:p w14:paraId="4B82FB59" w14:textId="35B40592" w:rsidR="007F037D" w:rsidRDefault="007F037D" w:rsidP="00D648BA">
      <w:pPr>
        <w:spacing w:line="480" w:lineRule="auto"/>
      </w:pPr>
      <w:r>
        <w:t xml:space="preserve">Although many virtues, chastity included, involve cognition, acts of the will, and desiring or affective </w:t>
      </w:r>
      <w:r w:rsidR="00F306CD">
        <w:t>states, according to the view I wi</w:t>
      </w:r>
      <w:r>
        <w:t>ll propose, the value that chastity has in the workplace lies primarily in the agent’s cognitive states.</w:t>
      </w:r>
      <w:r>
        <w:rPr>
          <w:rStyle w:val="EndnoteReference"/>
        </w:rPr>
        <w:endnoteReference w:id="22"/>
      </w:r>
      <w:r>
        <w:t xml:space="preserve"> Workplace chastity worth having, I propose, is a negative virtue: it is the disposition not to construe others in the workplace as a means of satisfying sexual interests,</w:t>
      </w:r>
      <w:r>
        <w:rPr>
          <w:rStyle w:val="EndnoteReference"/>
        </w:rPr>
        <w:endnoteReference w:id="23"/>
      </w:r>
      <w:r>
        <w:t xml:space="preserve"> when construing someone as a satisfier of sexual interests interferes with appropriately valuing their contributions. Someone who has the chastity described here—that is, who does not construe coworkers as a means of satisfying sexual interests—will not perform the actions in </w:t>
      </w:r>
      <w:r w:rsidRPr="00E36CCD">
        <w:rPr>
          <w:b/>
        </w:rPr>
        <w:t>Spying</w:t>
      </w:r>
      <w:r>
        <w:t xml:space="preserve"> and </w:t>
      </w:r>
      <w:r w:rsidRPr="00E36CCD">
        <w:rPr>
          <w:b/>
        </w:rPr>
        <w:t>Stalking</w:t>
      </w:r>
      <w:r>
        <w:t xml:space="preserve">, will remove a reason for individuals to try to acquire a non-permitted close relationship with the victim, prevent conflicts of interests caused by sexual relationships in the workplace, prevent some possible workplace harms, and reduce the need to enforce policies against sexual harassment. </w:t>
      </w:r>
    </w:p>
    <w:p w14:paraId="221F67E1" w14:textId="77777777" w:rsidR="007F037D" w:rsidRDefault="007F037D" w:rsidP="00D648BA">
      <w:pPr>
        <w:spacing w:line="480" w:lineRule="auto"/>
      </w:pPr>
    </w:p>
    <w:p w14:paraId="16868E75" w14:textId="70E74B18" w:rsidR="007F037D" w:rsidRDefault="007F037D" w:rsidP="00D648BA">
      <w:pPr>
        <w:spacing w:line="480" w:lineRule="auto"/>
      </w:pPr>
      <w:r>
        <w:lastRenderedPageBreak/>
        <w:t xml:space="preserve">To discover whether a cognitive view of the value of chastity in the workplace is more valuable than are other views of the value of chastity in the workplace, we can contrast versions of chastity. First, let us consider a subject has who has chaste desires and feelings but unchaste cognition. In other words, the subject has no sexual desires or feelings toward a coworker, but the subject sees the coworker as a potential satisfier of sexual interest. This can happen when a coworker </w:t>
      </w:r>
      <w:r w:rsidR="00CE6907">
        <w:t>thinks about</w:t>
      </w:r>
      <w:r>
        <w:t xml:space="preserve"> indiscriminately having sex with coworkers but the subject does not want to have sex with the coworker</w:t>
      </w:r>
      <w:r w:rsidR="00796FF6">
        <w:t>s</w:t>
      </w:r>
      <w:r>
        <w:t xml:space="preserve"> or feel attracted to the</w:t>
      </w:r>
      <w:r w:rsidR="00796FF6">
        <w:t>m</w:t>
      </w:r>
      <w:r>
        <w:t xml:space="preserve">. In this case, the subject is treating the coworker as spies/stalkers could treat their victims. A subject could spy on or stalk a coworker without any sexual desire fulfillment/attraction in mind, perhaps instead spying merely out of curiosity, and in so doing does not harm but still wrongs the coworker. For the same reason that this kind of behavior is worth prohibiting in the workplace, it is valuable not to see others as sexual objects, even if the victim is unaware and even if no desire or attraction is involved. </w:t>
      </w:r>
    </w:p>
    <w:p w14:paraId="29E0E99F" w14:textId="77777777" w:rsidR="007F037D" w:rsidRDefault="007F037D" w:rsidP="00D648BA">
      <w:pPr>
        <w:spacing w:line="480" w:lineRule="auto"/>
      </w:pPr>
    </w:p>
    <w:p w14:paraId="7ECED749" w14:textId="062514C0" w:rsidR="007F037D" w:rsidRDefault="007F037D" w:rsidP="00D648BA">
      <w:pPr>
        <w:spacing w:line="480" w:lineRule="auto"/>
      </w:pPr>
      <w:r>
        <w:t xml:space="preserve">Now suppose the reverse is true: a subject has sexual desire for/attraction to a coworker but does not see the coworker as a satisfier of sexual desire. This occurs when someone </w:t>
      </w:r>
      <w:r w:rsidR="008F42A8">
        <w:t>views</w:t>
      </w:r>
      <w:r>
        <w:t xml:space="preserve"> a sexually attractive coworker as off-limits or simply unavailable. In this case, the subject merely has an unfulfilled desire or attraction, and the effect is similar to other situations in which coworkers are unfulfilled—when they are, for example, hungry (unfulfilled desire to eat), lonely (unfulfilled desire for companionship), tired (unfulfilled desire for sleep), or bored (unfulfilled desire for enjoyment). Although it is undesirable for coworkers to be hungry, lonely, tired, or bored, there is no policy against those states, and those states interfere with </w:t>
      </w:r>
      <w:r w:rsidR="00F81F25">
        <w:t xml:space="preserve">the </w:t>
      </w:r>
      <w:r>
        <w:t>valuation of coworkers just as much as does, say, mild</w:t>
      </w:r>
      <w:r w:rsidR="005F662C">
        <w:t xml:space="preserve"> illness. For this reason, I ha</w:t>
      </w:r>
      <w:r>
        <w:t xml:space="preserve">ve proposed that the value of chastity in the workplace lies in a cognitive state </w:t>
      </w:r>
      <w:r w:rsidR="005F662C">
        <w:t xml:space="preserve">rather </w:t>
      </w:r>
      <w:r>
        <w:t xml:space="preserve">than in desires or feelings. </w:t>
      </w:r>
    </w:p>
    <w:p w14:paraId="346F4C28" w14:textId="77777777" w:rsidR="007F037D" w:rsidRDefault="007F037D" w:rsidP="00D648BA">
      <w:pPr>
        <w:spacing w:line="480" w:lineRule="auto"/>
      </w:pPr>
    </w:p>
    <w:p w14:paraId="6142260B" w14:textId="02B754EE" w:rsidR="007F037D" w:rsidRDefault="007F037D" w:rsidP="00D648BA">
      <w:pPr>
        <w:spacing w:line="480" w:lineRule="auto"/>
      </w:pPr>
      <w:r>
        <w:t xml:space="preserve">Second, consider a subject has who has chaste volitions but unchaste cognition—the subject construes the coworker as a satisfier of the subject’s sexual interests but the subject does not choose to act on this way of seeing the coworker. This kind of situation can happen when one adheres to strict external rules against workplace romance or harassment or fear of accusation. If a subject sees a coworker as a satisfier of sexual interest but acts as if the coworker is not, the situation is similar to spying on a coworker but acting as if the spying has not occurred. As before, for the same reasons there are worthwhile policies against spying and stalking, even if spying or stalking is unknown to the victim and does not result in harm, it is valuable in the workplace not to see others as sexual objects, as doing so creates a kind of unauthorized relationship with the victim that crosses boundaries that define their position in their workplace. </w:t>
      </w:r>
    </w:p>
    <w:p w14:paraId="2CC97ABE" w14:textId="77777777" w:rsidR="007F037D" w:rsidRDefault="007F037D" w:rsidP="00D648BA">
      <w:pPr>
        <w:spacing w:line="480" w:lineRule="auto"/>
      </w:pPr>
    </w:p>
    <w:p w14:paraId="244FC048" w14:textId="0620D40D" w:rsidR="007F037D" w:rsidRDefault="007F037D" w:rsidP="00D648BA">
      <w:pPr>
        <w:spacing w:line="480" w:lineRule="auto"/>
      </w:pPr>
      <w:r>
        <w:t>Now suppose the reverse is true: a subject has chaste cognition but unchaste volitions—the subject does not see a coworker as a satisfier of sexual interest but chooses to act as if that coworker is a satisfier of the subject’s sexual interest—by acting flirtatiously, for example. In this case, the subject’s behavior is out of alignment with the subject’s way of seeing the coworker; the subject has no grounds to treat coworkers as if they are a satisfier of that interest. In a situation like this, the subject merely needs instruction or training in how to act around coworkers so that the subject’s behaviors align with their view of their coworkers. In this case, the subject lacks social awareness, and the effect is similar to someone who is used to using profanity or harsh speech at work with no ill intentions; such a person merely needs to be trained about how to act appropriately in the workplace.</w:t>
      </w:r>
      <w:r>
        <w:rPr>
          <w:rStyle w:val="EndnoteReference"/>
        </w:rPr>
        <w:endnoteReference w:id="24"/>
      </w:r>
      <w:r>
        <w:t xml:space="preserve"> Although it is undesirable for coworkers to need training, it is easier for organizations to correct such behaviors with workplace procedures </w:t>
      </w:r>
      <w:r>
        <w:lastRenderedPageBreak/>
        <w:t xml:space="preserve">than it is to correct individuals’ perceptions of their coworkers as sexual objects. </w:t>
      </w:r>
      <w:r w:rsidR="004A4767">
        <w:t>For this reason, I ha</w:t>
      </w:r>
      <w:r>
        <w:t xml:space="preserve">ve proposed that the value of chastity in the workplace lies more in a cognitive state than in acts of the will. </w:t>
      </w:r>
    </w:p>
    <w:p w14:paraId="48768731" w14:textId="77777777" w:rsidR="007F037D" w:rsidRDefault="007F037D" w:rsidP="00D648BA">
      <w:pPr>
        <w:spacing w:line="480" w:lineRule="auto"/>
      </w:pPr>
    </w:p>
    <w:p w14:paraId="4D3CC513" w14:textId="7853E6FE" w:rsidR="007F037D" w:rsidRDefault="007F037D" w:rsidP="00D648BA">
      <w:pPr>
        <w:spacing w:line="480" w:lineRule="auto"/>
      </w:pPr>
      <w:r>
        <w:t xml:space="preserve">The cognitive view proposed here explains why being unchaste inhibits appropriate valuation of other’s workplace contributions. Just as when one construes Wittgenstein’s duck-rabbit as a duck, one cannot simultaneously construe the duck-rabbit as a rabbit (one needs to switch back and forth), construing a coworker as a satisfier of sexual interest tends to prevent or inhibit simultaneously seeing other’s value </w:t>
      </w:r>
      <w:r w:rsidR="00961E55">
        <w:t>to</w:t>
      </w:r>
      <w:r>
        <w:t xml:space="preserve"> the workplace. </w:t>
      </w:r>
    </w:p>
    <w:p w14:paraId="062D372D" w14:textId="77777777" w:rsidR="007F037D" w:rsidRDefault="007F037D" w:rsidP="00D648BA">
      <w:pPr>
        <w:spacing w:line="480" w:lineRule="auto"/>
      </w:pPr>
    </w:p>
    <w:p w14:paraId="2379DEEB" w14:textId="730DBFB7" w:rsidR="007F037D" w:rsidRDefault="007F037D" w:rsidP="00D648BA">
      <w:pPr>
        <w:spacing w:line="480" w:lineRule="auto"/>
      </w:pPr>
      <w:r>
        <w:t xml:space="preserve">One upshot for the proposed view is that, possibly, someone can make it so that they do not see a coworker as a satisfier of sexual interest while at work but, once both parties are finished working, see each other as satisfiers of sexual interest by means of a gestalt shift. For example, just as someone can see Wittgenstein’s duck-rabbit as a duck at one moment and as a rabbit at another, a married couple for example might easily be able not to see each other as satisfiers of sexual interest when they are working together but see each other as satisfiers of sexual interest when they are not working. </w:t>
      </w:r>
    </w:p>
    <w:p w14:paraId="55E96F6B" w14:textId="77777777" w:rsidR="007F037D" w:rsidRDefault="007F037D" w:rsidP="000D5C5B">
      <w:pPr>
        <w:spacing w:line="480" w:lineRule="auto"/>
      </w:pPr>
    </w:p>
    <w:p w14:paraId="45E753F3" w14:textId="75E5D166" w:rsidR="007F037D" w:rsidRDefault="007F037D" w:rsidP="000D5C5B">
      <w:pPr>
        <w:spacing w:line="480" w:lineRule="auto"/>
      </w:pPr>
      <w:r>
        <w:t xml:space="preserve">Another upshot is that seeing another as a coworker is compatible with knowing that the person could be (and can be seen as) a satisfier of sexual interest. With Wittgenstein’s duck-rabbit, when someone sees the image as a duck, someone who does this can simultaneously know that the image can be seen as a rabbit, all while seeing the image as a duck instead of seeing the image as a rabbit. Similarly, someone might be able not to see someone as a satisfier of sexual </w:t>
      </w:r>
      <w:r>
        <w:lastRenderedPageBreak/>
        <w:t xml:space="preserve">interest, all while knowing, in a somewhat academic way, that the coworker could satisfy their sexual interests. </w:t>
      </w:r>
    </w:p>
    <w:p w14:paraId="6B5C567D" w14:textId="77777777" w:rsidR="007F037D" w:rsidRDefault="007F037D" w:rsidP="009036B8">
      <w:pPr>
        <w:spacing w:line="480" w:lineRule="auto"/>
      </w:pPr>
    </w:p>
    <w:p w14:paraId="55F2E017" w14:textId="064AB838" w:rsidR="007F037D" w:rsidRPr="00A36140" w:rsidRDefault="0069661F" w:rsidP="008E5120">
      <w:pPr>
        <w:spacing w:line="480" w:lineRule="auto"/>
        <w:outlineLvl w:val="0"/>
        <w:rPr>
          <w:b/>
        </w:rPr>
      </w:pPr>
      <w:r>
        <w:rPr>
          <w:b/>
        </w:rPr>
        <w:t xml:space="preserve">VI </w:t>
      </w:r>
      <w:r w:rsidR="007F037D" w:rsidRPr="006605AD">
        <w:rPr>
          <w:b/>
        </w:rPr>
        <w:t>Conclusion</w:t>
      </w:r>
    </w:p>
    <w:p w14:paraId="203E281A" w14:textId="0C77B494" w:rsidR="007F037D" w:rsidRDefault="007F037D" w:rsidP="000D5C5B">
      <w:pPr>
        <w:spacing w:line="480" w:lineRule="auto"/>
      </w:pPr>
      <w:r>
        <w:t xml:space="preserve">The aim of this paper has been to develop an account of chastity worth having in the workplace. To do so, I have looked at worthwhile workplace policies to examine the reason that chastity would be worth having in the workplace. Although it is important to prevent harm, that is not the only reason for developing and enforcing policies that curb some kinds of workplace behaviors related to sex—as revealed in </w:t>
      </w:r>
      <w:r w:rsidRPr="003D4E96">
        <w:rPr>
          <w:b/>
        </w:rPr>
        <w:t>Spying</w:t>
      </w:r>
      <w:r>
        <w:t xml:space="preserve"> and </w:t>
      </w:r>
      <w:r w:rsidRPr="003D4E96">
        <w:rPr>
          <w:b/>
        </w:rPr>
        <w:t>Stalking</w:t>
      </w:r>
      <w:r>
        <w:t xml:space="preserve">. Nor is respecting consent/dissent always worth respecting in the workplace, though both the cases in which consent/dissent is not respected and the </w:t>
      </w:r>
      <w:r w:rsidRPr="004C218C">
        <w:rPr>
          <w:b/>
        </w:rPr>
        <w:t>Spying</w:t>
      </w:r>
      <w:r>
        <w:t xml:space="preserve"> and </w:t>
      </w:r>
      <w:r w:rsidRPr="004C218C">
        <w:rPr>
          <w:b/>
        </w:rPr>
        <w:t>Stalking</w:t>
      </w:r>
      <w:r>
        <w:t xml:space="preserve"> cases were instructive—they pointed us in the direction of a human good that is protected by those policies—one’s position in their particular community. In addition, policies against workplace romances often protect against conflicts between organizational and personal interest</w:t>
      </w:r>
      <w:r w:rsidR="008A42E8">
        <w:t>s</w:t>
      </w:r>
      <w:r>
        <w:t>. I then asked what it is about individuals’ position in their community</w:t>
      </w:r>
      <w:r w:rsidR="009F5701">
        <w:t xml:space="preserve"> that</w:t>
      </w:r>
      <w:r>
        <w:t xml:space="preserve"> are organizations interested in, and I maintained that organizations are interested in having their employees’ workplace contributions appropriately valued. Then, by contrasting policies against workplace romances with organizations’ not having policies that prevent spouses from working together, </w:t>
      </w:r>
      <w:r w:rsidR="009F5701">
        <w:t xml:space="preserve">I </w:t>
      </w:r>
      <w:r>
        <w:t xml:space="preserve">concluded that chastity prevents relating to others in a way in which one’s sexual interests interfere with appropriate valuation of other’s contributions to workplace success. Having then discovered </w:t>
      </w:r>
      <w:r w:rsidR="00592DDC">
        <w:t>a unified</w:t>
      </w:r>
      <w:r>
        <w:t xml:space="preserve"> reason for chastity</w:t>
      </w:r>
      <w:r w:rsidR="00592DDC">
        <w:t xml:space="preserve"> in the workplace</w:t>
      </w:r>
      <w:r>
        <w:t xml:space="preserve">, I proposed an account of chastity worth having in the workplace: it is the disposition not to construe others as a satisfier of sexual interest. To motivate this account, I revisited cases used in the previous sections to show that the proposed account does the work that an account of chastity </w:t>
      </w:r>
      <w:r>
        <w:lastRenderedPageBreak/>
        <w:t xml:space="preserve">needs to do, and I argued that the value of chastity worth having in the workplace lies more in cognition than in volitions or desiring/affective states by considering the relative value of different views of the value of chastity in the workplace. </w:t>
      </w:r>
    </w:p>
    <w:p w14:paraId="776446B7" w14:textId="77777777" w:rsidR="007F037D" w:rsidRDefault="007F037D" w:rsidP="000D5C5B">
      <w:pPr>
        <w:spacing w:line="480" w:lineRule="auto"/>
      </w:pPr>
    </w:p>
    <w:p w14:paraId="0093EDCC" w14:textId="3D84B337" w:rsidR="007F037D" w:rsidRDefault="007F037D" w:rsidP="00FA264C">
      <w:pPr>
        <w:spacing w:line="480" w:lineRule="auto"/>
      </w:pPr>
      <w:r>
        <w:t xml:space="preserve"> The argument and account above </w:t>
      </w:r>
      <w:r w:rsidR="00B16F07">
        <w:t>are</w:t>
      </w:r>
      <w:r>
        <w:t xml:space="preserve"> intended to start a conversation about the virtue of chastity, which is underexplored in the Business Ethics literature. The hope is that others will contribute to this conversation in a way that moves our understanding forward in order to better equip organizations and professionals with the information they need to best direct their resources toward training businesspeople to develop this important workplace virtue.</w:t>
      </w:r>
      <w:r>
        <w:rPr>
          <w:rStyle w:val="EndnoteReference"/>
        </w:rPr>
        <w:endnoteReference w:id="25"/>
      </w:r>
    </w:p>
    <w:p w14:paraId="31E92229" w14:textId="77777777" w:rsidR="00B46B97" w:rsidRDefault="00B46B97" w:rsidP="00FA264C">
      <w:pPr>
        <w:spacing w:line="480" w:lineRule="auto"/>
      </w:pPr>
    </w:p>
    <w:p w14:paraId="6D80D02E" w14:textId="01BF7238" w:rsidR="00B46B97" w:rsidRDefault="00B46B97" w:rsidP="00FA264C">
      <w:pPr>
        <w:spacing w:line="480" w:lineRule="auto"/>
        <w:rPr>
          <w:b/>
          <w:sz w:val="32"/>
          <w:szCs w:val="32"/>
        </w:rPr>
        <w:sectPr w:rsidR="00B46B97" w:rsidSect="00B46B97">
          <w:footerReference w:type="even" r:id="rId8"/>
          <w:footerReference w:type="default" r:id="rId9"/>
          <w:endnotePr>
            <w:numFmt w:val="decimal"/>
          </w:endnotePr>
          <w:type w:val="continuous"/>
          <w:pgSz w:w="12240" w:h="15840"/>
          <w:pgMar w:top="1440" w:right="1440" w:bottom="1440" w:left="1440" w:header="720" w:footer="720" w:gutter="0"/>
          <w:cols w:space="720"/>
          <w:docGrid w:linePitch="360"/>
        </w:sectPr>
      </w:pPr>
      <w:r w:rsidRPr="00B46B97">
        <w:rPr>
          <w:b/>
          <w:sz w:val="32"/>
          <w:szCs w:val="32"/>
        </w:rPr>
        <w:t>N</w:t>
      </w:r>
      <w:r>
        <w:rPr>
          <w:b/>
          <w:sz w:val="32"/>
          <w:szCs w:val="32"/>
        </w:rPr>
        <w:t>otes</w:t>
      </w:r>
    </w:p>
    <w:p w14:paraId="06DDAB3F" w14:textId="77777777" w:rsidR="00B46B97" w:rsidRDefault="00B46B97" w:rsidP="00FA264C">
      <w:pPr>
        <w:spacing w:line="480" w:lineRule="auto"/>
        <w:sectPr w:rsidR="00B46B97" w:rsidSect="00426131">
          <w:type w:val="continuous"/>
          <w:pgSz w:w="12240" w:h="15840"/>
          <w:pgMar w:top="1440" w:right="1440" w:bottom="1440" w:left="1440" w:header="720" w:footer="720" w:gutter="0"/>
          <w:cols w:space="720"/>
          <w:docGrid w:linePitch="360"/>
        </w:sectPr>
      </w:pPr>
    </w:p>
    <w:p w14:paraId="57D05789" w14:textId="77777777" w:rsidR="00B46B97" w:rsidRDefault="00B46B97" w:rsidP="00FA264C">
      <w:pPr>
        <w:spacing w:line="480" w:lineRule="auto"/>
      </w:pPr>
    </w:p>
    <w:p w14:paraId="517F0739" w14:textId="77777777" w:rsidR="00426131" w:rsidRDefault="00426131" w:rsidP="00426131">
      <w:pPr>
        <w:jc w:val="center"/>
        <w:outlineLvl w:val="0"/>
        <w:rPr>
          <w:rFonts w:eastAsiaTheme="minorHAnsi"/>
          <w:b/>
          <w:sz w:val="28"/>
          <w:szCs w:val="28"/>
        </w:rPr>
      </w:pPr>
      <w:r w:rsidRPr="00A36140">
        <w:rPr>
          <w:rFonts w:eastAsiaTheme="minorHAnsi"/>
          <w:b/>
          <w:sz w:val="28"/>
          <w:szCs w:val="28"/>
        </w:rPr>
        <w:t>Works Cited</w:t>
      </w:r>
    </w:p>
    <w:p w14:paraId="592A1669" w14:textId="77777777" w:rsidR="00B46B97" w:rsidRPr="00A36140" w:rsidRDefault="00B46B97" w:rsidP="00426131">
      <w:pPr>
        <w:jc w:val="center"/>
        <w:outlineLvl w:val="0"/>
        <w:rPr>
          <w:rFonts w:eastAsiaTheme="minorHAnsi"/>
          <w:b/>
          <w:sz w:val="28"/>
          <w:szCs w:val="28"/>
        </w:rPr>
      </w:pPr>
    </w:p>
    <w:p w14:paraId="1144F5B1" w14:textId="77777777" w:rsidR="00426131" w:rsidRPr="00544C6B" w:rsidRDefault="00426131" w:rsidP="00426131">
      <w:pPr>
        <w:rPr>
          <w:rFonts w:eastAsiaTheme="minorHAnsi"/>
        </w:rPr>
      </w:pPr>
    </w:p>
    <w:p w14:paraId="1D9254EE" w14:textId="77777777" w:rsidR="00426131" w:rsidRPr="008948DD" w:rsidRDefault="00426131" w:rsidP="00426131">
      <w:pPr>
        <w:outlineLvl w:val="0"/>
      </w:pPr>
      <w:r w:rsidRPr="008948DD">
        <w:t>Anscombe, G.E.M.</w:t>
      </w:r>
      <w:r>
        <w:t xml:space="preserve"> 1972. “Contraception and Chastity</w:t>
      </w:r>
      <w:r w:rsidRPr="008948DD">
        <w:t xml:space="preserve">” </w:t>
      </w:r>
      <w:r w:rsidRPr="008948DD">
        <w:rPr>
          <w:i/>
        </w:rPr>
        <w:t>The Human World</w:t>
      </w:r>
      <w:r w:rsidRPr="008948DD">
        <w:t xml:space="preserve"> 7: 9-30. </w:t>
      </w:r>
    </w:p>
    <w:p w14:paraId="11D0E8D5" w14:textId="77777777" w:rsidR="00426131" w:rsidRPr="008948DD" w:rsidRDefault="00426131" w:rsidP="00426131"/>
    <w:p w14:paraId="1680F9F7" w14:textId="77777777" w:rsidR="00426131" w:rsidRPr="008948DD" w:rsidRDefault="00426131" w:rsidP="00426131">
      <w:pPr>
        <w:outlineLvl w:val="0"/>
      </w:pPr>
      <w:r w:rsidRPr="008948DD">
        <w:t>Aquinas, Thomas</w:t>
      </w:r>
      <w:r>
        <w:t>. 1265.</w:t>
      </w:r>
      <w:r w:rsidRPr="008948DD">
        <w:t xml:space="preserve"> </w:t>
      </w:r>
      <w:r w:rsidRPr="008948DD">
        <w:rPr>
          <w:i/>
        </w:rPr>
        <w:t>Summa Theologica</w:t>
      </w:r>
      <w:r>
        <w:t xml:space="preserve">, reprinted in 1947. </w:t>
      </w:r>
      <w:proofErr w:type="spellStart"/>
      <w:r>
        <w:t>Benziger</w:t>
      </w:r>
      <w:proofErr w:type="spellEnd"/>
      <w:r>
        <w:t xml:space="preserve"> Brothers. </w:t>
      </w:r>
      <w:r w:rsidRPr="008948DD">
        <w:t xml:space="preserve"> </w:t>
      </w:r>
    </w:p>
    <w:p w14:paraId="6D023040" w14:textId="77777777" w:rsidR="00426131" w:rsidRPr="008948DD" w:rsidRDefault="00426131" w:rsidP="00426131"/>
    <w:p w14:paraId="0801F7F2" w14:textId="077AD544" w:rsidR="00426131" w:rsidRPr="008948DD" w:rsidRDefault="00426131" w:rsidP="00426131">
      <w:r>
        <w:t>Augustine of Hippo.</w:t>
      </w:r>
      <w:r w:rsidRPr="008948DD">
        <w:t xml:space="preserve"> </w:t>
      </w:r>
      <w:r w:rsidR="00E979EB">
        <w:t>2004</w:t>
      </w:r>
      <w:r w:rsidR="00B16F07">
        <w:t xml:space="preserve">. </w:t>
      </w:r>
      <w:r w:rsidR="007C4477">
        <w:t xml:space="preserve">“Sermon LXXXII” In </w:t>
      </w:r>
      <w:r>
        <w:rPr>
          <w:i/>
        </w:rPr>
        <w:t xml:space="preserve">Sermons on Selected Lessons of the New Testament. </w:t>
      </w:r>
      <w:r>
        <w:t xml:space="preserve">Translated by R.G. </w:t>
      </w:r>
      <w:proofErr w:type="spellStart"/>
      <w:r>
        <w:t>MacMullen</w:t>
      </w:r>
      <w:proofErr w:type="spellEnd"/>
      <w:r>
        <w:t xml:space="preserve">. Edited by Philip Schaff. In </w:t>
      </w:r>
      <w:r w:rsidRPr="00CC37DE">
        <w:rPr>
          <w:i/>
        </w:rPr>
        <w:t>Nicene and Post-Nicene Fathers</w:t>
      </w:r>
      <w:r>
        <w:t xml:space="preserve"> First Series, vol. 6: 504-506.  </w:t>
      </w:r>
    </w:p>
    <w:p w14:paraId="4E91B995" w14:textId="77777777" w:rsidR="00426131" w:rsidRPr="008948DD" w:rsidRDefault="00426131" w:rsidP="00426131"/>
    <w:p w14:paraId="47896B96" w14:textId="77777777" w:rsidR="00426131" w:rsidRPr="008948DD" w:rsidRDefault="00426131" w:rsidP="00426131">
      <w:pPr>
        <w:rPr>
          <w:rFonts w:eastAsia="Times New Roman"/>
        </w:rPr>
      </w:pPr>
      <w:r w:rsidRPr="008948DD">
        <w:rPr>
          <w:rFonts w:eastAsia="Times New Roman"/>
          <w:color w:val="1A1A1A"/>
          <w:shd w:val="clear" w:color="auto" w:fill="FFFFFF"/>
        </w:rPr>
        <w:t>B</w:t>
      </w:r>
      <w:r>
        <w:rPr>
          <w:rFonts w:eastAsia="Times New Roman"/>
          <w:color w:val="1A1A1A"/>
          <w:shd w:val="clear" w:color="auto" w:fill="FFFFFF"/>
        </w:rPr>
        <w:t xml:space="preserve">loustein, Edward. </w:t>
      </w:r>
      <w:r w:rsidRPr="008948DD">
        <w:rPr>
          <w:rFonts w:eastAsia="Times New Roman"/>
          <w:color w:val="1A1A1A"/>
          <w:shd w:val="clear" w:color="auto" w:fill="FFFFFF"/>
        </w:rPr>
        <w:t>1964</w:t>
      </w:r>
      <w:r>
        <w:rPr>
          <w:rFonts w:eastAsia="Times New Roman"/>
          <w:color w:val="1A1A1A"/>
          <w:shd w:val="clear" w:color="auto" w:fill="FFFFFF"/>
        </w:rPr>
        <w:t xml:space="preserve">. </w:t>
      </w:r>
      <w:r w:rsidRPr="008948DD">
        <w:rPr>
          <w:rFonts w:eastAsia="Times New Roman"/>
          <w:color w:val="1A1A1A"/>
          <w:shd w:val="clear" w:color="auto" w:fill="FFFFFF"/>
        </w:rPr>
        <w:t>“Privacy as an Aspect of Human Dig</w:t>
      </w:r>
      <w:r>
        <w:rPr>
          <w:rFonts w:eastAsia="Times New Roman"/>
          <w:color w:val="1A1A1A"/>
          <w:shd w:val="clear" w:color="auto" w:fill="FFFFFF"/>
        </w:rPr>
        <w:t>nity: An Answer to Dean Prosser.</w:t>
      </w:r>
      <w:r w:rsidRPr="008948DD">
        <w:rPr>
          <w:rFonts w:eastAsia="Times New Roman"/>
          <w:color w:val="1A1A1A"/>
          <w:shd w:val="clear" w:color="auto" w:fill="FFFFFF"/>
        </w:rPr>
        <w:t>” </w:t>
      </w:r>
      <w:r w:rsidRPr="008948DD">
        <w:rPr>
          <w:rFonts w:eastAsia="Times New Roman"/>
          <w:i/>
          <w:iCs/>
          <w:color w:val="1A1A1A"/>
        </w:rPr>
        <w:t>New York University Law Review</w:t>
      </w:r>
      <w:r>
        <w:rPr>
          <w:rFonts w:eastAsia="Times New Roman"/>
          <w:color w:val="1A1A1A"/>
          <w:shd w:val="clear" w:color="auto" w:fill="FFFFFF"/>
        </w:rPr>
        <w:t xml:space="preserve"> 39:</w:t>
      </w:r>
      <w:r w:rsidRPr="008948DD">
        <w:rPr>
          <w:rFonts w:eastAsia="Times New Roman"/>
          <w:color w:val="1A1A1A"/>
          <w:shd w:val="clear" w:color="auto" w:fill="FFFFFF"/>
        </w:rPr>
        <w:t xml:space="preserve"> 962–1007</w:t>
      </w:r>
      <w:r w:rsidRPr="008948DD">
        <w:rPr>
          <w:rFonts w:eastAsia="Times New Roman"/>
        </w:rPr>
        <w:t xml:space="preserve">. </w:t>
      </w:r>
    </w:p>
    <w:p w14:paraId="7DF126E4" w14:textId="77777777" w:rsidR="00426131" w:rsidRPr="008948DD" w:rsidRDefault="00426131" w:rsidP="00426131">
      <w:pPr>
        <w:spacing w:before="100" w:beforeAutospacing="1" w:after="120" w:line="300" w:lineRule="atLeast"/>
        <w:rPr>
          <w:rFonts w:eastAsia="Times New Roman"/>
          <w:color w:val="1A1A1A"/>
        </w:rPr>
      </w:pPr>
      <w:r w:rsidRPr="008948DD">
        <w:rPr>
          <w:rFonts w:eastAsia="Times New Roman"/>
          <w:color w:val="1A1A1A"/>
        </w:rPr>
        <w:t xml:space="preserve">Bok, </w:t>
      </w:r>
      <w:proofErr w:type="spellStart"/>
      <w:r w:rsidRPr="008948DD">
        <w:rPr>
          <w:rFonts w:eastAsia="Times New Roman"/>
          <w:color w:val="1A1A1A"/>
        </w:rPr>
        <w:t>S</w:t>
      </w:r>
      <w:r>
        <w:rPr>
          <w:rFonts w:eastAsia="Times New Roman"/>
          <w:color w:val="1A1A1A"/>
        </w:rPr>
        <w:t>issela</w:t>
      </w:r>
      <w:proofErr w:type="spellEnd"/>
      <w:r>
        <w:rPr>
          <w:rFonts w:eastAsia="Times New Roman"/>
          <w:color w:val="1A1A1A"/>
        </w:rPr>
        <w:t xml:space="preserve">. </w:t>
      </w:r>
      <w:r w:rsidRPr="008948DD">
        <w:rPr>
          <w:rFonts w:eastAsia="Times New Roman"/>
          <w:color w:val="1A1A1A"/>
        </w:rPr>
        <w:t>1982.</w:t>
      </w:r>
      <w:r w:rsidRPr="008948DD">
        <w:rPr>
          <w:rStyle w:val="apple-converted-space"/>
          <w:rFonts w:eastAsia="Times New Roman"/>
          <w:color w:val="1A1A1A"/>
        </w:rPr>
        <w:t> </w:t>
      </w:r>
      <w:r w:rsidRPr="008948DD">
        <w:rPr>
          <w:rStyle w:val="Emphasis"/>
          <w:rFonts w:eastAsia="Times New Roman"/>
          <w:color w:val="1A1A1A"/>
        </w:rPr>
        <w:t>Secrets: On the Ethics of Concealment and Revelation</w:t>
      </w:r>
      <w:r w:rsidRPr="008948DD">
        <w:rPr>
          <w:rFonts w:eastAsia="Times New Roman"/>
          <w:color w:val="1A1A1A"/>
        </w:rPr>
        <w:t>. Pantheon.</w:t>
      </w:r>
    </w:p>
    <w:p w14:paraId="276DEB05" w14:textId="77777777" w:rsidR="00426131" w:rsidRPr="008948DD" w:rsidRDefault="00426131" w:rsidP="00426131">
      <w:pPr>
        <w:spacing w:before="100" w:beforeAutospacing="1" w:after="120" w:line="300" w:lineRule="atLeast"/>
        <w:rPr>
          <w:rFonts w:eastAsia="Times New Roman"/>
          <w:color w:val="1A1A1A"/>
        </w:rPr>
      </w:pPr>
      <w:r w:rsidRPr="008948DD">
        <w:rPr>
          <w:rFonts w:eastAsia="Times New Roman"/>
        </w:rPr>
        <w:t>Chan, Darius K-S, Suk Yee Chow, Ch</w:t>
      </w:r>
      <w:r>
        <w:rPr>
          <w:rFonts w:eastAsia="Times New Roman"/>
        </w:rPr>
        <w:t>un Bum Lam, and Shu Fai Cheung. 2008</w:t>
      </w:r>
      <w:r w:rsidRPr="008948DD">
        <w:rPr>
          <w:rFonts w:eastAsia="Times New Roman"/>
        </w:rPr>
        <w:t>. “Examining the Job-Related, Psychological and Physical Outcomes of Workplace Sexual Harassment: A Meta-Analytic Review</w:t>
      </w:r>
      <w:r>
        <w:rPr>
          <w:rFonts w:eastAsia="Times New Roman"/>
        </w:rPr>
        <w:t>.</w:t>
      </w:r>
      <w:r w:rsidRPr="008948DD">
        <w:rPr>
          <w:rFonts w:eastAsia="Times New Roman"/>
        </w:rPr>
        <w:t xml:space="preserve">” </w:t>
      </w:r>
      <w:r w:rsidRPr="00254DDD">
        <w:rPr>
          <w:rFonts w:eastAsia="Times New Roman"/>
          <w:i/>
        </w:rPr>
        <w:t>Psychology of Women Quarterly</w:t>
      </w:r>
      <w:r>
        <w:rPr>
          <w:rFonts w:eastAsia="Times New Roman"/>
        </w:rPr>
        <w:t xml:space="preserve"> 32,4:</w:t>
      </w:r>
      <w:r w:rsidRPr="008948DD">
        <w:rPr>
          <w:rFonts w:eastAsia="Times New Roman"/>
        </w:rPr>
        <w:t xml:space="preserve"> 362-376. </w:t>
      </w:r>
    </w:p>
    <w:p w14:paraId="3EDDF1C3" w14:textId="77777777" w:rsidR="00426131" w:rsidRPr="008948DD" w:rsidRDefault="00426131" w:rsidP="00426131">
      <w:pPr>
        <w:rPr>
          <w:rFonts w:eastAsia="Times New Roman"/>
          <w:color w:val="1A1A1A"/>
          <w:shd w:val="clear" w:color="auto" w:fill="FFFFFF"/>
        </w:rPr>
      </w:pPr>
    </w:p>
    <w:p w14:paraId="6390A299" w14:textId="77777777" w:rsidR="00426131" w:rsidRPr="008948DD" w:rsidRDefault="00426131" w:rsidP="00426131">
      <w:pPr>
        <w:rPr>
          <w:rFonts w:eastAsia="Times New Roman"/>
          <w:color w:val="1A1A1A"/>
          <w:shd w:val="clear" w:color="auto" w:fill="FFFFFF"/>
        </w:rPr>
      </w:pPr>
      <w:r>
        <w:rPr>
          <w:rFonts w:eastAsia="Times New Roman"/>
          <w:color w:val="1A1A1A"/>
          <w:shd w:val="clear" w:color="auto" w:fill="FFFFFF"/>
        </w:rPr>
        <w:t>Cole, Megan. 2017.</w:t>
      </w:r>
      <w:r w:rsidRPr="008948DD">
        <w:rPr>
          <w:rFonts w:eastAsia="Times New Roman"/>
          <w:color w:val="1A1A1A"/>
          <w:shd w:val="clear" w:color="auto" w:fill="FFFFFF"/>
        </w:rPr>
        <w:t xml:space="preserve"> “71 Percent of Organizations Offer Sexual</w:t>
      </w:r>
      <w:r>
        <w:rPr>
          <w:rFonts w:eastAsia="Times New Roman"/>
          <w:color w:val="1A1A1A"/>
          <w:shd w:val="clear" w:color="auto" w:fill="FFFFFF"/>
        </w:rPr>
        <w:t xml:space="preserve"> Harassment Prevention Training.</w:t>
      </w:r>
      <w:r w:rsidRPr="008948DD">
        <w:rPr>
          <w:rFonts w:eastAsia="Times New Roman"/>
          <w:color w:val="1A1A1A"/>
          <w:shd w:val="clear" w:color="auto" w:fill="FFFFFF"/>
        </w:rPr>
        <w:t xml:space="preserve">” </w:t>
      </w:r>
      <w:r w:rsidRPr="00254DDD">
        <w:rPr>
          <w:rFonts w:eastAsia="Times New Roman"/>
          <w:i/>
        </w:rPr>
        <w:t>Association of Talent Development</w:t>
      </w:r>
      <w:r w:rsidRPr="008948DD">
        <w:rPr>
          <w:rFonts w:eastAsia="Times New Roman"/>
        </w:rPr>
        <w:t xml:space="preserve">. </w:t>
      </w:r>
      <w:r w:rsidRPr="008948DD">
        <w:rPr>
          <w:rFonts w:eastAsia="Times New Roman"/>
          <w:color w:val="1A1A1A"/>
          <w:shd w:val="clear" w:color="auto" w:fill="FFFFFF"/>
        </w:rPr>
        <w:t>https://perma.cc/CL6K-D46V</w:t>
      </w:r>
    </w:p>
    <w:p w14:paraId="3EBAC2D7" w14:textId="77777777" w:rsidR="00426131" w:rsidRPr="008948DD" w:rsidRDefault="00426131" w:rsidP="00426131">
      <w:pPr>
        <w:rPr>
          <w:rFonts w:eastAsia="Times New Roman"/>
          <w:color w:val="1A1A1A"/>
          <w:shd w:val="clear" w:color="auto" w:fill="FFFFFF"/>
        </w:rPr>
      </w:pPr>
    </w:p>
    <w:p w14:paraId="1DD1843B" w14:textId="77777777" w:rsidR="00426131" w:rsidRPr="008948DD" w:rsidRDefault="00426131" w:rsidP="00426131">
      <w:pPr>
        <w:rPr>
          <w:rFonts w:eastAsia="Times New Roman"/>
          <w:color w:val="1A1A1A"/>
          <w:shd w:val="clear" w:color="auto" w:fill="FFFFFF"/>
        </w:rPr>
      </w:pPr>
      <w:proofErr w:type="spellStart"/>
      <w:r w:rsidRPr="008948DD">
        <w:rPr>
          <w:rFonts w:eastAsia="Times New Roman"/>
          <w:color w:val="1A1A1A"/>
          <w:shd w:val="clear" w:color="auto" w:fill="FFFFFF"/>
        </w:rPr>
        <w:t>Dansky</w:t>
      </w:r>
      <w:proofErr w:type="spellEnd"/>
      <w:r w:rsidRPr="008948DD">
        <w:rPr>
          <w:rFonts w:eastAsia="Times New Roman"/>
          <w:color w:val="1A1A1A"/>
          <w:shd w:val="clear" w:color="auto" w:fill="FFFFFF"/>
        </w:rPr>
        <w:t xml:space="preserve">, </w:t>
      </w:r>
      <w:r>
        <w:rPr>
          <w:rFonts w:eastAsia="Times New Roman"/>
          <w:color w:val="1A1A1A"/>
          <w:shd w:val="clear" w:color="auto" w:fill="FFFFFF"/>
        </w:rPr>
        <w:t>Bonnie and Dean Kilpatrick. 1997. “Effects of Sexual Harassment.” I</w:t>
      </w:r>
      <w:r w:rsidRPr="008948DD">
        <w:rPr>
          <w:rFonts w:eastAsia="Times New Roman"/>
          <w:color w:val="1A1A1A"/>
          <w:shd w:val="clear" w:color="auto" w:fill="FFFFFF"/>
        </w:rPr>
        <w:t xml:space="preserve">n </w:t>
      </w:r>
      <w:r w:rsidRPr="008948DD">
        <w:rPr>
          <w:rFonts w:eastAsia="Times New Roman"/>
          <w:i/>
          <w:color w:val="1A1A1A"/>
          <w:shd w:val="clear" w:color="auto" w:fill="FFFFFF"/>
        </w:rPr>
        <w:t>Sexual Harassment: Theory, Research, and Treatment</w:t>
      </w:r>
      <w:r>
        <w:rPr>
          <w:rFonts w:eastAsia="Times New Roman"/>
          <w:color w:val="1A1A1A"/>
          <w:shd w:val="clear" w:color="auto" w:fill="FFFFFF"/>
        </w:rPr>
        <w:t>, edited by</w:t>
      </w:r>
      <w:r w:rsidRPr="008948DD">
        <w:rPr>
          <w:rFonts w:eastAsia="Times New Roman"/>
          <w:color w:val="1A1A1A"/>
          <w:shd w:val="clear" w:color="auto" w:fill="FFFFFF"/>
        </w:rPr>
        <w:t xml:space="preserve"> W. </w:t>
      </w:r>
      <w:proofErr w:type="spellStart"/>
      <w:r w:rsidRPr="008948DD">
        <w:rPr>
          <w:rFonts w:eastAsia="Times New Roman"/>
          <w:color w:val="1A1A1A"/>
          <w:shd w:val="clear" w:color="auto" w:fill="FFFFFF"/>
        </w:rPr>
        <w:t>O’Donohue</w:t>
      </w:r>
      <w:proofErr w:type="spellEnd"/>
      <w:r w:rsidRPr="008948DD">
        <w:rPr>
          <w:rFonts w:eastAsia="Times New Roman"/>
          <w:color w:val="1A1A1A"/>
          <w:shd w:val="clear" w:color="auto" w:fill="FFFFFF"/>
        </w:rPr>
        <w:t xml:space="preserve">, 152-174. Allyn &amp; Bacon. </w:t>
      </w:r>
    </w:p>
    <w:p w14:paraId="09CA81E9" w14:textId="77777777" w:rsidR="00426131" w:rsidRPr="008948DD" w:rsidRDefault="00426131" w:rsidP="00426131">
      <w:pPr>
        <w:rPr>
          <w:rFonts w:eastAsia="Times New Roman"/>
          <w:color w:val="1A1A1A"/>
          <w:shd w:val="clear" w:color="auto" w:fill="FFFFFF"/>
        </w:rPr>
      </w:pPr>
    </w:p>
    <w:p w14:paraId="38E67D25" w14:textId="45626B97" w:rsidR="00426131" w:rsidRPr="008948DD" w:rsidRDefault="00426131" w:rsidP="00426131">
      <w:pPr>
        <w:rPr>
          <w:rFonts w:eastAsia="Times New Roman"/>
          <w:color w:val="1A1A1A"/>
          <w:shd w:val="clear" w:color="auto" w:fill="FFFFFF"/>
        </w:rPr>
      </w:pPr>
      <w:r w:rsidRPr="008948DD">
        <w:rPr>
          <w:rFonts w:eastAsia="Times New Roman"/>
          <w:color w:val="1A1A1A"/>
          <w:shd w:val="clear" w:color="auto" w:fill="FFFFFF"/>
        </w:rPr>
        <w:t>European Commis</w:t>
      </w:r>
      <w:r>
        <w:rPr>
          <w:rFonts w:eastAsia="Times New Roman"/>
          <w:color w:val="1A1A1A"/>
          <w:shd w:val="clear" w:color="auto" w:fill="FFFFFF"/>
        </w:rPr>
        <w:t>sion. 1998.</w:t>
      </w:r>
      <w:r w:rsidRPr="008948DD">
        <w:rPr>
          <w:rFonts w:eastAsia="Times New Roman"/>
          <w:color w:val="1A1A1A"/>
          <w:shd w:val="clear" w:color="auto" w:fill="FFFFFF"/>
        </w:rPr>
        <w:t xml:space="preserve"> “Sexual Harassment in the Workplace in the European Union 5.” https://www.un.org/womenwatch/osagi/pdf/shworkpl.pdf </w:t>
      </w:r>
    </w:p>
    <w:p w14:paraId="7D5BC270" w14:textId="77777777" w:rsidR="00426131" w:rsidRPr="008948DD" w:rsidRDefault="00426131" w:rsidP="00426131">
      <w:pPr>
        <w:rPr>
          <w:rFonts w:eastAsia="Times New Roman"/>
          <w:color w:val="1A1A1A"/>
          <w:shd w:val="clear" w:color="auto" w:fill="FFFFFF"/>
        </w:rPr>
      </w:pPr>
    </w:p>
    <w:p w14:paraId="443F4643" w14:textId="77777777" w:rsidR="00426131" w:rsidRPr="008948DD" w:rsidRDefault="00426131" w:rsidP="00426131">
      <w:pPr>
        <w:rPr>
          <w:rFonts w:eastAsia="Times New Roman"/>
        </w:rPr>
      </w:pPr>
      <w:proofErr w:type="spellStart"/>
      <w:r w:rsidRPr="008948DD">
        <w:rPr>
          <w:rFonts w:eastAsia="Times New Roman"/>
          <w:color w:val="1A1A1A"/>
          <w:shd w:val="clear" w:color="auto" w:fill="FFFFFF"/>
        </w:rPr>
        <w:t>Eyal</w:t>
      </w:r>
      <w:proofErr w:type="spellEnd"/>
      <w:r w:rsidRPr="008948DD">
        <w:rPr>
          <w:rFonts w:eastAsia="Times New Roman"/>
          <w:color w:val="1A1A1A"/>
          <w:shd w:val="clear" w:color="auto" w:fill="FFFFFF"/>
        </w:rPr>
        <w:t>, Nir</w:t>
      </w:r>
      <w:r>
        <w:rPr>
          <w:rFonts w:eastAsia="Times New Roman"/>
          <w:color w:val="1A1A1A"/>
          <w:shd w:val="clear" w:color="auto" w:fill="FFFFFF"/>
        </w:rPr>
        <w:t xml:space="preserve">. </w:t>
      </w:r>
      <w:r w:rsidRPr="008948DD">
        <w:rPr>
          <w:rFonts w:eastAsia="Times New Roman"/>
          <w:color w:val="1A1A1A"/>
          <w:shd w:val="clear" w:color="auto" w:fill="FFFFFF"/>
        </w:rPr>
        <w:t>2019</w:t>
      </w:r>
      <w:r>
        <w:rPr>
          <w:rFonts w:eastAsia="Times New Roman"/>
          <w:color w:val="1A1A1A"/>
          <w:shd w:val="clear" w:color="auto" w:fill="FFFFFF"/>
        </w:rPr>
        <w:t>.</w:t>
      </w:r>
      <w:r w:rsidRPr="008948DD">
        <w:rPr>
          <w:rFonts w:eastAsia="Times New Roman"/>
          <w:color w:val="1A1A1A"/>
          <w:shd w:val="clear" w:color="auto" w:fill="FFFFFF"/>
        </w:rPr>
        <w:t xml:space="preserve"> </w:t>
      </w:r>
      <w:r w:rsidRPr="008948DD">
        <w:rPr>
          <w:rFonts w:eastAsia="Times New Roman"/>
          <w:color w:val="1A1A1A"/>
        </w:rPr>
        <w:t>"Informed Consent</w:t>
      </w:r>
      <w:r>
        <w:rPr>
          <w:rFonts w:eastAsia="Times New Roman"/>
          <w:color w:val="1A1A1A"/>
        </w:rPr>
        <w:t>."</w:t>
      </w:r>
      <w:r w:rsidRPr="008948DD">
        <w:rPr>
          <w:rFonts w:eastAsia="Times New Roman"/>
          <w:color w:val="1A1A1A"/>
        </w:rPr>
        <w:t> </w:t>
      </w:r>
      <w:r w:rsidRPr="008948DD">
        <w:rPr>
          <w:rFonts w:eastAsia="Times New Roman"/>
          <w:i/>
          <w:iCs/>
          <w:color w:val="1A1A1A"/>
        </w:rPr>
        <w:t>The Stanford Encyclopedia of Philosophy</w:t>
      </w:r>
      <w:r>
        <w:rPr>
          <w:rFonts w:eastAsia="Times New Roman"/>
          <w:i/>
          <w:iCs/>
          <w:color w:val="1A1A1A"/>
        </w:rPr>
        <w:t xml:space="preserve"> </w:t>
      </w:r>
      <w:r>
        <w:rPr>
          <w:rFonts w:eastAsia="Times New Roman"/>
          <w:color w:val="1A1A1A"/>
        </w:rPr>
        <w:t>Spring 2019 Edition. Edited by</w:t>
      </w:r>
      <w:r w:rsidRPr="008948DD">
        <w:rPr>
          <w:rFonts w:eastAsia="Times New Roman"/>
          <w:color w:val="1A1A1A"/>
        </w:rPr>
        <w:t xml:space="preserve"> Edward N. </w:t>
      </w:r>
      <w:proofErr w:type="spellStart"/>
      <w:r w:rsidRPr="008948DD">
        <w:rPr>
          <w:rFonts w:eastAsia="Times New Roman"/>
          <w:color w:val="1A1A1A"/>
        </w:rPr>
        <w:t>Zalta</w:t>
      </w:r>
      <w:proofErr w:type="spellEnd"/>
      <w:r w:rsidRPr="008948DD">
        <w:rPr>
          <w:rFonts w:eastAsia="Times New Roman"/>
          <w:color w:val="1A1A1A"/>
        </w:rPr>
        <w:t>. https://plato.stanford.edu/archives/spr2019/entries/informed-consent/</w:t>
      </w:r>
    </w:p>
    <w:p w14:paraId="4A7750AE" w14:textId="77777777" w:rsidR="00426131" w:rsidRPr="008948DD" w:rsidRDefault="00426131" w:rsidP="00426131">
      <w:pPr>
        <w:rPr>
          <w:rFonts w:eastAsia="Times New Roman"/>
          <w:color w:val="1A1A1A"/>
          <w:shd w:val="clear" w:color="auto" w:fill="FFFFFF"/>
        </w:rPr>
      </w:pPr>
    </w:p>
    <w:p w14:paraId="5E5F02F8" w14:textId="77777777" w:rsidR="00426131" w:rsidRPr="008948DD" w:rsidRDefault="00426131" w:rsidP="00426131">
      <w:pPr>
        <w:outlineLvl w:val="0"/>
      </w:pPr>
      <w:r w:rsidRPr="008948DD">
        <w:t>Feinberg, Joel</w:t>
      </w:r>
      <w:r>
        <w:t>. 1987</w:t>
      </w:r>
      <w:r w:rsidRPr="008948DD">
        <w:t xml:space="preserve">. </w:t>
      </w:r>
      <w:r w:rsidRPr="008948DD">
        <w:rPr>
          <w:i/>
        </w:rPr>
        <w:t>Harm to Others</w:t>
      </w:r>
      <w:r w:rsidRPr="008948DD">
        <w:t xml:space="preserve">. Oxford University Press.  </w:t>
      </w:r>
    </w:p>
    <w:p w14:paraId="7E01C32D" w14:textId="77777777" w:rsidR="00426131" w:rsidRPr="008948DD" w:rsidRDefault="00426131" w:rsidP="00426131"/>
    <w:p w14:paraId="24A98272" w14:textId="77777777" w:rsidR="00426131" w:rsidRPr="008948DD" w:rsidRDefault="00426131" w:rsidP="00426131">
      <w:pPr>
        <w:outlineLvl w:val="0"/>
        <w:rPr>
          <w:rFonts w:eastAsia="Times New Roman"/>
        </w:rPr>
      </w:pPr>
      <w:r>
        <w:rPr>
          <w:rFonts w:eastAsia="Times New Roman"/>
          <w:color w:val="1A1A1A"/>
          <w:shd w:val="clear" w:color="auto" w:fill="FFFFFF"/>
        </w:rPr>
        <w:t xml:space="preserve">Feinberg, Joel. </w:t>
      </w:r>
      <w:r w:rsidRPr="008948DD">
        <w:rPr>
          <w:rFonts w:eastAsia="Times New Roman"/>
          <w:color w:val="1A1A1A"/>
          <w:shd w:val="clear" w:color="auto" w:fill="FFFFFF"/>
        </w:rPr>
        <w:t>1989</w:t>
      </w:r>
      <w:r>
        <w:rPr>
          <w:rFonts w:eastAsia="Times New Roman"/>
          <w:color w:val="1A1A1A"/>
          <w:shd w:val="clear" w:color="auto" w:fill="FFFFFF"/>
        </w:rPr>
        <w:t>.</w:t>
      </w:r>
      <w:r w:rsidRPr="008948DD">
        <w:rPr>
          <w:rFonts w:eastAsia="Times New Roman"/>
          <w:color w:val="1A1A1A"/>
          <w:shd w:val="clear" w:color="auto" w:fill="FFFFFF"/>
        </w:rPr>
        <w:t xml:space="preserve"> </w:t>
      </w:r>
      <w:r w:rsidRPr="008948DD">
        <w:rPr>
          <w:rFonts w:eastAsia="Times New Roman"/>
          <w:i/>
          <w:iCs/>
          <w:color w:val="1A1A1A"/>
          <w:shd w:val="clear" w:color="auto" w:fill="FFFFFF"/>
        </w:rPr>
        <w:t>Harm to Self</w:t>
      </w:r>
      <w:r w:rsidRPr="008948DD">
        <w:rPr>
          <w:rFonts w:eastAsia="Times New Roman"/>
          <w:color w:val="1A1A1A"/>
          <w:shd w:val="clear" w:color="auto" w:fill="FFFFFF"/>
        </w:rPr>
        <w:t>. Oxford University Press</w:t>
      </w:r>
      <w:r w:rsidRPr="008948DD">
        <w:rPr>
          <w:rFonts w:eastAsia="Times New Roman"/>
        </w:rPr>
        <w:t>.</w:t>
      </w:r>
    </w:p>
    <w:p w14:paraId="15FE14E0" w14:textId="77777777" w:rsidR="00426131" w:rsidRPr="008948DD" w:rsidRDefault="00426131" w:rsidP="00426131">
      <w:pPr>
        <w:rPr>
          <w:rFonts w:eastAsia="Times New Roman"/>
        </w:rPr>
      </w:pPr>
    </w:p>
    <w:p w14:paraId="4F739776" w14:textId="77777777" w:rsidR="00426131" w:rsidRPr="008948DD" w:rsidRDefault="00426131" w:rsidP="00426131">
      <w:r w:rsidRPr="008948DD">
        <w:rPr>
          <w:rFonts w:eastAsia="Times New Roman"/>
        </w:rPr>
        <w:t>Fitzgerald, Lou</w:t>
      </w:r>
      <w:r>
        <w:rPr>
          <w:rFonts w:eastAsia="Times New Roman"/>
        </w:rPr>
        <w:t>ise and Lilia Cortina. 2017.</w:t>
      </w:r>
      <w:r w:rsidRPr="008948DD">
        <w:rPr>
          <w:rFonts w:eastAsia="Times New Roman"/>
        </w:rPr>
        <w:t xml:space="preserve"> “Sexual Harassment in Work Organizations: A View from the 21st Century.” In </w:t>
      </w:r>
      <w:r w:rsidRPr="008948DD">
        <w:rPr>
          <w:rFonts w:eastAsia="Times New Roman"/>
          <w:i/>
        </w:rPr>
        <w:t>Handbook of the Psychology of Women</w:t>
      </w:r>
      <w:r>
        <w:rPr>
          <w:rFonts w:eastAsia="Times New Roman"/>
        </w:rPr>
        <w:t>, edited by</w:t>
      </w:r>
      <w:r w:rsidRPr="008948DD">
        <w:rPr>
          <w:rFonts w:eastAsia="Times New Roman"/>
        </w:rPr>
        <w:t xml:space="preserve">. Cheryl B. Travis and Jacquelyn W. White. American Psychological Association. </w:t>
      </w:r>
    </w:p>
    <w:p w14:paraId="20866BA7" w14:textId="77777777" w:rsidR="00426131" w:rsidRPr="008948DD" w:rsidRDefault="00426131" w:rsidP="00426131"/>
    <w:p w14:paraId="5FDC9AB7" w14:textId="0FA61409" w:rsidR="00426131" w:rsidRPr="008948DD" w:rsidRDefault="00426131" w:rsidP="00426131">
      <w:r w:rsidRPr="008948DD">
        <w:lastRenderedPageBreak/>
        <w:t>Fitzgerald, Louise, Suzanne Swan, and Vick</w:t>
      </w:r>
      <w:r>
        <w:t>i Magley. 1997</w:t>
      </w:r>
      <w:r w:rsidRPr="008948DD">
        <w:t xml:space="preserve">. “But Was It Really </w:t>
      </w:r>
      <w:proofErr w:type="gramStart"/>
      <w:r w:rsidRPr="008948DD">
        <w:t>Harassment?:</w:t>
      </w:r>
      <w:proofErr w:type="gramEnd"/>
      <w:r w:rsidRPr="008948DD">
        <w:t xml:space="preserve"> Legal, Behavioral, and Psychological Definitions of the W</w:t>
      </w:r>
      <w:r>
        <w:t>orkplace Victimization of Women.” I</w:t>
      </w:r>
      <w:r w:rsidRPr="008948DD">
        <w:t xml:space="preserve">n </w:t>
      </w:r>
      <w:r w:rsidRPr="008948DD">
        <w:rPr>
          <w:i/>
        </w:rPr>
        <w:t>Sexual Harassment: Theory, Research, and Treatment</w:t>
      </w:r>
      <w:r>
        <w:t>, edited by</w:t>
      </w:r>
      <w:r w:rsidRPr="008948DD">
        <w:t xml:space="preserve"> W. </w:t>
      </w:r>
      <w:proofErr w:type="spellStart"/>
      <w:r w:rsidRPr="008948DD">
        <w:t>O’Donohue</w:t>
      </w:r>
      <w:proofErr w:type="spellEnd"/>
      <w:r w:rsidRPr="008948DD">
        <w:t>, 5-28. Allyn &amp; Bacon.</w:t>
      </w:r>
    </w:p>
    <w:p w14:paraId="2D284F66" w14:textId="77777777" w:rsidR="00426131" w:rsidRDefault="00426131" w:rsidP="00426131"/>
    <w:p w14:paraId="7E7ACBA0" w14:textId="77777777" w:rsidR="00426131" w:rsidRDefault="00426131" w:rsidP="00426131">
      <w:r>
        <w:t xml:space="preserve">Frankfurt, Harry. 1971. “Freedom of the Will and the Concept of a Person.” </w:t>
      </w:r>
      <w:r w:rsidRPr="00806577">
        <w:rPr>
          <w:i/>
        </w:rPr>
        <w:t>Journal of Philosophy</w:t>
      </w:r>
      <w:r>
        <w:t xml:space="preserve"> 68, 1: 5-20. </w:t>
      </w:r>
    </w:p>
    <w:p w14:paraId="47E2B595" w14:textId="77777777" w:rsidR="00426131" w:rsidRPr="008948DD" w:rsidRDefault="00426131" w:rsidP="00426131"/>
    <w:p w14:paraId="5F5CE3BA" w14:textId="77777777" w:rsidR="00426131" w:rsidRPr="008948DD" w:rsidRDefault="00426131" w:rsidP="00426131">
      <w:pPr>
        <w:rPr>
          <w:bCs/>
        </w:rPr>
      </w:pPr>
      <w:proofErr w:type="spellStart"/>
      <w:r w:rsidRPr="008948DD">
        <w:rPr>
          <w:bCs/>
        </w:rPr>
        <w:t>Friborg</w:t>
      </w:r>
      <w:proofErr w:type="spellEnd"/>
      <w:r w:rsidRPr="008948DD">
        <w:rPr>
          <w:bCs/>
        </w:rPr>
        <w:t xml:space="preserve">, Maria, Jorgen Hansen, Per T. Aldrich, Anna </w:t>
      </w:r>
      <w:proofErr w:type="spellStart"/>
      <w:r w:rsidRPr="008948DD">
        <w:rPr>
          <w:bCs/>
        </w:rPr>
        <w:t>Folker</w:t>
      </w:r>
      <w:proofErr w:type="spellEnd"/>
      <w:r w:rsidRPr="008948DD">
        <w:rPr>
          <w:bCs/>
        </w:rPr>
        <w:t xml:space="preserve">, Susie </w:t>
      </w:r>
      <w:proofErr w:type="spellStart"/>
      <w:r w:rsidRPr="008948DD">
        <w:rPr>
          <w:bCs/>
        </w:rPr>
        <w:t>Kjaer</w:t>
      </w:r>
      <w:proofErr w:type="spellEnd"/>
      <w:r w:rsidRPr="008948DD">
        <w:rPr>
          <w:bCs/>
        </w:rPr>
        <w:t>, Maj Britt Nielsen, R</w:t>
      </w:r>
      <w:r>
        <w:rPr>
          <w:bCs/>
        </w:rPr>
        <w:t xml:space="preserve">einer </w:t>
      </w:r>
      <w:proofErr w:type="spellStart"/>
      <w:r>
        <w:rPr>
          <w:bCs/>
        </w:rPr>
        <w:t>Rugulies</w:t>
      </w:r>
      <w:proofErr w:type="spellEnd"/>
      <w:r>
        <w:rPr>
          <w:bCs/>
        </w:rPr>
        <w:t>, and Ida Madsen. 2017.</w:t>
      </w:r>
      <w:r w:rsidRPr="008948DD">
        <w:rPr>
          <w:bCs/>
        </w:rPr>
        <w:t xml:space="preserve"> “Workplace Sexual Harassment and Depressive Symptoms: </w:t>
      </w:r>
      <w:proofErr w:type="gramStart"/>
      <w:r w:rsidRPr="008948DD">
        <w:rPr>
          <w:bCs/>
        </w:rPr>
        <w:t>a</w:t>
      </w:r>
      <w:proofErr w:type="gramEnd"/>
      <w:r w:rsidRPr="008948DD">
        <w:rPr>
          <w:bCs/>
        </w:rPr>
        <w:t xml:space="preserve"> Cross-sectional Multilevel Analysis Comparing Harassment from Clients or Customers to Harassment from Other Employees amongst 7603 Danish Employees from 1041 Organizations.” </w:t>
      </w:r>
      <w:r w:rsidRPr="008948DD">
        <w:rPr>
          <w:bCs/>
          <w:i/>
        </w:rPr>
        <w:t>BMC Public Health</w:t>
      </w:r>
      <w:r w:rsidRPr="008948DD">
        <w:rPr>
          <w:bCs/>
        </w:rPr>
        <w:t xml:space="preserve"> 17, 675. </w:t>
      </w:r>
    </w:p>
    <w:p w14:paraId="0999452B" w14:textId="77777777" w:rsidR="00426131" w:rsidRPr="008948DD" w:rsidRDefault="00426131" w:rsidP="00426131">
      <w:pPr>
        <w:spacing w:before="100" w:beforeAutospacing="1" w:after="120" w:line="300" w:lineRule="atLeast"/>
        <w:rPr>
          <w:rFonts w:eastAsia="Times New Roman"/>
          <w:color w:val="1A1A1A"/>
        </w:rPr>
      </w:pPr>
      <w:proofErr w:type="spellStart"/>
      <w:r w:rsidRPr="008948DD">
        <w:rPr>
          <w:rFonts w:eastAsia="Times New Roman"/>
          <w:color w:val="1A1A1A"/>
        </w:rPr>
        <w:t>Gavison</w:t>
      </w:r>
      <w:proofErr w:type="spellEnd"/>
      <w:r w:rsidRPr="008948DD">
        <w:rPr>
          <w:rFonts w:eastAsia="Times New Roman"/>
          <w:color w:val="1A1A1A"/>
        </w:rPr>
        <w:t>, Ruth</w:t>
      </w:r>
      <w:r>
        <w:rPr>
          <w:rFonts w:eastAsia="Times New Roman"/>
          <w:color w:val="1A1A1A"/>
        </w:rPr>
        <w:t xml:space="preserve">. </w:t>
      </w:r>
      <w:r w:rsidRPr="008948DD">
        <w:rPr>
          <w:rFonts w:eastAsia="Times New Roman"/>
          <w:color w:val="1A1A1A"/>
        </w:rPr>
        <w:t>1980</w:t>
      </w:r>
      <w:r>
        <w:rPr>
          <w:rFonts w:eastAsia="Times New Roman"/>
          <w:color w:val="1A1A1A"/>
        </w:rPr>
        <w:t>.</w:t>
      </w:r>
      <w:r w:rsidRPr="008948DD">
        <w:rPr>
          <w:rFonts w:eastAsia="Times New Roman"/>
          <w:color w:val="1A1A1A"/>
        </w:rPr>
        <w:t xml:space="preserve"> “Privacy and the Limits of Law</w:t>
      </w:r>
      <w:r>
        <w:rPr>
          <w:rFonts w:eastAsia="Times New Roman"/>
          <w:color w:val="1A1A1A"/>
        </w:rPr>
        <w:t>.</w:t>
      </w:r>
      <w:r w:rsidRPr="008948DD">
        <w:rPr>
          <w:rFonts w:eastAsia="Times New Roman"/>
          <w:color w:val="1A1A1A"/>
        </w:rPr>
        <w:t>”</w:t>
      </w:r>
      <w:r w:rsidRPr="008948DD">
        <w:rPr>
          <w:rStyle w:val="apple-converted-space"/>
          <w:rFonts w:eastAsia="Times New Roman"/>
          <w:color w:val="1A1A1A"/>
        </w:rPr>
        <w:t> </w:t>
      </w:r>
      <w:r w:rsidRPr="008948DD">
        <w:rPr>
          <w:rStyle w:val="Emphasis"/>
          <w:rFonts w:eastAsia="Times New Roman"/>
          <w:color w:val="1A1A1A"/>
        </w:rPr>
        <w:t>Yale Law Journal</w:t>
      </w:r>
      <w:r w:rsidRPr="008948DD">
        <w:rPr>
          <w:rFonts w:eastAsia="Times New Roman"/>
          <w:color w:val="1A1A1A"/>
        </w:rPr>
        <w:t xml:space="preserve"> 89: 421–71. </w:t>
      </w:r>
    </w:p>
    <w:p w14:paraId="57FF39FE" w14:textId="77777777" w:rsidR="00426131" w:rsidRPr="008948DD" w:rsidRDefault="00426131" w:rsidP="00426131">
      <w:pPr>
        <w:spacing w:before="100" w:beforeAutospacing="1" w:after="120" w:line="300" w:lineRule="atLeast"/>
        <w:rPr>
          <w:rFonts w:eastAsia="Times New Roman"/>
          <w:color w:val="1A1A1A"/>
        </w:rPr>
      </w:pPr>
      <w:r>
        <w:rPr>
          <w:bCs/>
        </w:rPr>
        <w:t xml:space="preserve">Gerstein, Robert. </w:t>
      </w:r>
      <w:r>
        <w:rPr>
          <w:rFonts w:eastAsia="Times New Roman"/>
          <w:color w:val="1A1A1A"/>
          <w:shd w:val="clear" w:color="auto" w:fill="FFFFFF"/>
        </w:rPr>
        <w:t>1978. “Intimacy and Privacy.”</w:t>
      </w:r>
      <w:r w:rsidRPr="008948DD">
        <w:rPr>
          <w:rFonts w:eastAsia="Times New Roman"/>
          <w:color w:val="1A1A1A"/>
          <w:shd w:val="clear" w:color="auto" w:fill="FFFFFF"/>
        </w:rPr>
        <w:t> </w:t>
      </w:r>
      <w:r w:rsidRPr="008948DD">
        <w:rPr>
          <w:rFonts w:eastAsia="Times New Roman"/>
          <w:i/>
          <w:iCs/>
          <w:color w:val="1A1A1A"/>
        </w:rPr>
        <w:t>Ethics</w:t>
      </w:r>
      <w:r w:rsidRPr="008948DD">
        <w:rPr>
          <w:rFonts w:eastAsia="Times New Roman"/>
          <w:color w:val="1A1A1A"/>
          <w:shd w:val="clear" w:color="auto" w:fill="FFFFFF"/>
        </w:rPr>
        <w:t xml:space="preserve"> 89: 76–81</w:t>
      </w:r>
      <w:r w:rsidRPr="008948DD">
        <w:rPr>
          <w:rFonts w:eastAsia="Times New Roman"/>
        </w:rPr>
        <w:t xml:space="preserve">. </w:t>
      </w:r>
    </w:p>
    <w:p w14:paraId="7560A807" w14:textId="77777777" w:rsidR="00426131" w:rsidRPr="008948DD" w:rsidRDefault="00426131" w:rsidP="00426131">
      <w:pPr>
        <w:rPr>
          <w:bCs/>
        </w:rPr>
      </w:pPr>
    </w:p>
    <w:p w14:paraId="181AFDD2" w14:textId="77777777" w:rsidR="00426131" w:rsidRPr="008948DD" w:rsidRDefault="00426131" w:rsidP="00426131">
      <w:pPr>
        <w:rPr>
          <w:bCs/>
        </w:rPr>
      </w:pPr>
      <w:proofErr w:type="spellStart"/>
      <w:r w:rsidRPr="008948DD">
        <w:rPr>
          <w:bCs/>
        </w:rPr>
        <w:t>Hemmasi</w:t>
      </w:r>
      <w:proofErr w:type="spellEnd"/>
      <w:r w:rsidRPr="008948DD">
        <w:rPr>
          <w:bCs/>
        </w:rPr>
        <w:t xml:space="preserve">, </w:t>
      </w:r>
      <w:r>
        <w:rPr>
          <w:bCs/>
        </w:rPr>
        <w:t>Masoud, A. Lee Graf, Gail Russ. 1994.</w:t>
      </w:r>
      <w:r w:rsidRPr="008948DD">
        <w:rPr>
          <w:bCs/>
        </w:rPr>
        <w:t xml:space="preserve"> “Gender-related Jokes in the Workplace: Sexual Humor or Sexual Harassment?” </w:t>
      </w:r>
      <w:r w:rsidRPr="008948DD">
        <w:rPr>
          <w:bCs/>
          <w:i/>
        </w:rPr>
        <w:t>Journal of Applied Social Psychology</w:t>
      </w:r>
      <w:r>
        <w:rPr>
          <w:bCs/>
        </w:rPr>
        <w:t xml:space="preserve"> 24,12: 1114-</w:t>
      </w:r>
      <w:r w:rsidRPr="008948DD">
        <w:rPr>
          <w:bCs/>
        </w:rPr>
        <w:t xml:space="preserve">28. </w:t>
      </w:r>
    </w:p>
    <w:p w14:paraId="5E881CB5" w14:textId="77777777" w:rsidR="00426131" w:rsidRPr="008948DD" w:rsidRDefault="00426131" w:rsidP="00426131"/>
    <w:p w14:paraId="26C2272B" w14:textId="77777777" w:rsidR="00426131" w:rsidRPr="008948DD" w:rsidRDefault="00426131" w:rsidP="00426131">
      <w:pPr>
        <w:widowControl w:val="0"/>
        <w:autoSpaceDE w:val="0"/>
        <w:autoSpaceDN w:val="0"/>
        <w:adjustRightInd w:val="0"/>
        <w:spacing w:after="240" w:line="320" w:lineRule="atLeast"/>
        <w:rPr>
          <w:color w:val="000000"/>
        </w:rPr>
      </w:pPr>
      <w:r w:rsidRPr="008948DD">
        <w:rPr>
          <w:color w:val="000000"/>
        </w:rPr>
        <w:t>Hersch, Joni</w:t>
      </w:r>
      <w:r>
        <w:rPr>
          <w:color w:val="000000"/>
        </w:rPr>
        <w:t xml:space="preserve">. 1991. </w:t>
      </w:r>
      <w:r w:rsidRPr="008948DD">
        <w:rPr>
          <w:i/>
          <w:color w:val="000000"/>
        </w:rPr>
        <w:t>“</w:t>
      </w:r>
      <w:r w:rsidRPr="008948DD">
        <w:rPr>
          <w:iCs/>
          <w:color w:val="000000"/>
        </w:rPr>
        <w:t>Equal Employment Opportunity Law and Firm Profitability</w:t>
      </w:r>
      <w:r>
        <w:rPr>
          <w:i/>
          <w:color w:val="000000"/>
        </w:rPr>
        <w:t>.</w:t>
      </w:r>
      <w:r w:rsidRPr="008948DD">
        <w:rPr>
          <w:i/>
          <w:color w:val="000000"/>
        </w:rPr>
        <w:t>”</w:t>
      </w:r>
      <w:r w:rsidRPr="008948DD">
        <w:rPr>
          <w:color w:val="000000"/>
        </w:rPr>
        <w:t xml:space="preserve"> </w:t>
      </w:r>
      <w:r w:rsidRPr="008948DD">
        <w:rPr>
          <w:i/>
          <w:color w:val="000000"/>
        </w:rPr>
        <w:t>The Journal of Human Resources</w:t>
      </w:r>
      <w:r>
        <w:rPr>
          <w:color w:val="000000"/>
        </w:rPr>
        <w:t xml:space="preserve"> 26,1:</w:t>
      </w:r>
      <w:r w:rsidRPr="008948DD">
        <w:rPr>
          <w:color w:val="000000"/>
        </w:rPr>
        <w:t xml:space="preserve"> 139-153. </w:t>
      </w:r>
    </w:p>
    <w:p w14:paraId="0165672E" w14:textId="77777777" w:rsidR="00426131" w:rsidRPr="008948DD" w:rsidRDefault="00426131" w:rsidP="00426131">
      <w:r w:rsidRPr="008948DD">
        <w:t>Hersch, Joni</w:t>
      </w:r>
      <w:r>
        <w:t>. 2019</w:t>
      </w:r>
      <w:r w:rsidRPr="008948DD">
        <w:t>. “Efficient Deterrence</w:t>
      </w:r>
      <w:r>
        <w:t xml:space="preserve"> of Workplace Sexual Harassment.</w:t>
      </w:r>
      <w:r w:rsidRPr="008948DD">
        <w:t xml:space="preserve">” </w:t>
      </w:r>
      <w:r w:rsidRPr="005F15FD">
        <w:rPr>
          <w:i/>
        </w:rPr>
        <w:t>University of Chicago Legal Forum, Vanderbilt Law Research Paper</w:t>
      </w:r>
      <w:r w:rsidRPr="008948DD">
        <w:t xml:space="preserve"> 19-18. https://papers.ssrn.com/sol3/papers.cfm?abstract_id=3397217</w:t>
      </w:r>
    </w:p>
    <w:p w14:paraId="2A33F8EC" w14:textId="77777777" w:rsidR="00426131" w:rsidRPr="008948DD" w:rsidRDefault="00426131" w:rsidP="00426131"/>
    <w:p w14:paraId="26E14BD4" w14:textId="77777777" w:rsidR="00426131" w:rsidRPr="008948DD" w:rsidRDefault="00426131" w:rsidP="00426131">
      <w:r w:rsidRPr="008948DD">
        <w:t>Hume, David</w:t>
      </w:r>
      <w:r>
        <w:t xml:space="preserve">. 1751. </w:t>
      </w:r>
      <w:r w:rsidRPr="008948DD">
        <w:rPr>
          <w:i/>
        </w:rPr>
        <w:t>Enquiry Concerning the Principles of Morals</w:t>
      </w:r>
      <w:r w:rsidRPr="008948DD">
        <w:t xml:space="preserve">, </w:t>
      </w:r>
      <w:r>
        <w:t>reprinted in 1998</w:t>
      </w:r>
      <w:r w:rsidRPr="008948DD">
        <w:t>.</w:t>
      </w:r>
      <w:r>
        <w:t xml:space="preserve"> Edited by Tom Beauchamp.</w:t>
      </w:r>
      <w:r w:rsidRPr="008948DD">
        <w:t xml:space="preserve"> Oxford University Press. </w:t>
      </w:r>
    </w:p>
    <w:p w14:paraId="2C26DE0B" w14:textId="77777777" w:rsidR="00426131" w:rsidRPr="008948DD" w:rsidRDefault="00426131" w:rsidP="00426131">
      <w:pPr>
        <w:spacing w:before="100" w:beforeAutospacing="1" w:after="120" w:line="300" w:lineRule="atLeast"/>
        <w:rPr>
          <w:rFonts w:eastAsia="Times New Roman"/>
          <w:color w:val="1A1A1A"/>
        </w:rPr>
      </w:pPr>
      <w:r w:rsidRPr="008948DD">
        <w:rPr>
          <w:rFonts w:eastAsia="Times New Roman"/>
          <w:color w:val="1A1A1A"/>
        </w:rPr>
        <w:t>Inness, Julie</w:t>
      </w:r>
      <w:r>
        <w:rPr>
          <w:rFonts w:eastAsia="Times New Roman"/>
          <w:color w:val="1A1A1A"/>
        </w:rPr>
        <w:t>. 1992</w:t>
      </w:r>
      <w:r w:rsidRPr="008948DD">
        <w:rPr>
          <w:rFonts w:eastAsia="Times New Roman"/>
          <w:color w:val="1A1A1A"/>
        </w:rPr>
        <w:t>.</w:t>
      </w:r>
      <w:r w:rsidRPr="008948DD">
        <w:rPr>
          <w:rStyle w:val="apple-converted-space"/>
          <w:rFonts w:eastAsia="Times New Roman"/>
          <w:color w:val="1A1A1A"/>
        </w:rPr>
        <w:t> </w:t>
      </w:r>
      <w:r w:rsidRPr="008948DD">
        <w:rPr>
          <w:rStyle w:val="Emphasis"/>
          <w:rFonts w:eastAsia="Times New Roman"/>
          <w:color w:val="1A1A1A"/>
        </w:rPr>
        <w:t>Privacy, Intimacy, and Isolation</w:t>
      </w:r>
      <w:r w:rsidRPr="008948DD">
        <w:rPr>
          <w:rFonts w:eastAsia="Times New Roman"/>
          <w:color w:val="1A1A1A"/>
        </w:rPr>
        <w:t>. Oxford University Press.</w:t>
      </w:r>
    </w:p>
    <w:p w14:paraId="6A211BE8" w14:textId="77777777" w:rsidR="00426131" w:rsidRPr="008948DD" w:rsidRDefault="00426131" w:rsidP="00426131">
      <w:pPr>
        <w:spacing w:before="100" w:beforeAutospacing="1" w:after="120" w:line="300" w:lineRule="atLeast"/>
        <w:rPr>
          <w:rFonts w:eastAsia="Times New Roman"/>
          <w:color w:val="1A1A1A"/>
        </w:rPr>
      </w:pPr>
      <w:r w:rsidRPr="008948DD">
        <w:t>Kant, Immanuel</w:t>
      </w:r>
      <w:r>
        <w:t xml:space="preserve">. 1785. </w:t>
      </w:r>
      <w:r w:rsidRPr="008948DD">
        <w:rPr>
          <w:rFonts w:eastAsia="Times New Roman"/>
          <w:i/>
          <w:iCs/>
          <w:color w:val="1A1A1A"/>
        </w:rPr>
        <w:t>The Groundwork of the Metaphysics of Morals</w:t>
      </w:r>
      <w:r w:rsidRPr="008948DD">
        <w:rPr>
          <w:rFonts w:eastAsia="Times New Roman"/>
          <w:color w:val="1A1A1A"/>
        </w:rPr>
        <w:t>, in </w:t>
      </w:r>
      <w:r w:rsidRPr="008948DD">
        <w:rPr>
          <w:rFonts w:eastAsia="Times New Roman"/>
          <w:i/>
          <w:iCs/>
          <w:color w:val="1A1A1A"/>
        </w:rPr>
        <w:t>Practical Philosophy</w:t>
      </w:r>
      <w:r w:rsidRPr="008948DD">
        <w:rPr>
          <w:rFonts w:eastAsia="Times New Roman"/>
          <w:color w:val="1A1A1A"/>
        </w:rPr>
        <w:t xml:space="preserve">, </w:t>
      </w:r>
      <w:r>
        <w:rPr>
          <w:rFonts w:eastAsia="Times New Roman"/>
          <w:color w:val="1A1A1A"/>
        </w:rPr>
        <w:t xml:space="preserve">1996. Edited and translated by </w:t>
      </w:r>
      <w:r w:rsidRPr="008948DD">
        <w:rPr>
          <w:rFonts w:eastAsia="Times New Roman"/>
          <w:color w:val="1A1A1A"/>
        </w:rPr>
        <w:t>M. Gregor</w:t>
      </w:r>
      <w:r>
        <w:rPr>
          <w:rFonts w:eastAsia="Times New Roman"/>
          <w:color w:val="1A1A1A"/>
        </w:rPr>
        <w:t xml:space="preserve">, </w:t>
      </w:r>
      <w:r w:rsidRPr="008948DD">
        <w:rPr>
          <w:rFonts w:eastAsia="Times New Roman"/>
          <w:color w:val="1A1A1A"/>
        </w:rPr>
        <w:t>37–108</w:t>
      </w:r>
      <w:r>
        <w:rPr>
          <w:rFonts w:eastAsia="Times New Roman"/>
          <w:color w:val="1A1A1A"/>
        </w:rPr>
        <w:t>. Cambridge University Press</w:t>
      </w:r>
      <w:r w:rsidRPr="008948DD">
        <w:rPr>
          <w:rFonts w:eastAsia="Times New Roman"/>
          <w:color w:val="1A1A1A"/>
        </w:rPr>
        <w:t xml:space="preserve">. </w:t>
      </w:r>
    </w:p>
    <w:p w14:paraId="1338758E" w14:textId="77777777" w:rsidR="00426131" w:rsidRPr="008948DD" w:rsidRDefault="00426131" w:rsidP="00426131">
      <w:pPr>
        <w:pStyle w:val="NormalWeb"/>
      </w:pPr>
      <w:proofErr w:type="spellStart"/>
      <w:r w:rsidRPr="008948DD">
        <w:t>Khubcha</w:t>
      </w:r>
      <w:r>
        <w:t>ndani</w:t>
      </w:r>
      <w:proofErr w:type="spellEnd"/>
      <w:r>
        <w:t>, Jagdish and James Price. 2015.</w:t>
      </w:r>
      <w:r w:rsidRPr="008948DD">
        <w:t xml:space="preserve"> “Workplace Harassment and Morbidity Among US Adults: Results from the National Health Interview Survey.” </w:t>
      </w:r>
      <w:r w:rsidRPr="008948DD">
        <w:rPr>
          <w:i/>
          <w:iCs/>
        </w:rPr>
        <w:t xml:space="preserve">Journal of Community Health </w:t>
      </w:r>
      <w:r>
        <w:t>40, 3:</w:t>
      </w:r>
      <w:r w:rsidRPr="008948DD">
        <w:t xml:space="preserve"> 555-563. </w:t>
      </w:r>
    </w:p>
    <w:p w14:paraId="78027158" w14:textId="77777777" w:rsidR="00426131" w:rsidRPr="008948DD" w:rsidRDefault="00426131" w:rsidP="00426131">
      <w:proofErr w:type="spellStart"/>
      <w:r>
        <w:t>Korsgaard</w:t>
      </w:r>
      <w:proofErr w:type="spellEnd"/>
      <w:r>
        <w:t>, Christine. 1996</w:t>
      </w:r>
      <w:r w:rsidRPr="008948DD">
        <w:t xml:space="preserve">. </w:t>
      </w:r>
      <w:r w:rsidRPr="008948DD">
        <w:rPr>
          <w:i/>
        </w:rPr>
        <w:t>The Sources of Normativity</w:t>
      </w:r>
      <w:r w:rsidRPr="008948DD">
        <w:t xml:space="preserve">. Cambridge University Press. </w:t>
      </w:r>
    </w:p>
    <w:p w14:paraId="10C335FB" w14:textId="77777777" w:rsidR="00426131" w:rsidRPr="008948DD" w:rsidRDefault="00426131" w:rsidP="00426131">
      <w:pPr>
        <w:pStyle w:val="NormalWeb"/>
      </w:pPr>
      <w:r w:rsidRPr="008948DD">
        <w:t>McLaughlin, Heather, Christo</w:t>
      </w:r>
      <w:r>
        <w:t xml:space="preserve">pher </w:t>
      </w:r>
      <w:proofErr w:type="spellStart"/>
      <w:r>
        <w:t>Uggen</w:t>
      </w:r>
      <w:proofErr w:type="spellEnd"/>
      <w:r>
        <w:t>, and Amy Blackstone. 2017.</w:t>
      </w:r>
      <w:r w:rsidRPr="008948DD">
        <w:t xml:space="preserve"> “The Economic and Career Effects of Sexual Harassment on Working Women.” </w:t>
      </w:r>
      <w:r w:rsidRPr="008948DD">
        <w:rPr>
          <w:i/>
          <w:iCs/>
        </w:rPr>
        <w:t xml:space="preserve">Gender &amp; Society </w:t>
      </w:r>
      <w:r>
        <w:t>31, 3:</w:t>
      </w:r>
      <w:r w:rsidRPr="008948DD">
        <w:t xml:space="preserve"> 333–358.</w:t>
      </w:r>
    </w:p>
    <w:p w14:paraId="2BFA9F26" w14:textId="77777777" w:rsidR="00426131" w:rsidRPr="008948DD" w:rsidRDefault="00426131" w:rsidP="00426131">
      <w:pPr>
        <w:pStyle w:val="NormalWeb"/>
      </w:pPr>
      <w:proofErr w:type="spellStart"/>
      <w:r w:rsidRPr="008948DD">
        <w:lastRenderedPageBreak/>
        <w:t>Merkin</w:t>
      </w:r>
      <w:proofErr w:type="spellEnd"/>
      <w:r w:rsidRPr="008948DD">
        <w:t>, Re</w:t>
      </w:r>
      <w:r>
        <w:t>becca, and Muhammad Kamal Shah. 2014.</w:t>
      </w:r>
      <w:r w:rsidRPr="008948DD">
        <w:t xml:space="preserve"> “The Impact of Sexual Harassment on Job Satisfaction, Turnover Intentions, and Absenteeism: Findings from Pakistan Compared to the United States.” </w:t>
      </w:r>
      <w:proofErr w:type="spellStart"/>
      <w:r w:rsidRPr="008948DD">
        <w:rPr>
          <w:i/>
          <w:iCs/>
        </w:rPr>
        <w:t>SpringerPlus</w:t>
      </w:r>
      <w:proofErr w:type="spellEnd"/>
      <w:r w:rsidRPr="008948DD">
        <w:t>. http://www.springerplus.com/content/3/1/215</w:t>
      </w:r>
    </w:p>
    <w:p w14:paraId="48B83ACA" w14:textId="77777777" w:rsidR="00426131" w:rsidRDefault="00426131" w:rsidP="00426131">
      <w:r w:rsidRPr="008948DD">
        <w:t>Mill, John Stuart</w:t>
      </w:r>
      <w:r>
        <w:t xml:space="preserve">. 1859. </w:t>
      </w:r>
      <w:r w:rsidRPr="008948DD">
        <w:rPr>
          <w:i/>
        </w:rPr>
        <w:t>On Liberty</w:t>
      </w:r>
      <w:r>
        <w:t xml:space="preserve">, reprinted in 1978. </w:t>
      </w:r>
      <w:r w:rsidRPr="008948DD">
        <w:t>Hackett Publishing</w:t>
      </w:r>
      <w:r>
        <w:t xml:space="preserve">. </w:t>
      </w:r>
    </w:p>
    <w:p w14:paraId="5EB423E2" w14:textId="77777777" w:rsidR="00426131" w:rsidRPr="008948DD" w:rsidRDefault="00426131" w:rsidP="00426131"/>
    <w:p w14:paraId="3FD18066" w14:textId="77777777" w:rsidR="00426131" w:rsidRPr="008948DD" w:rsidRDefault="00426131" w:rsidP="00426131">
      <w:pPr>
        <w:rPr>
          <w:rFonts w:eastAsia="Times New Roman"/>
        </w:rPr>
      </w:pPr>
      <w:r w:rsidRPr="008948DD">
        <w:rPr>
          <w:rFonts w:eastAsia="Times New Roman"/>
          <w:color w:val="1A1A1A"/>
          <w:shd w:val="clear" w:color="auto" w:fill="FFFFFF"/>
        </w:rPr>
        <w:t>M</w:t>
      </w:r>
      <w:r>
        <w:rPr>
          <w:rFonts w:eastAsia="Times New Roman"/>
          <w:color w:val="1A1A1A"/>
          <w:shd w:val="clear" w:color="auto" w:fill="FFFFFF"/>
        </w:rPr>
        <w:t>oore, Adam. 2003.</w:t>
      </w:r>
      <w:r w:rsidRPr="008948DD">
        <w:rPr>
          <w:rFonts w:eastAsia="Times New Roman"/>
          <w:color w:val="1A1A1A"/>
          <w:shd w:val="clear" w:color="auto" w:fill="FFFFFF"/>
        </w:rPr>
        <w:t xml:space="preserve"> </w:t>
      </w:r>
      <w:r>
        <w:rPr>
          <w:rFonts w:eastAsia="Times New Roman"/>
          <w:color w:val="1A1A1A"/>
          <w:shd w:val="clear" w:color="auto" w:fill="FFFFFF"/>
        </w:rPr>
        <w:t>“Privacy: Its Meaning and Value.</w:t>
      </w:r>
      <w:r w:rsidRPr="008948DD">
        <w:rPr>
          <w:rFonts w:eastAsia="Times New Roman"/>
          <w:color w:val="1A1A1A"/>
          <w:shd w:val="clear" w:color="auto" w:fill="FFFFFF"/>
        </w:rPr>
        <w:t>”</w:t>
      </w:r>
      <w:r w:rsidRPr="008948DD">
        <w:rPr>
          <w:rStyle w:val="apple-converted-space"/>
          <w:rFonts w:eastAsia="Times New Roman"/>
          <w:color w:val="1A1A1A"/>
          <w:shd w:val="clear" w:color="auto" w:fill="FFFFFF"/>
        </w:rPr>
        <w:t> </w:t>
      </w:r>
      <w:r w:rsidRPr="008948DD">
        <w:rPr>
          <w:rStyle w:val="Emphasis"/>
          <w:rFonts w:eastAsia="Times New Roman"/>
          <w:color w:val="1A1A1A"/>
        </w:rPr>
        <w:t>American Philosophical Quarterly</w:t>
      </w:r>
      <w:r w:rsidRPr="008948DD">
        <w:rPr>
          <w:rFonts w:eastAsia="Times New Roman"/>
          <w:color w:val="1A1A1A"/>
          <w:shd w:val="clear" w:color="auto" w:fill="FFFFFF"/>
        </w:rPr>
        <w:t xml:space="preserve"> 40: 215–227. </w:t>
      </w:r>
    </w:p>
    <w:p w14:paraId="6337A716" w14:textId="77777777" w:rsidR="00426131" w:rsidRPr="008948DD" w:rsidRDefault="00426131" w:rsidP="00426131">
      <w:pPr>
        <w:pStyle w:val="NormalWeb"/>
      </w:pPr>
      <w:r>
        <w:t>National Academy of Sciences. 2018</w:t>
      </w:r>
      <w:r w:rsidRPr="008948DD">
        <w:t xml:space="preserve">. </w:t>
      </w:r>
      <w:r w:rsidRPr="008948DD">
        <w:rPr>
          <w:i/>
          <w:iCs/>
        </w:rPr>
        <w:t xml:space="preserve">Sexual Harassment of Women: Climate, Culture, and Consequences in Academic Sciences, Engineering, and Medicine. </w:t>
      </w:r>
      <w:r w:rsidRPr="008948DD">
        <w:t>http://sites.nationalacademies.org/shstudy/index.htm</w:t>
      </w:r>
    </w:p>
    <w:p w14:paraId="6911F59E" w14:textId="77777777" w:rsidR="00426131" w:rsidRPr="008948DD" w:rsidRDefault="00426131" w:rsidP="00426131">
      <w:r w:rsidRPr="008948DD">
        <w:t>Nielse</w:t>
      </w:r>
      <w:r>
        <w:t xml:space="preserve">n, M. B. and S. </w:t>
      </w:r>
      <w:proofErr w:type="spellStart"/>
      <w:r>
        <w:t>Einarsen</w:t>
      </w:r>
      <w:proofErr w:type="spellEnd"/>
      <w:r>
        <w:t>. 2012.</w:t>
      </w:r>
      <w:r w:rsidRPr="008948DD">
        <w:t xml:space="preserve"> “Prospective Relationships between Workplace Sexual Harassment and Psychological Distress.” </w:t>
      </w:r>
      <w:r w:rsidRPr="00E61449">
        <w:rPr>
          <w:i/>
        </w:rPr>
        <w:t>Occupational Medicine</w:t>
      </w:r>
      <w:r>
        <w:t xml:space="preserve"> 62, 3:</w:t>
      </w:r>
      <w:r w:rsidRPr="008948DD">
        <w:t xml:space="preserve"> 226-228. </w:t>
      </w:r>
    </w:p>
    <w:p w14:paraId="7108AD8D" w14:textId="77777777" w:rsidR="00426131" w:rsidRPr="008948DD" w:rsidRDefault="00426131" w:rsidP="00426131"/>
    <w:p w14:paraId="74F6DD6D" w14:textId="7D237CC0" w:rsidR="00426131" w:rsidRPr="008948DD" w:rsidRDefault="00426131" w:rsidP="00426131">
      <w:pPr>
        <w:rPr>
          <w:rFonts w:eastAsia="Times New Roman"/>
          <w:color w:val="1A1A1A"/>
          <w:shd w:val="clear" w:color="auto" w:fill="FFFFFF"/>
        </w:rPr>
      </w:pPr>
      <w:r w:rsidRPr="008948DD">
        <w:t>Nozick, Robert</w:t>
      </w:r>
      <w:r>
        <w:t>. 1969.</w:t>
      </w:r>
      <w:r w:rsidRPr="008948DD">
        <w:t xml:space="preserve"> </w:t>
      </w:r>
      <w:r w:rsidRPr="008948DD">
        <w:rPr>
          <w:rFonts w:eastAsia="Times New Roman"/>
          <w:color w:val="1A1A1A"/>
          <w:shd w:val="clear" w:color="auto" w:fill="FFFFFF"/>
        </w:rPr>
        <w:t>“Coercion</w:t>
      </w:r>
      <w:r w:rsidR="005F3E8E">
        <w:rPr>
          <w:rFonts w:eastAsia="Times New Roman"/>
          <w:color w:val="1A1A1A"/>
          <w:shd w:val="clear" w:color="auto" w:fill="FFFFFF"/>
        </w:rPr>
        <w:t>.</w:t>
      </w:r>
      <w:r w:rsidRPr="008948DD">
        <w:rPr>
          <w:rFonts w:eastAsia="Times New Roman"/>
          <w:color w:val="1A1A1A"/>
          <w:shd w:val="clear" w:color="auto" w:fill="FFFFFF"/>
        </w:rPr>
        <w:t xml:space="preserve">” </w:t>
      </w:r>
      <w:r w:rsidR="005F3E8E">
        <w:rPr>
          <w:rFonts w:eastAsia="Times New Roman"/>
          <w:color w:val="1A1A1A"/>
          <w:shd w:val="clear" w:color="auto" w:fill="FFFFFF"/>
        </w:rPr>
        <w:t>I</w:t>
      </w:r>
      <w:r w:rsidRPr="008948DD">
        <w:rPr>
          <w:rFonts w:eastAsia="Times New Roman"/>
          <w:color w:val="1A1A1A"/>
          <w:shd w:val="clear" w:color="auto" w:fill="FFFFFF"/>
        </w:rPr>
        <w:t>n </w:t>
      </w:r>
      <w:r w:rsidRPr="008948DD">
        <w:rPr>
          <w:rFonts w:eastAsia="Times New Roman"/>
          <w:i/>
          <w:iCs/>
          <w:color w:val="1A1A1A"/>
          <w:shd w:val="clear" w:color="auto" w:fill="FFFFFF"/>
        </w:rPr>
        <w:t>Philosophy, Science, and Method: Essays in Honor of Ernest Nagel</w:t>
      </w:r>
      <w:r w:rsidRPr="008948DD">
        <w:rPr>
          <w:rFonts w:eastAsia="Times New Roman"/>
          <w:color w:val="1A1A1A"/>
          <w:shd w:val="clear" w:color="auto" w:fill="FFFFFF"/>
        </w:rPr>
        <w:t xml:space="preserve">, </w:t>
      </w:r>
      <w:r>
        <w:rPr>
          <w:rFonts w:eastAsia="Times New Roman"/>
          <w:color w:val="1A1A1A"/>
          <w:shd w:val="clear" w:color="auto" w:fill="FFFFFF"/>
        </w:rPr>
        <w:t xml:space="preserve">edited by </w:t>
      </w:r>
      <w:r w:rsidRPr="008948DD">
        <w:rPr>
          <w:rFonts w:eastAsia="Times New Roman"/>
          <w:color w:val="1A1A1A"/>
          <w:shd w:val="clear" w:color="auto" w:fill="FFFFFF"/>
        </w:rPr>
        <w:t xml:space="preserve">Sidney </w:t>
      </w:r>
      <w:proofErr w:type="spellStart"/>
      <w:r w:rsidRPr="008948DD">
        <w:rPr>
          <w:rFonts w:eastAsia="Times New Roman"/>
          <w:color w:val="1A1A1A"/>
          <w:shd w:val="clear" w:color="auto" w:fill="FFFFFF"/>
        </w:rPr>
        <w:t>Morgenbesser</w:t>
      </w:r>
      <w:proofErr w:type="spellEnd"/>
      <w:r w:rsidRPr="008948DD">
        <w:rPr>
          <w:rFonts w:eastAsia="Times New Roman"/>
          <w:color w:val="1A1A1A"/>
          <w:shd w:val="clear" w:color="auto" w:fill="FFFFFF"/>
        </w:rPr>
        <w:t xml:space="preserve">, Patrick </w:t>
      </w:r>
      <w:proofErr w:type="spellStart"/>
      <w:r w:rsidRPr="008948DD">
        <w:rPr>
          <w:rFonts w:eastAsia="Times New Roman"/>
          <w:color w:val="1A1A1A"/>
          <w:shd w:val="clear" w:color="auto" w:fill="FFFFFF"/>
        </w:rPr>
        <w:t>Su</w:t>
      </w:r>
      <w:r>
        <w:rPr>
          <w:rFonts w:eastAsia="Times New Roman"/>
          <w:color w:val="1A1A1A"/>
          <w:shd w:val="clear" w:color="auto" w:fill="FFFFFF"/>
        </w:rPr>
        <w:t>ppes</w:t>
      </w:r>
      <w:proofErr w:type="spellEnd"/>
      <w:r>
        <w:rPr>
          <w:rFonts w:eastAsia="Times New Roman"/>
          <w:color w:val="1A1A1A"/>
          <w:shd w:val="clear" w:color="auto" w:fill="FFFFFF"/>
        </w:rPr>
        <w:t>, and Morton White, 440-472. New York: St. Martin's Press</w:t>
      </w:r>
      <w:r w:rsidRPr="008948DD">
        <w:rPr>
          <w:rFonts w:eastAsia="Times New Roman"/>
          <w:color w:val="1A1A1A"/>
          <w:shd w:val="clear" w:color="auto" w:fill="FFFFFF"/>
        </w:rPr>
        <w:t>.</w:t>
      </w:r>
    </w:p>
    <w:p w14:paraId="3D998B52" w14:textId="77777777" w:rsidR="00426131" w:rsidRPr="008948DD" w:rsidRDefault="00426131" w:rsidP="00426131">
      <w:pPr>
        <w:rPr>
          <w:rFonts w:eastAsia="Times New Roman"/>
          <w:color w:val="1A1A1A"/>
          <w:shd w:val="clear" w:color="auto" w:fill="FFFFFF"/>
        </w:rPr>
      </w:pPr>
    </w:p>
    <w:p w14:paraId="468291D8" w14:textId="77777777" w:rsidR="00426131" w:rsidRPr="008948DD" w:rsidRDefault="00426131" w:rsidP="00426131">
      <w:pPr>
        <w:outlineLvl w:val="0"/>
      </w:pPr>
      <w:r w:rsidRPr="008948DD">
        <w:t>Rachels, James</w:t>
      </w:r>
      <w:r>
        <w:t>. 1975. “Why Privacy is Important.</w:t>
      </w:r>
      <w:r w:rsidRPr="008948DD">
        <w:t xml:space="preserve">” </w:t>
      </w:r>
      <w:r w:rsidRPr="008948DD">
        <w:rPr>
          <w:i/>
        </w:rPr>
        <w:t>Philosophy and Public Affairs</w:t>
      </w:r>
      <w:r>
        <w:t xml:space="preserve"> 4, 4:</w:t>
      </w:r>
      <w:r w:rsidRPr="008948DD">
        <w:t xml:space="preserve"> 323-333. </w:t>
      </w:r>
    </w:p>
    <w:p w14:paraId="1A21E922" w14:textId="77777777" w:rsidR="00426131" w:rsidRPr="008948DD" w:rsidRDefault="00426131" w:rsidP="00426131">
      <w:pPr>
        <w:pStyle w:val="NoSpacing"/>
        <w:rPr>
          <w:rFonts w:ascii="Times New Roman" w:hAnsi="Times New Roman" w:cs="Times New Roman"/>
        </w:rPr>
      </w:pPr>
    </w:p>
    <w:p w14:paraId="21F972C7" w14:textId="77777777" w:rsidR="00426131" w:rsidRPr="008948DD" w:rsidRDefault="00426131" w:rsidP="00426131">
      <w:pPr>
        <w:pStyle w:val="NoSpacing"/>
        <w:rPr>
          <w:rFonts w:ascii="Times New Roman" w:hAnsi="Times New Roman" w:cs="Times New Roman"/>
        </w:rPr>
      </w:pPr>
      <w:r w:rsidRPr="008948DD">
        <w:rPr>
          <w:rFonts w:ascii="Times New Roman" w:hAnsi="Times New Roman" w:cs="Times New Roman"/>
        </w:rPr>
        <w:t>Ra</w:t>
      </w:r>
      <w:r>
        <w:rPr>
          <w:rFonts w:ascii="Times New Roman" w:hAnsi="Times New Roman" w:cs="Times New Roman"/>
        </w:rPr>
        <w:t>ver, Jana, and Michele Gelfand. 2005.</w:t>
      </w:r>
      <w:r w:rsidRPr="008948DD">
        <w:rPr>
          <w:rFonts w:ascii="Times New Roman" w:hAnsi="Times New Roman" w:cs="Times New Roman"/>
        </w:rPr>
        <w:t xml:space="preserve"> “Beyond the Individual Victim: Linking Sexual </w:t>
      </w:r>
    </w:p>
    <w:p w14:paraId="79B50352" w14:textId="77777777" w:rsidR="00426131" w:rsidRPr="008948DD" w:rsidRDefault="00426131" w:rsidP="00426131">
      <w:pPr>
        <w:pStyle w:val="NoSpacing"/>
        <w:rPr>
          <w:rFonts w:ascii="Times New Roman" w:hAnsi="Times New Roman" w:cs="Times New Roman"/>
        </w:rPr>
      </w:pPr>
      <w:r w:rsidRPr="008948DD">
        <w:rPr>
          <w:rFonts w:ascii="Times New Roman" w:hAnsi="Times New Roman" w:cs="Times New Roman"/>
        </w:rPr>
        <w:t xml:space="preserve">Harassment, Team Processes, and Team Performance.” </w:t>
      </w:r>
      <w:r w:rsidRPr="008948DD">
        <w:rPr>
          <w:rFonts w:ascii="Times New Roman" w:hAnsi="Times New Roman" w:cs="Times New Roman"/>
          <w:i/>
          <w:iCs/>
        </w:rPr>
        <w:t xml:space="preserve">The Academy of Management </w:t>
      </w:r>
    </w:p>
    <w:p w14:paraId="304D687C" w14:textId="77777777" w:rsidR="00426131" w:rsidRPr="008948DD" w:rsidRDefault="00426131" w:rsidP="00426131">
      <w:pPr>
        <w:pStyle w:val="NoSpacing"/>
        <w:rPr>
          <w:rFonts w:ascii="Times New Roman" w:hAnsi="Times New Roman" w:cs="Times New Roman"/>
        </w:rPr>
      </w:pPr>
      <w:r w:rsidRPr="008948DD">
        <w:rPr>
          <w:rFonts w:ascii="Times New Roman" w:hAnsi="Times New Roman" w:cs="Times New Roman"/>
          <w:i/>
          <w:iCs/>
        </w:rPr>
        <w:t xml:space="preserve">Journal </w:t>
      </w:r>
      <w:r>
        <w:rPr>
          <w:rFonts w:ascii="Times New Roman" w:hAnsi="Times New Roman" w:cs="Times New Roman"/>
        </w:rPr>
        <w:t xml:space="preserve">48, 3: </w:t>
      </w:r>
      <w:r w:rsidRPr="008948DD">
        <w:rPr>
          <w:rFonts w:ascii="Times New Roman" w:hAnsi="Times New Roman" w:cs="Times New Roman"/>
        </w:rPr>
        <w:t xml:space="preserve">387–400. </w:t>
      </w:r>
    </w:p>
    <w:p w14:paraId="24AE3517" w14:textId="77777777" w:rsidR="00426131" w:rsidRPr="008948DD" w:rsidRDefault="00426131" w:rsidP="00426131">
      <w:pPr>
        <w:pStyle w:val="NoSpacing"/>
        <w:rPr>
          <w:rFonts w:ascii="Times New Roman" w:hAnsi="Times New Roman" w:cs="Times New Roman"/>
        </w:rPr>
      </w:pPr>
    </w:p>
    <w:p w14:paraId="4A37773D" w14:textId="77777777" w:rsidR="00426131" w:rsidRDefault="00426131" w:rsidP="00426131">
      <w:pPr>
        <w:pStyle w:val="NoSpacing"/>
        <w:rPr>
          <w:rFonts w:ascii="Times New Roman" w:hAnsi="Times New Roman" w:cs="Times New Roman"/>
        </w:rPr>
      </w:pPr>
      <w:r>
        <w:rPr>
          <w:rFonts w:ascii="Times New Roman" w:hAnsi="Times New Roman" w:cs="Times New Roman"/>
        </w:rPr>
        <w:t xml:space="preserve">Rutherglen, George. 2015. </w:t>
      </w:r>
      <w:r w:rsidRPr="008948DD">
        <w:rPr>
          <w:rFonts w:ascii="Times New Roman" w:hAnsi="Times New Roman" w:cs="Times New Roman"/>
        </w:rPr>
        <w:t xml:space="preserve">“Private Rights and Private Actions: The Legacy of Civil Rights in the Enforcement of Title VII.” </w:t>
      </w:r>
      <w:r w:rsidRPr="008948DD">
        <w:rPr>
          <w:rFonts w:ascii="Times New Roman" w:hAnsi="Times New Roman" w:cs="Times New Roman"/>
          <w:i/>
          <w:iCs/>
        </w:rPr>
        <w:t xml:space="preserve">Boston University Law Review </w:t>
      </w:r>
      <w:r w:rsidRPr="008948DD">
        <w:rPr>
          <w:rFonts w:ascii="Times New Roman" w:hAnsi="Times New Roman" w:cs="Times New Roman"/>
        </w:rPr>
        <w:t>95, 733.</w:t>
      </w:r>
    </w:p>
    <w:p w14:paraId="4CE64EBA" w14:textId="77777777" w:rsidR="00426131" w:rsidRPr="008948DD" w:rsidRDefault="00426131" w:rsidP="00426131">
      <w:pPr>
        <w:pStyle w:val="NoSpacing"/>
        <w:rPr>
          <w:rFonts w:ascii="Times New Roman" w:hAnsi="Times New Roman" w:cs="Times New Roman"/>
        </w:rPr>
      </w:pPr>
    </w:p>
    <w:p w14:paraId="3A67212B" w14:textId="77777777" w:rsidR="00426131" w:rsidRPr="008948DD" w:rsidRDefault="00426131" w:rsidP="00426131">
      <w:r w:rsidRPr="008948DD">
        <w:t>Schneider, Kimberly, T. Suzanne Swan, and Louise Fitzgerald</w:t>
      </w:r>
      <w:r>
        <w:t>. 1997.</w:t>
      </w:r>
      <w:r w:rsidRPr="008948DD">
        <w:t xml:space="preserve"> “Job-related and Psychological Effects of Sexual Harassment in the Workplace: Empirical Evidence from Two Organizations.” </w:t>
      </w:r>
      <w:r w:rsidRPr="008948DD">
        <w:rPr>
          <w:i/>
        </w:rPr>
        <w:t>Journal of Applied Psychology</w:t>
      </w:r>
      <w:r>
        <w:t xml:space="preserve"> 82, 3:</w:t>
      </w:r>
      <w:r w:rsidRPr="008948DD">
        <w:t xml:space="preserve"> 401-415. </w:t>
      </w:r>
    </w:p>
    <w:p w14:paraId="2170422B" w14:textId="02CED7E0" w:rsidR="00426131" w:rsidRDefault="00426131" w:rsidP="00426131"/>
    <w:p w14:paraId="29A688D8" w14:textId="77777777" w:rsidR="00B355B9" w:rsidRPr="008948DD" w:rsidRDefault="00B355B9" w:rsidP="00B355B9">
      <w:pPr>
        <w:rPr>
          <w:rFonts w:eastAsia="Times New Roman"/>
        </w:rPr>
      </w:pPr>
      <w:r w:rsidRPr="008948DD">
        <w:rPr>
          <w:rFonts w:eastAsia="Times New Roman"/>
          <w:color w:val="1A1A1A"/>
          <w:shd w:val="clear" w:color="auto" w:fill="FFFFFF"/>
        </w:rPr>
        <w:t>Schoeman, Ferdinand, ed</w:t>
      </w:r>
      <w:r>
        <w:rPr>
          <w:rFonts w:eastAsia="Times New Roman"/>
          <w:color w:val="1A1A1A"/>
          <w:shd w:val="clear" w:color="auto" w:fill="FFFFFF"/>
        </w:rPr>
        <w:t>itor. 1984</w:t>
      </w:r>
      <w:r w:rsidRPr="008948DD">
        <w:rPr>
          <w:rFonts w:eastAsia="Times New Roman"/>
          <w:color w:val="1A1A1A"/>
          <w:shd w:val="clear" w:color="auto" w:fill="FFFFFF"/>
        </w:rPr>
        <w:t>.</w:t>
      </w:r>
      <w:r w:rsidRPr="008948DD">
        <w:rPr>
          <w:rStyle w:val="apple-converted-space"/>
          <w:rFonts w:eastAsia="Times New Roman"/>
          <w:color w:val="1A1A1A"/>
          <w:shd w:val="clear" w:color="auto" w:fill="FFFFFF"/>
        </w:rPr>
        <w:t> </w:t>
      </w:r>
      <w:r w:rsidRPr="008948DD">
        <w:rPr>
          <w:rStyle w:val="Emphasis"/>
          <w:rFonts w:eastAsia="Times New Roman"/>
          <w:color w:val="1A1A1A"/>
        </w:rPr>
        <w:t>Philosophical Dimensions of Privacy: An Anthology</w:t>
      </w:r>
      <w:r w:rsidRPr="008948DD">
        <w:rPr>
          <w:rFonts w:eastAsia="Times New Roman"/>
          <w:color w:val="1A1A1A"/>
          <w:shd w:val="clear" w:color="auto" w:fill="FFFFFF"/>
        </w:rPr>
        <w:t>. Cambridge</w:t>
      </w:r>
      <w:r w:rsidRPr="008948DD">
        <w:rPr>
          <w:rFonts w:eastAsia="Times New Roman"/>
        </w:rPr>
        <w:t xml:space="preserve"> University Press. </w:t>
      </w:r>
    </w:p>
    <w:p w14:paraId="543C5570" w14:textId="77777777" w:rsidR="00B355B9" w:rsidRPr="008948DD" w:rsidRDefault="00B355B9" w:rsidP="00426131"/>
    <w:p w14:paraId="6AA73366" w14:textId="77777777" w:rsidR="00426131" w:rsidRPr="008948DD" w:rsidRDefault="00426131" w:rsidP="00426131">
      <w:r w:rsidRPr="008948DD">
        <w:t>Shaw, Elyse, Ari</w:t>
      </w:r>
      <w:r>
        <w:t>ane Hegewisch, and Cynthia Hess.</w:t>
      </w:r>
      <w:r w:rsidRPr="008948DD">
        <w:t xml:space="preserve"> </w:t>
      </w:r>
      <w:r>
        <w:t xml:space="preserve">2018. </w:t>
      </w:r>
      <w:r w:rsidRPr="008948DD">
        <w:t>“Sexual Harassment and Assault a</w:t>
      </w:r>
      <w:r>
        <w:t>t Work: Understanding the Costs.</w:t>
      </w:r>
      <w:r w:rsidRPr="008948DD">
        <w:t xml:space="preserve">” </w:t>
      </w:r>
      <w:r w:rsidRPr="008948DD">
        <w:rPr>
          <w:i/>
        </w:rPr>
        <w:t xml:space="preserve">Institute for Women’s Policy Research Briefing Paper </w:t>
      </w:r>
      <w:r w:rsidRPr="008948DD">
        <w:t>#B376. https://iwpr.org/wp-content/uploads/2018/10/IWPR-sexual-harassment-brief_FINAL.pdf</w:t>
      </w:r>
    </w:p>
    <w:p w14:paraId="4720460A" w14:textId="0312C9A8" w:rsidR="00426131" w:rsidRPr="008948DD" w:rsidRDefault="00426131" w:rsidP="00426131"/>
    <w:p w14:paraId="3C2BBE1B" w14:textId="77777777" w:rsidR="00426131" w:rsidRPr="008948DD" w:rsidRDefault="00426131" w:rsidP="00426131">
      <w:r>
        <w:t>Smith, Steven. 2004.</w:t>
      </w:r>
      <w:r w:rsidRPr="008948DD">
        <w:t xml:space="preserve"> “The H</w:t>
      </w:r>
      <w:r>
        <w:t>ollowness of the Harm Principle.</w:t>
      </w:r>
      <w:r w:rsidRPr="008948DD">
        <w:t xml:space="preserve">” </w:t>
      </w:r>
      <w:r w:rsidRPr="008948DD">
        <w:rPr>
          <w:i/>
        </w:rPr>
        <w:t>Public Law and Legal Theory Research Paper Series</w:t>
      </w:r>
      <w:r w:rsidRPr="008948DD">
        <w:t xml:space="preserve">. </w:t>
      </w:r>
    </w:p>
    <w:p w14:paraId="7528EECB" w14:textId="77777777" w:rsidR="00426131" w:rsidRPr="008948DD" w:rsidRDefault="00426131" w:rsidP="00426131">
      <w:pPr>
        <w:pStyle w:val="NormalWeb"/>
      </w:pPr>
      <w:proofErr w:type="spellStart"/>
      <w:r w:rsidRPr="008948DD">
        <w:t>Sojo</w:t>
      </w:r>
      <w:proofErr w:type="spellEnd"/>
      <w:r w:rsidRPr="008948DD">
        <w:t>, Victor, Robert E. Wood</w:t>
      </w:r>
      <w:r>
        <w:t xml:space="preserve">, and Anna E. </w:t>
      </w:r>
      <w:proofErr w:type="spellStart"/>
      <w:r>
        <w:t>Genat</w:t>
      </w:r>
      <w:proofErr w:type="spellEnd"/>
      <w:r>
        <w:t>. 2016.</w:t>
      </w:r>
      <w:r w:rsidRPr="008948DD">
        <w:t xml:space="preserve"> “Harmful Workplace Experiences and Women’s Occupational Well-Being: A Meta-Analysis.” </w:t>
      </w:r>
      <w:r w:rsidRPr="008948DD">
        <w:rPr>
          <w:i/>
          <w:iCs/>
        </w:rPr>
        <w:t xml:space="preserve">Psychology of Women Quarterly </w:t>
      </w:r>
      <w:r>
        <w:t>40, 1:</w:t>
      </w:r>
      <w:r w:rsidRPr="008948DD">
        <w:t xml:space="preserve"> 10–40.</w:t>
      </w:r>
    </w:p>
    <w:p w14:paraId="3E5DCB8C" w14:textId="77777777" w:rsidR="00426131" w:rsidRPr="008948DD" w:rsidRDefault="00426131" w:rsidP="00426131">
      <w:pPr>
        <w:pStyle w:val="NormalWeb"/>
      </w:pPr>
      <w:r w:rsidRPr="008948DD">
        <w:lastRenderedPageBreak/>
        <w:t>U.S. Equal Emp</w:t>
      </w:r>
      <w:r>
        <w:t>loyment Opportunity Commission. 2018a.</w:t>
      </w:r>
      <w:r w:rsidRPr="008948DD">
        <w:t xml:space="preserve"> “Charges Alleging Sex-Based Harassment (Charges Filed with EEOC).” https://www.eeoc.gov/eeoc/statistics/enforcement/sexual_harassment_new.cfm</w:t>
      </w:r>
    </w:p>
    <w:p w14:paraId="2F567F9E" w14:textId="77777777" w:rsidR="00426131" w:rsidRPr="008948DD" w:rsidRDefault="00426131" w:rsidP="00426131">
      <w:pPr>
        <w:pStyle w:val="NormalWeb"/>
      </w:pPr>
      <w:r w:rsidRPr="008948DD">
        <w:t>U.S. Equal Emp</w:t>
      </w:r>
      <w:r>
        <w:t>loyment Opportunity Commission. 2018b.</w:t>
      </w:r>
      <w:r w:rsidRPr="008948DD">
        <w:t xml:space="preserve"> “Facts about Sexual Harassment.” https://www.eeoc.gov/eeoc/publications/fs- </w:t>
      </w:r>
      <w:proofErr w:type="spellStart"/>
      <w:r w:rsidRPr="008948DD">
        <w:t>sex.cfm</w:t>
      </w:r>
      <w:proofErr w:type="spellEnd"/>
    </w:p>
    <w:p w14:paraId="246AAE5C" w14:textId="77777777" w:rsidR="00426131" w:rsidRPr="008948DD" w:rsidRDefault="00426131" w:rsidP="00426131">
      <w:pPr>
        <w:rPr>
          <w:color w:val="0000FF" w:themeColor="hyperlink"/>
          <w:u w:val="single"/>
        </w:rPr>
      </w:pPr>
      <w:r w:rsidRPr="008948DD">
        <w:rPr>
          <w:rFonts w:eastAsia="Times New Roman"/>
          <w:color w:val="262626"/>
          <w:shd w:val="clear" w:color="auto" w:fill="FFFFFF"/>
        </w:rPr>
        <w:t>U.S. Govern</w:t>
      </w:r>
      <w:r>
        <w:rPr>
          <w:rFonts w:eastAsia="Times New Roman"/>
          <w:color w:val="262626"/>
          <w:shd w:val="clear" w:color="auto" w:fill="FFFFFF"/>
        </w:rPr>
        <w:t>ment. 2014.</w:t>
      </w:r>
      <w:r w:rsidRPr="008948DD">
        <w:rPr>
          <w:rFonts w:eastAsia="Times New Roman"/>
          <w:color w:val="262626"/>
          <w:shd w:val="clear" w:color="auto" w:fill="FFFFFF"/>
        </w:rPr>
        <w:t xml:space="preserve"> </w:t>
      </w:r>
      <w:r w:rsidRPr="003237F2">
        <w:rPr>
          <w:rFonts w:eastAsia="Times New Roman"/>
          <w:i/>
          <w:color w:val="262626"/>
          <w:shd w:val="clear" w:color="auto" w:fill="FFFFFF"/>
        </w:rPr>
        <w:t>whitehouse.gov</w:t>
      </w:r>
      <w:r w:rsidRPr="008948DD">
        <w:rPr>
          <w:rFonts w:eastAsia="Times New Roman"/>
          <w:color w:val="262626"/>
          <w:shd w:val="clear" w:color="auto" w:fill="FFFFFF"/>
        </w:rPr>
        <w:t>. Retrieved from:</w:t>
      </w:r>
      <w:r w:rsidRPr="008948DD">
        <w:t xml:space="preserve"> https://feminist.org/blog/index.php/2014/10/03/white-house-releases-updated-title-ix-guidance-on-campus-sexual-assault/</w:t>
      </w:r>
    </w:p>
    <w:p w14:paraId="2BAFD0B8" w14:textId="77777777" w:rsidR="00426131" w:rsidRPr="008948DD" w:rsidRDefault="00426131" w:rsidP="00426131">
      <w:pPr>
        <w:rPr>
          <w:color w:val="0000FF" w:themeColor="hyperlink"/>
          <w:u w:val="single"/>
        </w:rPr>
      </w:pPr>
    </w:p>
    <w:p w14:paraId="12E6FFC2" w14:textId="77777777" w:rsidR="00426131" w:rsidRPr="008948DD" w:rsidRDefault="00426131" w:rsidP="00426131">
      <w:r w:rsidRPr="008948DD">
        <w:t xml:space="preserve">U.S. Merit </w:t>
      </w:r>
      <w:r>
        <w:t>Systems Protection Board. 1995.</w:t>
      </w:r>
      <w:r w:rsidRPr="008948DD">
        <w:t xml:space="preserve"> “Sexual </w:t>
      </w:r>
      <w:proofErr w:type="spellStart"/>
      <w:r w:rsidRPr="008948DD">
        <w:t>Harrassment</w:t>
      </w:r>
      <w:proofErr w:type="spellEnd"/>
      <w:r w:rsidRPr="008948DD">
        <w:t xml:space="preserve"> in the Federal </w:t>
      </w:r>
      <w:proofErr w:type="spellStart"/>
      <w:r w:rsidRPr="008948DD">
        <w:t>Workpalce</w:t>
      </w:r>
      <w:proofErr w:type="spellEnd"/>
      <w:r w:rsidRPr="008948DD">
        <w:t xml:space="preserve">: Trends, </w:t>
      </w:r>
      <w:r>
        <w:t>Progress, Continuing Challenges.</w:t>
      </w:r>
      <w:r w:rsidRPr="008948DD">
        <w:t>” https://www.mspb.gov/netsearch/viewdocs.aspx?docnumber=253661&amp;version=253948</w:t>
      </w:r>
    </w:p>
    <w:p w14:paraId="42EE71F2" w14:textId="77777777" w:rsidR="00426131" w:rsidRPr="008948DD" w:rsidRDefault="00426131" w:rsidP="00426131"/>
    <w:p w14:paraId="50961ACB" w14:textId="77777777" w:rsidR="00426131" w:rsidRPr="008948DD" w:rsidRDefault="00426131" w:rsidP="00426131">
      <w:pPr>
        <w:rPr>
          <w:rFonts w:eastAsia="Times New Roman"/>
        </w:rPr>
      </w:pPr>
      <w:r>
        <w:t>U.S. Sentencing Commission. 2018.</w:t>
      </w:r>
      <w:r w:rsidRPr="008948DD">
        <w:t xml:space="preserve"> “Unit</w:t>
      </w:r>
      <w:r>
        <w:t>ed States Sentencing Guidelines.</w:t>
      </w:r>
      <w:r w:rsidRPr="008948DD">
        <w:t xml:space="preserve">” </w:t>
      </w:r>
      <w:r w:rsidRPr="008948DD">
        <w:rPr>
          <w:rFonts w:eastAsia="Times New Roman"/>
        </w:rPr>
        <w:t>https://www.ussc.gov/sites/default/files/pdf/guidelines-manual/2018/GLMFull.pdf</w:t>
      </w:r>
    </w:p>
    <w:p w14:paraId="298EBB55" w14:textId="77777777" w:rsidR="00426131" w:rsidRPr="008948DD" w:rsidRDefault="00426131" w:rsidP="00426131">
      <w:pPr>
        <w:outlineLvl w:val="0"/>
      </w:pPr>
    </w:p>
    <w:p w14:paraId="63B580B2" w14:textId="77777777" w:rsidR="00426131" w:rsidRPr="008948DD" w:rsidRDefault="00426131" w:rsidP="00426131">
      <w:pPr>
        <w:outlineLvl w:val="0"/>
      </w:pPr>
      <w:proofErr w:type="spellStart"/>
      <w:r w:rsidRPr="008948DD">
        <w:t>Valdman</w:t>
      </w:r>
      <w:proofErr w:type="spellEnd"/>
      <w:r w:rsidRPr="008948DD">
        <w:t>, Mikhail</w:t>
      </w:r>
      <w:r>
        <w:t>. 2009.</w:t>
      </w:r>
      <w:r w:rsidRPr="008948DD">
        <w:t xml:space="preserve"> “A </w:t>
      </w:r>
      <w:r>
        <w:t>Theory of Wrongful Exploitation.</w:t>
      </w:r>
      <w:r w:rsidRPr="008948DD">
        <w:t xml:space="preserve">” </w:t>
      </w:r>
      <w:r w:rsidRPr="008948DD">
        <w:rPr>
          <w:i/>
        </w:rPr>
        <w:t>Philosopher’s Imprint</w:t>
      </w:r>
      <w:r w:rsidRPr="008948DD">
        <w:t xml:space="preserve"> 9</w:t>
      </w:r>
      <w:r>
        <w:t>:</w:t>
      </w:r>
      <w:r w:rsidRPr="008948DD">
        <w:t xml:space="preserve"> 1-14.</w:t>
      </w:r>
    </w:p>
    <w:p w14:paraId="45171E2E" w14:textId="77777777" w:rsidR="00426131" w:rsidRPr="008948DD" w:rsidRDefault="00426131" w:rsidP="00426131"/>
    <w:p w14:paraId="22EDABAC" w14:textId="54C98FE9" w:rsidR="00426131" w:rsidRPr="008948DD" w:rsidRDefault="00426131" w:rsidP="00426131">
      <w:pPr>
        <w:outlineLvl w:val="0"/>
        <w:rPr>
          <w:rFonts w:eastAsia="Times New Roman"/>
          <w:color w:val="1A1A1A"/>
          <w:shd w:val="clear" w:color="auto" w:fill="FFFFFF"/>
        </w:rPr>
      </w:pPr>
      <w:r w:rsidRPr="008948DD">
        <w:rPr>
          <w:rFonts w:eastAsia="Times New Roman"/>
          <w:color w:val="1A1A1A"/>
          <w:shd w:val="clear" w:color="auto" w:fill="FFFFFF"/>
        </w:rPr>
        <w:t>Wertheimer</w:t>
      </w:r>
      <w:r>
        <w:rPr>
          <w:rFonts w:eastAsia="Times New Roman"/>
          <w:color w:val="1A1A1A"/>
          <w:shd w:val="clear" w:color="auto" w:fill="FFFFFF"/>
        </w:rPr>
        <w:t>, Alan. 1987</w:t>
      </w:r>
      <w:r w:rsidRPr="008948DD">
        <w:rPr>
          <w:rFonts w:eastAsia="Times New Roman"/>
          <w:color w:val="1A1A1A"/>
          <w:shd w:val="clear" w:color="auto" w:fill="FFFFFF"/>
        </w:rPr>
        <w:t xml:space="preserve">. </w:t>
      </w:r>
      <w:r w:rsidRPr="008948DD">
        <w:rPr>
          <w:rFonts w:eastAsia="Times New Roman"/>
          <w:i/>
          <w:color w:val="1A1A1A"/>
          <w:shd w:val="clear" w:color="auto" w:fill="FFFFFF"/>
        </w:rPr>
        <w:t>Coercion</w:t>
      </w:r>
      <w:r w:rsidRPr="008948DD">
        <w:rPr>
          <w:rFonts w:eastAsia="Times New Roman"/>
          <w:color w:val="1A1A1A"/>
          <w:shd w:val="clear" w:color="auto" w:fill="FFFFFF"/>
        </w:rPr>
        <w:t>. Princeton University Press</w:t>
      </w:r>
      <w:r w:rsidR="00D2619F">
        <w:rPr>
          <w:rFonts w:eastAsia="Times New Roman"/>
          <w:color w:val="1A1A1A"/>
          <w:shd w:val="clear" w:color="auto" w:fill="FFFFFF"/>
        </w:rPr>
        <w:t>.</w:t>
      </w:r>
    </w:p>
    <w:p w14:paraId="12DF9A9D" w14:textId="77777777" w:rsidR="00426131" w:rsidRPr="008948DD" w:rsidRDefault="00426131" w:rsidP="00426131">
      <w:pPr>
        <w:rPr>
          <w:rFonts w:eastAsia="Times New Roman"/>
          <w:color w:val="1A1A1A"/>
          <w:shd w:val="clear" w:color="auto" w:fill="FFFFFF"/>
        </w:rPr>
      </w:pPr>
    </w:p>
    <w:p w14:paraId="273B2432" w14:textId="77777777" w:rsidR="00426131" w:rsidRPr="008948DD" w:rsidRDefault="00426131" w:rsidP="00426131">
      <w:pPr>
        <w:outlineLvl w:val="0"/>
      </w:pPr>
      <w:r w:rsidRPr="008948DD">
        <w:t>Wertheimer, Alan</w:t>
      </w:r>
      <w:r>
        <w:t>. 2003</w:t>
      </w:r>
      <w:r w:rsidRPr="008948DD">
        <w:t xml:space="preserve">. </w:t>
      </w:r>
      <w:r w:rsidRPr="008948DD">
        <w:rPr>
          <w:i/>
        </w:rPr>
        <w:t>Consent to Sexual Relations</w:t>
      </w:r>
      <w:r w:rsidRPr="008948DD">
        <w:t xml:space="preserve">. Cambridge University Press. </w:t>
      </w:r>
    </w:p>
    <w:p w14:paraId="22E85D9E" w14:textId="77777777" w:rsidR="00426131" w:rsidRPr="008948DD" w:rsidRDefault="00426131" w:rsidP="00426131"/>
    <w:p w14:paraId="475C4CDE" w14:textId="1FC6237D" w:rsidR="00426131" w:rsidRPr="008948DD" w:rsidRDefault="00426131" w:rsidP="00426131">
      <w:pPr>
        <w:rPr>
          <w:rFonts w:eastAsia="Times New Roman"/>
        </w:rPr>
      </w:pPr>
      <w:proofErr w:type="spellStart"/>
      <w:r w:rsidRPr="008948DD">
        <w:rPr>
          <w:rFonts w:eastAsia="Times New Roman"/>
        </w:rPr>
        <w:t>Willness</w:t>
      </w:r>
      <w:proofErr w:type="spellEnd"/>
      <w:r w:rsidRPr="008948DD">
        <w:rPr>
          <w:rFonts w:eastAsia="Times New Roman"/>
        </w:rPr>
        <w:t>, Chelse</w:t>
      </w:r>
      <w:r>
        <w:rPr>
          <w:rFonts w:eastAsia="Times New Roman"/>
        </w:rPr>
        <w:t xml:space="preserve">a, Piers Steel, and </w:t>
      </w:r>
      <w:proofErr w:type="spellStart"/>
      <w:r>
        <w:rPr>
          <w:rFonts w:eastAsia="Times New Roman"/>
        </w:rPr>
        <w:t>Kibeom</w:t>
      </w:r>
      <w:proofErr w:type="spellEnd"/>
      <w:r>
        <w:rPr>
          <w:rFonts w:eastAsia="Times New Roman"/>
        </w:rPr>
        <w:t xml:space="preserve"> Lee. 2007.</w:t>
      </w:r>
      <w:r w:rsidRPr="008948DD">
        <w:rPr>
          <w:rFonts w:eastAsia="Times New Roman"/>
        </w:rPr>
        <w:t xml:space="preserve"> “A Meta-Analysis of the Antecedents and Consequences of Workplace Sexual Harassment.” </w:t>
      </w:r>
      <w:r w:rsidRPr="000F6D3B">
        <w:rPr>
          <w:rFonts w:eastAsia="Times New Roman"/>
          <w:i/>
        </w:rPr>
        <w:t>Personnel Psychology</w:t>
      </w:r>
      <w:r>
        <w:rPr>
          <w:rFonts w:eastAsia="Times New Roman"/>
        </w:rPr>
        <w:t xml:space="preserve"> 60, 1</w:t>
      </w:r>
      <w:r w:rsidRPr="008948DD">
        <w:rPr>
          <w:rFonts w:eastAsia="Times New Roman"/>
        </w:rPr>
        <w:t>: 127–</w:t>
      </w:r>
      <w:r w:rsidR="0042696C">
        <w:rPr>
          <w:rFonts w:eastAsia="Times New Roman"/>
        </w:rPr>
        <w:t>1</w:t>
      </w:r>
      <w:r w:rsidRPr="008948DD">
        <w:rPr>
          <w:rFonts w:eastAsia="Times New Roman"/>
        </w:rPr>
        <w:t xml:space="preserve">62. </w:t>
      </w:r>
    </w:p>
    <w:p w14:paraId="3AFDABA7" w14:textId="77777777" w:rsidR="00426131" w:rsidRDefault="00426131" w:rsidP="00426131"/>
    <w:p w14:paraId="7709CCF9" w14:textId="023913F0" w:rsidR="00123811" w:rsidRPr="002932AA" w:rsidRDefault="00123811" w:rsidP="002932AA">
      <w:pPr>
        <w:outlineLvl w:val="0"/>
        <w:rPr>
          <w:rFonts w:eastAsia="Times New Roman"/>
        </w:rPr>
      </w:pPr>
    </w:p>
    <w:sectPr w:rsidR="00123811" w:rsidRPr="002932AA" w:rsidSect="00B46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BB8BA" w14:textId="77777777" w:rsidR="0038590A" w:rsidRDefault="0038590A" w:rsidP="00880E28">
      <w:r>
        <w:separator/>
      </w:r>
    </w:p>
  </w:endnote>
  <w:endnote w:type="continuationSeparator" w:id="0">
    <w:p w14:paraId="175FFDB9" w14:textId="77777777" w:rsidR="0038590A" w:rsidRDefault="0038590A" w:rsidP="00880E28">
      <w:r>
        <w:continuationSeparator/>
      </w:r>
    </w:p>
  </w:endnote>
  <w:endnote w:id="1">
    <w:p w14:paraId="60DBA116" w14:textId="70B39C3F" w:rsidR="007F037D" w:rsidRPr="00E4741B" w:rsidRDefault="007F037D" w:rsidP="004260C9">
      <w:pPr>
        <w:pStyle w:val="EndnoteText"/>
        <w:rPr>
          <w:sz w:val="20"/>
          <w:szCs w:val="20"/>
        </w:rPr>
      </w:pPr>
      <w:r w:rsidRPr="00E638B3">
        <w:rPr>
          <w:rStyle w:val="EndnoteReference"/>
          <w:sz w:val="20"/>
          <w:szCs w:val="20"/>
        </w:rPr>
        <w:endnoteRef/>
      </w:r>
      <w:r w:rsidRPr="00E638B3">
        <w:rPr>
          <w:sz w:val="20"/>
          <w:szCs w:val="20"/>
        </w:rPr>
        <w:t xml:space="preserve"> </w:t>
      </w:r>
      <w:r>
        <w:rPr>
          <w:rFonts w:eastAsia="Times New Roman"/>
          <w:sz w:val="20"/>
          <w:szCs w:val="20"/>
        </w:rPr>
        <w:t>For studies regarding p</w:t>
      </w:r>
      <w:r w:rsidRPr="00F76A6D">
        <w:rPr>
          <w:rFonts w:eastAsia="Times New Roman"/>
          <w:sz w:val="20"/>
          <w:szCs w:val="20"/>
        </w:rPr>
        <w:t>sychological health issues, lower organizational commitment, higher quit rates</w:t>
      </w:r>
      <w:r>
        <w:rPr>
          <w:rFonts w:eastAsia="Times New Roman"/>
          <w:sz w:val="20"/>
          <w:szCs w:val="20"/>
        </w:rPr>
        <w:t>,</w:t>
      </w:r>
      <w:r w:rsidRPr="00F76A6D">
        <w:rPr>
          <w:rFonts w:eastAsia="Times New Roman"/>
          <w:sz w:val="20"/>
          <w:szCs w:val="20"/>
        </w:rPr>
        <w:t xml:space="preserve"> and absenteeism</w:t>
      </w:r>
      <w:r>
        <w:rPr>
          <w:rFonts w:eastAsia="Times New Roman"/>
          <w:sz w:val="20"/>
          <w:szCs w:val="20"/>
        </w:rPr>
        <w:t>, see</w:t>
      </w:r>
      <w:r w:rsidRPr="00F76A6D">
        <w:rPr>
          <w:rFonts w:eastAsia="Times New Roman"/>
          <w:sz w:val="20"/>
          <w:szCs w:val="20"/>
        </w:rPr>
        <w:t xml:space="preserve">: </w:t>
      </w:r>
      <w:r w:rsidRPr="00F76A6D">
        <w:rPr>
          <w:sz w:val="20"/>
          <w:szCs w:val="20"/>
        </w:rPr>
        <w:t xml:space="preserve">European Commission (1998), U.S. Merit Systems Protection Board (1995), </w:t>
      </w:r>
      <w:proofErr w:type="spellStart"/>
      <w:r w:rsidRPr="00F76A6D">
        <w:rPr>
          <w:sz w:val="20"/>
          <w:szCs w:val="20"/>
        </w:rPr>
        <w:t>Willness</w:t>
      </w:r>
      <w:proofErr w:type="spellEnd"/>
      <w:r w:rsidRPr="00F76A6D">
        <w:rPr>
          <w:sz w:val="20"/>
          <w:szCs w:val="20"/>
        </w:rPr>
        <w:t xml:space="preserve"> </w:t>
      </w:r>
      <w:r>
        <w:rPr>
          <w:sz w:val="20"/>
          <w:szCs w:val="20"/>
        </w:rPr>
        <w:t xml:space="preserve">et al. </w:t>
      </w:r>
      <w:r w:rsidRPr="00F76A6D">
        <w:rPr>
          <w:sz w:val="20"/>
          <w:szCs w:val="20"/>
        </w:rPr>
        <w:t>(2007), Chan et al. (2008), Fitzgerald and Cortina (</w:t>
      </w:r>
      <w:r>
        <w:rPr>
          <w:sz w:val="20"/>
          <w:szCs w:val="20"/>
        </w:rPr>
        <w:t xml:space="preserve">2017), Schneider et al. (1997). </w:t>
      </w:r>
      <w:r w:rsidRPr="00F76A6D">
        <w:rPr>
          <w:rFonts w:eastAsia="Times New Roman"/>
          <w:sz w:val="20"/>
          <w:szCs w:val="20"/>
        </w:rPr>
        <w:t>For a focus on psychological distress in particular</w:t>
      </w:r>
      <w:r>
        <w:rPr>
          <w:rFonts w:eastAsia="Times New Roman"/>
          <w:sz w:val="20"/>
          <w:szCs w:val="20"/>
        </w:rPr>
        <w:t>, see</w:t>
      </w:r>
      <w:r w:rsidRPr="00F76A6D">
        <w:rPr>
          <w:rFonts w:eastAsia="Times New Roman"/>
          <w:sz w:val="20"/>
          <w:szCs w:val="20"/>
        </w:rPr>
        <w:t xml:space="preserve">: </w:t>
      </w:r>
      <w:r w:rsidRPr="00F76A6D">
        <w:rPr>
          <w:color w:val="2A2A2A"/>
          <w:sz w:val="20"/>
          <w:szCs w:val="20"/>
        </w:rPr>
        <w:t xml:space="preserve">Nielsen and </w:t>
      </w:r>
      <w:proofErr w:type="spellStart"/>
      <w:r w:rsidRPr="00F76A6D">
        <w:rPr>
          <w:color w:val="2A2A2A"/>
          <w:sz w:val="20"/>
          <w:szCs w:val="20"/>
        </w:rPr>
        <w:t>Einarsen</w:t>
      </w:r>
      <w:proofErr w:type="spellEnd"/>
      <w:r w:rsidRPr="00F76A6D">
        <w:rPr>
          <w:color w:val="2A2A2A"/>
          <w:sz w:val="20"/>
          <w:szCs w:val="20"/>
        </w:rPr>
        <w:t xml:space="preserve"> (2012), </w:t>
      </w:r>
      <w:proofErr w:type="spellStart"/>
      <w:r w:rsidRPr="00F76A6D">
        <w:rPr>
          <w:rFonts w:eastAsia="Times New Roman"/>
          <w:sz w:val="20"/>
          <w:szCs w:val="20"/>
        </w:rPr>
        <w:t>Dansky</w:t>
      </w:r>
      <w:proofErr w:type="spellEnd"/>
      <w:r w:rsidRPr="00F76A6D">
        <w:rPr>
          <w:rFonts w:eastAsia="Times New Roman"/>
          <w:sz w:val="20"/>
          <w:szCs w:val="20"/>
        </w:rPr>
        <w:t xml:space="preserve"> and Kilpatrick (1997) (</w:t>
      </w:r>
      <w:r>
        <w:rPr>
          <w:rFonts w:eastAsia="Times New Roman"/>
          <w:sz w:val="20"/>
          <w:szCs w:val="20"/>
        </w:rPr>
        <w:t xml:space="preserve">which argues specifically that </w:t>
      </w:r>
      <w:r w:rsidRPr="00F76A6D">
        <w:rPr>
          <w:rFonts w:eastAsia="Times New Roman"/>
          <w:sz w:val="20"/>
          <w:szCs w:val="20"/>
        </w:rPr>
        <w:t>targets are more likely to experience PTSD)</w:t>
      </w:r>
      <w:r w:rsidRPr="00F76A6D">
        <w:rPr>
          <w:color w:val="2A2A2A"/>
          <w:sz w:val="20"/>
          <w:szCs w:val="20"/>
        </w:rPr>
        <w:t xml:space="preserve">, </w:t>
      </w:r>
      <w:proofErr w:type="spellStart"/>
      <w:r w:rsidRPr="00F76A6D">
        <w:rPr>
          <w:rFonts w:eastAsia="Times New Roman"/>
          <w:sz w:val="20"/>
          <w:szCs w:val="20"/>
        </w:rPr>
        <w:t>Friborg</w:t>
      </w:r>
      <w:proofErr w:type="spellEnd"/>
      <w:r w:rsidRPr="00F76A6D">
        <w:rPr>
          <w:rFonts w:eastAsia="Times New Roman"/>
          <w:sz w:val="20"/>
          <w:szCs w:val="20"/>
        </w:rPr>
        <w:t xml:space="preserve"> et al. (2017) (</w:t>
      </w:r>
      <w:r>
        <w:rPr>
          <w:rFonts w:eastAsia="Times New Roman"/>
          <w:sz w:val="20"/>
          <w:szCs w:val="20"/>
        </w:rPr>
        <w:t xml:space="preserve">which argues that the </w:t>
      </w:r>
      <w:r w:rsidRPr="00F76A6D">
        <w:rPr>
          <w:rFonts w:eastAsia="Times New Roman"/>
          <w:sz w:val="20"/>
          <w:szCs w:val="20"/>
        </w:rPr>
        <w:t xml:space="preserve">effects </w:t>
      </w:r>
      <w:r>
        <w:rPr>
          <w:rFonts w:eastAsia="Times New Roman"/>
          <w:sz w:val="20"/>
          <w:szCs w:val="20"/>
        </w:rPr>
        <w:t xml:space="preserve">of harassment </w:t>
      </w:r>
      <w:r w:rsidRPr="00F76A6D">
        <w:rPr>
          <w:rFonts w:eastAsia="Times New Roman"/>
          <w:sz w:val="20"/>
          <w:szCs w:val="20"/>
        </w:rPr>
        <w:t>are more severe when a coworker harasses than when a client does). For</w:t>
      </w:r>
      <w:r>
        <w:rPr>
          <w:rFonts w:eastAsia="Times New Roman"/>
          <w:sz w:val="20"/>
          <w:szCs w:val="20"/>
        </w:rPr>
        <w:t xml:space="preserve"> the claim that harassment leads to a</w:t>
      </w:r>
      <w:r w:rsidRPr="00F76A6D">
        <w:rPr>
          <w:rFonts w:eastAsia="Times New Roman"/>
          <w:sz w:val="20"/>
          <w:szCs w:val="20"/>
        </w:rPr>
        <w:t xml:space="preserve"> loss of job opportunities</w:t>
      </w:r>
      <w:r>
        <w:rPr>
          <w:rFonts w:eastAsia="Times New Roman"/>
          <w:sz w:val="20"/>
          <w:szCs w:val="20"/>
        </w:rPr>
        <w:t>, see</w:t>
      </w:r>
      <w:r w:rsidRPr="00F76A6D">
        <w:rPr>
          <w:rFonts w:eastAsia="Times New Roman"/>
          <w:sz w:val="20"/>
          <w:szCs w:val="20"/>
        </w:rPr>
        <w:t xml:space="preserve"> National Academy of Sciences (2018). </w:t>
      </w:r>
    </w:p>
  </w:endnote>
  <w:endnote w:id="2">
    <w:p w14:paraId="65E47AA8" w14:textId="30DB4ECE" w:rsidR="007F037D" w:rsidRPr="00F76A6D" w:rsidRDefault="007F037D">
      <w:pPr>
        <w:pStyle w:val="EndnoteText"/>
        <w:rPr>
          <w:rFonts w:eastAsia="Times New Roman"/>
          <w:sz w:val="20"/>
          <w:szCs w:val="20"/>
        </w:rPr>
      </w:pPr>
      <w:r w:rsidRPr="00F76A6D">
        <w:rPr>
          <w:rStyle w:val="EndnoteReference"/>
          <w:sz w:val="20"/>
          <w:szCs w:val="20"/>
        </w:rPr>
        <w:endnoteRef/>
      </w:r>
      <w:r w:rsidRPr="00F76A6D">
        <w:rPr>
          <w:sz w:val="20"/>
          <w:szCs w:val="20"/>
        </w:rPr>
        <w:t xml:space="preserve"> For</w:t>
      </w:r>
      <w:r>
        <w:rPr>
          <w:sz w:val="20"/>
          <w:szCs w:val="20"/>
        </w:rPr>
        <w:t xml:space="preserve"> claims about</w:t>
      </w:r>
      <w:r w:rsidRPr="00F76A6D">
        <w:rPr>
          <w:sz w:val="20"/>
          <w:szCs w:val="20"/>
        </w:rPr>
        <w:t xml:space="preserve"> litigation</w:t>
      </w:r>
      <w:r>
        <w:rPr>
          <w:sz w:val="20"/>
          <w:szCs w:val="20"/>
        </w:rPr>
        <w:t xml:space="preserve"> costs, see</w:t>
      </w:r>
      <w:r w:rsidRPr="00F76A6D">
        <w:rPr>
          <w:sz w:val="20"/>
          <w:szCs w:val="20"/>
        </w:rPr>
        <w:t xml:space="preserve"> </w:t>
      </w:r>
      <w:r w:rsidRPr="00F76A6D">
        <w:rPr>
          <w:rFonts w:eastAsia="Times New Roman"/>
          <w:sz w:val="20"/>
          <w:szCs w:val="20"/>
        </w:rPr>
        <w:t>U.S.</w:t>
      </w:r>
      <w:r>
        <w:rPr>
          <w:rFonts w:eastAsia="Times New Roman"/>
          <w:sz w:val="20"/>
          <w:szCs w:val="20"/>
        </w:rPr>
        <w:t xml:space="preserve"> Equal Employment Opportunity Commission (2018a) and </w:t>
      </w:r>
      <w:r w:rsidRPr="00F76A6D">
        <w:rPr>
          <w:rFonts w:eastAsia="Times New Roman"/>
          <w:sz w:val="20"/>
          <w:szCs w:val="20"/>
        </w:rPr>
        <w:t>Rutherglen (2015). For</w:t>
      </w:r>
      <w:r>
        <w:rPr>
          <w:rFonts w:eastAsia="Times New Roman"/>
          <w:sz w:val="20"/>
          <w:szCs w:val="20"/>
        </w:rPr>
        <w:t xml:space="preserve"> findings about</w:t>
      </w:r>
      <w:r w:rsidRPr="00F76A6D">
        <w:rPr>
          <w:rFonts w:eastAsia="Times New Roman"/>
          <w:sz w:val="20"/>
          <w:szCs w:val="20"/>
        </w:rPr>
        <w:t xml:space="preserve"> turnover costs</w:t>
      </w:r>
      <w:r>
        <w:rPr>
          <w:rFonts w:eastAsia="Times New Roman"/>
          <w:sz w:val="20"/>
          <w:szCs w:val="20"/>
        </w:rPr>
        <w:t xml:space="preserve">, </w:t>
      </w:r>
      <w:proofErr w:type="gramStart"/>
      <w:r>
        <w:rPr>
          <w:rFonts w:eastAsia="Times New Roman"/>
          <w:sz w:val="20"/>
          <w:szCs w:val="20"/>
        </w:rPr>
        <w:t>see</w:t>
      </w:r>
      <w:r w:rsidRPr="00F76A6D">
        <w:rPr>
          <w:rFonts w:eastAsia="Times New Roman"/>
          <w:sz w:val="20"/>
          <w:szCs w:val="20"/>
        </w:rPr>
        <w:t>:</w:t>
      </w:r>
      <w:proofErr w:type="gramEnd"/>
      <w:r w:rsidRPr="00F76A6D">
        <w:rPr>
          <w:rFonts w:eastAsia="Times New Roman"/>
          <w:sz w:val="20"/>
          <w:szCs w:val="20"/>
        </w:rPr>
        <w:t xml:space="preserve"> McLaughlin</w:t>
      </w:r>
      <w:r w:rsidR="00DF39F9">
        <w:rPr>
          <w:rFonts w:eastAsia="Times New Roman"/>
          <w:sz w:val="20"/>
          <w:szCs w:val="20"/>
        </w:rPr>
        <w:t xml:space="preserve"> et al.</w:t>
      </w:r>
      <w:r w:rsidRPr="00F76A6D">
        <w:rPr>
          <w:rFonts w:eastAsia="Times New Roman"/>
          <w:sz w:val="20"/>
          <w:szCs w:val="20"/>
        </w:rPr>
        <w:t xml:space="preserve"> (2017) (</w:t>
      </w:r>
      <w:r>
        <w:rPr>
          <w:rFonts w:eastAsia="Times New Roman"/>
          <w:sz w:val="20"/>
          <w:szCs w:val="20"/>
        </w:rPr>
        <w:t xml:space="preserve">which shows that </w:t>
      </w:r>
      <w:r w:rsidRPr="00F76A6D">
        <w:rPr>
          <w:rFonts w:eastAsia="Times New Roman"/>
          <w:sz w:val="20"/>
          <w:szCs w:val="20"/>
        </w:rPr>
        <w:t>targets of harassment are 6.5 times as likel</w:t>
      </w:r>
      <w:r>
        <w:rPr>
          <w:rFonts w:eastAsia="Times New Roman"/>
          <w:sz w:val="20"/>
          <w:szCs w:val="20"/>
        </w:rPr>
        <w:t xml:space="preserve">y to leave as are non-targets) and </w:t>
      </w:r>
      <w:proofErr w:type="spellStart"/>
      <w:r w:rsidRPr="00F76A6D">
        <w:rPr>
          <w:rFonts w:eastAsia="Times New Roman"/>
          <w:sz w:val="20"/>
          <w:szCs w:val="20"/>
        </w:rPr>
        <w:t>Merk</w:t>
      </w:r>
      <w:r w:rsidR="001F6C97">
        <w:rPr>
          <w:rFonts w:eastAsia="Times New Roman"/>
          <w:sz w:val="20"/>
          <w:szCs w:val="20"/>
        </w:rPr>
        <w:t>i</w:t>
      </w:r>
      <w:r w:rsidRPr="00F76A6D">
        <w:rPr>
          <w:rFonts w:eastAsia="Times New Roman"/>
          <w:sz w:val="20"/>
          <w:szCs w:val="20"/>
        </w:rPr>
        <w:t>n</w:t>
      </w:r>
      <w:proofErr w:type="spellEnd"/>
      <w:r w:rsidRPr="00F76A6D">
        <w:rPr>
          <w:rFonts w:eastAsia="Times New Roman"/>
          <w:sz w:val="20"/>
          <w:szCs w:val="20"/>
        </w:rPr>
        <w:t xml:space="preserve"> and Shah (2014) (</w:t>
      </w:r>
      <w:r>
        <w:rPr>
          <w:rFonts w:eastAsia="Times New Roman"/>
          <w:sz w:val="20"/>
          <w:szCs w:val="20"/>
        </w:rPr>
        <w:t xml:space="preserve">which claims that </w:t>
      </w:r>
      <w:r w:rsidRPr="00F76A6D">
        <w:rPr>
          <w:rFonts w:eastAsia="Times New Roman"/>
          <w:sz w:val="20"/>
          <w:szCs w:val="20"/>
        </w:rPr>
        <w:t xml:space="preserve">employee turnover cost is the largest actual cost with respect to sexual harassment). For </w:t>
      </w:r>
      <w:r>
        <w:rPr>
          <w:rFonts w:eastAsia="Times New Roman"/>
          <w:sz w:val="20"/>
          <w:szCs w:val="20"/>
        </w:rPr>
        <w:t xml:space="preserve">claims about </w:t>
      </w:r>
      <w:r w:rsidRPr="00F76A6D">
        <w:rPr>
          <w:rFonts w:eastAsia="Times New Roman"/>
          <w:sz w:val="20"/>
          <w:szCs w:val="20"/>
        </w:rPr>
        <w:t>absenteeism</w:t>
      </w:r>
      <w:r>
        <w:rPr>
          <w:rFonts w:eastAsia="Times New Roman"/>
          <w:sz w:val="20"/>
          <w:szCs w:val="20"/>
        </w:rPr>
        <w:t xml:space="preserve">, see </w:t>
      </w:r>
      <w:proofErr w:type="spellStart"/>
      <w:r>
        <w:rPr>
          <w:rFonts w:eastAsia="Times New Roman"/>
          <w:sz w:val="20"/>
          <w:szCs w:val="20"/>
        </w:rPr>
        <w:t>Khubchandani</w:t>
      </w:r>
      <w:proofErr w:type="spellEnd"/>
      <w:r>
        <w:rPr>
          <w:rFonts w:eastAsia="Times New Roman"/>
          <w:sz w:val="20"/>
          <w:szCs w:val="20"/>
        </w:rPr>
        <w:t xml:space="preserve"> </w:t>
      </w:r>
      <w:r w:rsidRPr="00F76A6D">
        <w:rPr>
          <w:rFonts w:eastAsia="Times New Roman"/>
          <w:sz w:val="20"/>
          <w:szCs w:val="20"/>
        </w:rPr>
        <w:t>and Price (2015) (</w:t>
      </w:r>
      <w:r>
        <w:rPr>
          <w:rFonts w:eastAsia="Times New Roman"/>
          <w:sz w:val="20"/>
          <w:szCs w:val="20"/>
        </w:rPr>
        <w:t xml:space="preserve">which argues that </w:t>
      </w:r>
      <w:r w:rsidRPr="00F76A6D">
        <w:rPr>
          <w:rFonts w:eastAsia="Times New Roman"/>
          <w:sz w:val="20"/>
          <w:szCs w:val="20"/>
        </w:rPr>
        <w:t xml:space="preserve">harassed employees are 1.7 times more likely to take two weeks off work than are non-harassed employees). For </w:t>
      </w:r>
      <w:r>
        <w:rPr>
          <w:rFonts w:eastAsia="Times New Roman"/>
          <w:sz w:val="20"/>
          <w:szCs w:val="20"/>
        </w:rPr>
        <w:t xml:space="preserve">claims about </w:t>
      </w:r>
      <w:r w:rsidRPr="00F76A6D">
        <w:rPr>
          <w:rFonts w:eastAsia="Times New Roman"/>
          <w:sz w:val="20"/>
          <w:szCs w:val="20"/>
        </w:rPr>
        <w:t>decreased productivity</w:t>
      </w:r>
      <w:r>
        <w:rPr>
          <w:rFonts w:eastAsia="Times New Roman"/>
          <w:sz w:val="20"/>
          <w:szCs w:val="20"/>
        </w:rPr>
        <w:t>, see</w:t>
      </w:r>
      <w:r w:rsidRPr="00F76A6D">
        <w:rPr>
          <w:rFonts w:eastAsia="Times New Roman"/>
          <w:sz w:val="20"/>
          <w:szCs w:val="20"/>
        </w:rPr>
        <w:t xml:space="preserve">: </w:t>
      </w:r>
      <w:proofErr w:type="spellStart"/>
      <w:r w:rsidRPr="00F76A6D">
        <w:rPr>
          <w:rFonts w:eastAsia="Times New Roman"/>
          <w:sz w:val="20"/>
          <w:szCs w:val="20"/>
        </w:rPr>
        <w:t>Willness</w:t>
      </w:r>
      <w:proofErr w:type="spellEnd"/>
      <w:r w:rsidRPr="00F76A6D">
        <w:rPr>
          <w:rFonts w:eastAsia="Times New Roman"/>
          <w:sz w:val="20"/>
          <w:szCs w:val="20"/>
        </w:rPr>
        <w:t xml:space="preserve"> et al. (2007), </w:t>
      </w:r>
      <w:proofErr w:type="spellStart"/>
      <w:r w:rsidRPr="00F76A6D">
        <w:rPr>
          <w:rFonts w:eastAsia="Times New Roman"/>
          <w:sz w:val="20"/>
          <w:szCs w:val="20"/>
        </w:rPr>
        <w:t>Sojo</w:t>
      </w:r>
      <w:proofErr w:type="spellEnd"/>
      <w:r w:rsidR="00FA1906">
        <w:rPr>
          <w:rFonts w:eastAsia="Times New Roman"/>
          <w:sz w:val="20"/>
          <w:szCs w:val="20"/>
        </w:rPr>
        <w:t xml:space="preserve"> et al. </w:t>
      </w:r>
      <w:r w:rsidRPr="00F76A6D">
        <w:rPr>
          <w:rFonts w:eastAsia="Times New Roman"/>
          <w:sz w:val="20"/>
          <w:szCs w:val="20"/>
        </w:rPr>
        <w:t xml:space="preserve">(2016), </w:t>
      </w:r>
      <w:r>
        <w:rPr>
          <w:rFonts w:eastAsia="Times New Roman"/>
          <w:sz w:val="20"/>
          <w:szCs w:val="20"/>
        </w:rPr>
        <w:t>and Raver and Gelfand (2005). For issues related to p</w:t>
      </w:r>
      <w:r w:rsidRPr="00F76A6D">
        <w:rPr>
          <w:rFonts w:eastAsia="Times New Roman"/>
          <w:sz w:val="20"/>
          <w:szCs w:val="20"/>
        </w:rPr>
        <w:t>olicy implementation</w:t>
      </w:r>
      <w:r>
        <w:rPr>
          <w:rFonts w:eastAsia="Times New Roman"/>
          <w:sz w:val="20"/>
          <w:szCs w:val="20"/>
        </w:rPr>
        <w:t xml:space="preserve">, </w:t>
      </w:r>
      <w:proofErr w:type="gramStart"/>
      <w:r>
        <w:rPr>
          <w:rFonts w:eastAsia="Times New Roman"/>
          <w:sz w:val="20"/>
          <w:szCs w:val="20"/>
        </w:rPr>
        <w:t>see</w:t>
      </w:r>
      <w:r w:rsidRPr="00F76A6D">
        <w:rPr>
          <w:rFonts w:eastAsia="Times New Roman"/>
          <w:sz w:val="20"/>
          <w:szCs w:val="20"/>
        </w:rPr>
        <w:t>:</w:t>
      </w:r>
      <w:proofErr w:type="gramEnd"/>
      <w:r w:rsidRPr="00F76A6D">
        <w:rPr>
          <w:rFonts w:eastAsia="Times New Roman"/>
          <w:sz w:val="20"/>
          <w:szCs w:val="20"/>
        </w:rPr>
        <w:t xml:space="preserve"> </w:t>
      </w:r>
      <w:r w:rsidRPr="00F76A6D">
        <w:rPr>
          <w:rFonts w:eastAsia="Times New Roman"/>
          <w:color w:val="333333"/>
          <w:sz w:val="20"/>
          <w:szCs w:val="20"/>
          <w:shd w:val="clear" w:color="auto" w:fill="FFFFFF"/>
        </w:rPr>
        <w:t>Fitzg</w:t>
      </w:r>
      <w:r>
        <w:rPr>
          <w:rFonts w:eastAsia="Times New Roman"/>
          <w:color w:val="333333"/>
          <w:sz w:val="20"/>
          <w:szCs w:val="20"/>
          <w:shd w:val="clear" w:color="auto" w:fill="FFFFFF"/>
        </w:rPr>
        <w:t xml:space="preserve">erald, Swan, and Magley (1997) and </w:t>
      </w:r>
      <w:proofErr w:type="spellStart"/>
      <w:r w:rsidRPr="00F76A6D">
        <w:rPr>
          <w:rFonts w:eastAsia="Times New Roman"/>
          <w:color w:val="333333"/>
          <w:sz w:val="20"/>
          <w:szCs w:val="20"/>
          <w:shd w:val="clear" w:color="auto" w:fill="FFFFFF"/>
        </w:rPr>
        <w:t>Hemmasi</w:t>
      </w:r>
      <w:proofErr w:type="spellEnd"/>
      <w:r w:rsidR="00FA1906">
        <w:rPr>
          <w:rFonts w:eastAsia="Times New Roman"/>
          <w:color w:val="333333"/>
          <w:sz w:val="20"/>
          <w:szCs w:val="20"/>
          <w:shd w:val="clear" w:color="auto" w:fill="FFFFFF"/>
        </w:rPr>
        <w:t xml:space="preserve"> et al. </w:t>
      </w:r>
      <w:r w:rsidRPr="00F76A6D">
        <w:rPr>
          <w:rFonts w:eastAsia="Times New Roman"/>
          <w:color w:val="333333"/>
          <w:sz w:val="20"/>
          <w:szCs w:val="20"/>
          <w:shd w:val="clear" w:color="auto" w:fill="FFFFFF"/>
        </w:rPr>
        <w:t xml:space="preserve">(1994). </w:t>
      </w:r>
      <w:r>
        <w:rPr>
          <w:rFonts w:eastAsia="Times New Roman"/>
          <w:sz w:val="20"/>
          <w:szCs w:val="20"/>
        </w:rPr>
        <w:t>For findings about re</w:t>
      </w:r>
      <w:r w:rsidRPr="00F76A6D">
        <w:rPr>
          <w:rFonts w:eastAsia="Times New Roman"/>
          <w:sz w:val="20"/>
          <w:szCs w:val="20"/>
        </w:rPr>
        <w:t>putational damage</w:t>
      </w:r>
      <w:r>
        <w:rPr>
          <w:rFonts w:eastAsia="Times New Roman"/>
          <w:sz w:val="20"/>
          <w:szCs w:val="20"/>
        </w:rPr>
        <w:t xml:space="preserve"> caused by harassment, see</w:t>
      </w:r>
      <w:r w:rsidRPr="00F76A6D">
        <w:rPr>
          <w:rFonts w:eastAsia="Times New Roman"/>
          <w:sz w:val="20"/>
          <w:szCs w:val="20"/>
        </w:rPr>
        <w:t>: Hersch (1991) (</w:t>
      </w:r>
      <w:r>
        <w:rPr>
          <w:rFonts w:eastAsia="Times New Roman"/>
          <w:sz w:val="20"/>
          <w:szCs w:val="20"/>
        </w:rPr>
        <w:t xml:space="preserve">which argues that </w:t>
      </w:r>
      <w:r w:rsidRPr="00F76A6D">
        <w:rPr>
          <w:rFonts w:eastAsia="Times New Roman"/>
          <w:sz w:val="20"/>
          <w:szCs w:val="20"/>
        </w:rPr>
        <w:t>after employment discrimination litigation, firms su</w:t>
      </w:r>
      <w:r>
        <w:rPr>
          <w:rFonts w:eastAsia="Times New Roman"/>
          <w:sz w:val="20"/>
          <w:szCs w:val="20"/>
        </w:rPr>
        <w:t>ffer substantial loss in value) and</w:t>
      </w:r>
      <w:r w:rsidRPr="00F76A6D">
        <w:rPr>
          <w:rFonts w:eastAsia="Times New Roman"/>
          <w:sz w:val="20"/>
          <w:szCs w:val="20"/>
        </w:rPr>
        <w:t xml:space="preserve"> U.S. </w:t>
      </w:r>
      <w:r>
        <w:rPr>
          <w:rFonts w:eastAsia="Times New Roman"/>
          <w:sz w:val="20"/>
          <w:szCs w:val="20"/>
        </w:rPr>
        <w:t xml:space="preserve">Equal Employment Opportunity Commission (2018b). </w:t>
      </w:r>
    </w:p>
  </w:endnote>
  <w:endnote w:id="3">
    <w:p w14:paraId="394C94B9" w14:textId="2F0896EE" w:rsidR="007F037D" w:rsidRPr="00F76A6D" w:rsidRDefault="007F037D">
      <w:pPr>
        <w:pStyle w:val="EndnoteText"/>
        <w:rPr>
          <w:sz w:val="20"/>
          <w:szCs w:val="20"/>
        </w:rPr>
      </w:pPr>
      <w:r w:rsidRPr="00F76A6D">
        <w:rPr>
          <w:rStyle w:val="EndnoteReference"/>
          <w:sz w:val="20"/>
          <w:szCs w:val="20"/>
        </w:rPr>
        <w:endnoteRef/>
      </w:r>
      <w:r w:rsidRPr="00F76A6D">
        <w:rPr>
          <w:sz w:val="20"/>
          <w:szCs w:val="20"/>
        </w:rPr>
        <w:t xml:space="preserve"> </w:t>
      </w:r>
      <w:r>
        <w:rPr>
          <w:sz w:val="20"/>
          <w:szCs w:val="20"/>
        </w:rPr>
        <w:t xml:space="preserve">This claim is made in </w:t>
      </w:r>
      <w:r w:rsidRPr="00F76A6D">
        <w:rPr>
          <w:rFonts w:eastAsia="Times New Roman"/>
          <w:sz w:val="20"/>
          <w:szCs w:val="20"/>
        </w:rPr>
        <w:t>Cole (2017)</w:t>
      </w:r>
      <w:r>
        <w:rPr>
          <w:rFonts w:eastAsia="Times New Roman"/>
          <w:sz w:val="20"/>
          <w:szCs w:val="20"/>
        </w:rPr>
        <w:t xml:space="preserve">. It is true that some businesses implement training merely to comply with the U.S. Sentencing Guidelines (2018), but many businesses offer training beyond what is required by those guidelines. </w:t>
      </w:r>
    </w:p>
  </w:endnote>
  <w:endnote w:id="4">
    <w:p w14:paraId="36FE491F" w14:textId="1B6C4DF7" w:rsidR="007F037D" w:rsidRPr="0098583D" w:rsidRDefault="007F037D" w:rsidP="0098583D">
      <w:pPr>
        <w:pStyle w:val="NoSpacing"/>
        <w:rPr>
          <w:rFonts w:ascii="Times New Roman" w:hAnsi="Times New Roman" w:cs="Times New Roman"/>
          <w:sz w:val="20"/>
          <w:szCs w:val="20"/>
        </w:rPr>
      </w:pPr>
      <w:r w:rsidRPr="0098583D">
        <w:rPr>
          <w:rStyle w:val="EndnoteReference"/>
          <w:rFonts w:ascii="Times New Roman" w:hAnsi="Times New Roman" w:cs="Times New Roman"/>
          <w:sz w:val="20"/>
          <w:szCs w:val="20"/>
        </w:rPr>
        <w:endnoteRef/>
      </w:r>
      <w:r w:rsidRPr="0098583D">
        <w:rPr>
          <w:rFonts w:ascii="Times New Roman" w:hAnsi="Times New Roman" w:cs="Times New Roman"/>
          <w:sz w:val="20"/>
          <w:szCs w:val="20"/>
        </w:rPr>
        <w:t xml:space="preserve"> For example, Price Waterhouse Cooper’s ethics consulting page reads, “The culture of an organization has never been more important. In the age of transparency, a single incident, such as sexual harassment, bullying, or discrimination, can have a profound and long-lasting effect on brand, reputation, and shareholder value. You need to anticipate and effectively manage your workforce risks to build trust, both with employees and customers.” (https://www.pwc.com/us/en/services/hr-management/workforce-of-the-future/managing-workforce-risk.html) Accessed July 8, 2019.</w:t>
      </w:r>
    </w:p>
  </w:endnote>
  <w:endnote w:id="5">
    <w:p w14:paraId="0E3A2CF9" w14:textId="1C8647B9" w:rsidR="007F037D" w:rsidRPr="00F76A6D" w:rsidRDefault="007F037D">
      <w:pPr>
        <w:pStyle w:val="EndnoteText"/>
        <w:rPr>
          <w:sz w:val="20"/>
          <w:szCs w:val="20"/>
        </w:rPr>
      </w:pPr>
      <w:r w:rsidRPr="00F76A6D">
        <w:rPr>
          <w:rStyle w:val="EndnoteReference"/>
          <w:sz w:val="20"/>
          <w:szCs w:val="20"/>
        </w:rPr>
        <w:endnoteRef/>
      </w:r>
      <w:r w:rsidRPr="00F76A6D">
        <w:rPr>
          <w:sz w:val="20"/>
          <w:szCs w:val="20"/>
        </w:rPr>
        <w:t xml:space="preserve"> </w:t>
      </w:r>
      <w:r>
        <w:rPr>
          <w:sz w:val="20"/>
          <w:szCs w:val="20"/>
        </w:rPr>
        <w:t xml:space="preserve">For support of this claim, </w:t>
      </w:r>
      <w:r w:rsidRPr="00CB0530">
        <w:rPr>
          <w:sz w:val="20"/>
          <w:szCs w:val="20"/>
        </w:rPr>
        <w:t xml:space="preserve">see Fitzgerald, Swan, and Magley (1997), </w:t>
      </w:r>
      <w:proofErr w:type="spellStart"/>
      <w:r w:rsidRPr="00F76A6D">
        <w:rPr>
          <w:sz w:val="20"/>
          <w:szCs w:val="20"/>
        </w:rPr>
        <w:t>Willness</w:t>
      </w:r>
      <w:proofErr w:type="spellEnd"/>
      <w:r w:rsidRPr="00F76A6D">
        <w:rPr>
          <w:sz w:val="20"/>
          <w:szCs w:val="20"/>
        </w:rPr>
        <w:t xml:space="preserve"> </w:t>
      </w:r>
      <w:r>
        <w:rPr>
          <w:sz w:val="20"/>
          <w:szCs w:val="20"/>
        </w:rPr>
        <w:t xml:space="preserve">et al. </w:t>
      </w:r>
      <w:r w:rsidRPr="00F76A6D">
        <w:rPr>
          <w:sz w:val="20"/>
          <w:szCs w:val="20"/>
        </w:rPr>
        <w:t xml:space="preserve">(2007), </w:t>
      </w:r>
      <w:r>
        <w:rPr>
          <w:sz w:val="20"/>
          <w:szCs w:val="20"/>
        </w:rPr>
        <w:t xml:space="preserve">and </w:t>
      </w:r>
      <w:r w:rsidRPr="00F76A6D">
        <w:rPr>
          <w:sz w:val="20"/>
          <w:szCs w:val="20"/>
        </w:rPr>
        <w:t>Hersch (2019)</w:t>
      </w:r>
      <w:r>
        <w:rPr>
          <w:sz w:val="20"/>
          <w:szCs w:val="20"/>
        </w:rPr>
        <w:t xml:space="preserve">. </w:t>
      </w:r>
    </w:p>
  </w:endnote>
  <w:endnote w:id="6">
    <w:p w14:paraId="7BB49F39" w14:textId="30EA4F8B" w:rsidR="007F037D" w:rsidRPr="00F76A6D" w:rsidRDefault="007F037D">
      <w:pPr>
        <w:pStyle w:val="EndnoteText"/>
        <w:rPr>
          <w:sz w:val="20"/>
          <w:szCs w:val="20"/>
        </w:rPr>
      </w:pPr>
      <w:r w:rsidRPr="00F76A6D">
        <w:rPr>
          <w:rStyle w:val="EndnoteReference"/>
          <w:sz w:val="20"/>
          <w:szCs w:val="20"/>
        </w:rPr>
        <w:endnoteRef/>
      </w:r>
      <w:r w:rsidRPr="00F76A6D">
        <w:rPr>
          <w:sz w:val="20"/>
          <w:szCs w:val="20"/>
        </w:rPr>
        <w:t xml:space="preserve"> </w:t>
      </w:r>
      <w:r>
        <w:rPr>
          <w:sz w:val="20"/>
          <w:szCs w:val="20"/>
        </w:rPr>
        <w:t xml:space="preserve">A note on the methodology in this paper. </w:t>
      </w:r>
      <w:r w:rsidRPr="00F76A6D">
        <w:rPr>
          <w:sz w:val="20"/>
          <w:szCs w:val="20"/>
        </w:rPr>
        <w:t xml:space="preserve">The methodology </w:t>
      </w:r>
      <w:r>
        <w:rPr>
          <w:sz w:val="20"/>
          <w:szCs w:val="20"/>
        </w:rPr>
        <w:t>is</w:t>
      </w:r>
      <w:r w:rsidRPr="00F76A6D">
        <w:rPr>
          <w:sz w:val="20"/>
          <w:szCs w:val="20"/>
        </w:rPr>
        <w:t xml:space="preserve"> axiological: it focuses on answering the question, in workplace contexts in particular, what is chastity worth having? The axiological approach is specifically distinct from four other approaches: 1) A linguistic approach, which analyzes </w:t>
      </w:r>
      <w:r>
        <w:rPr>
          <w:sz w:val="20"/>
          <w:szCs w:val="20"/>
        </w:rPr>
        <w:t xml:space="preserve">the term </w:t>
      </w:r>
      <w:r w:rsidRPr="00F76A6D">
        <w:rPr>
          <w:sz w:val="20"/>
          <w:szCs w:val="20"/>
        </w:rPr>
        <w:t xml:space="preserve">‘chastity,’ </w:t>
      </w:r>
      <w:proofErr w:type="spellStart"/>
      <w:r w:rsidRPr="00F76A6D">
        <w:rPr>
          <w:sz w:val="20"/>
          <w:szCs w:val="20"/>
        </w:rPr>
        <w:t>its</w:t>
      </w:r>
      <w:proofErr w:type="spellEnd"/>
      <w:r w:rsidRPr="00F76A6D">
        <w:rPr>
          <w:sz w:val="20"/>
          <w:szCs w:val="20"/>
        </w:rPr>
        <w:t xml:space="preserve"> etymology, its cognates, and the propriety of using related terms. It might be that chastity worth having in the workplace diverges from how the term ‘chastity’ is typically or appropriately used, because perhaps the term sometimes applies to behaviors or dispositions that are not worth having in the workplace. 2) A conceptual analysis, which seeks to define the necessary and sufficient conditions of a particular, univocal concept (“S is chaste =</w:t>
      </w:r>
      <w:r w:rsidRPr="00F76A6D">
        <w:rPr>
          <w:sz w:val="20"/>
          <w:szCs w:val="20"/>
          <w:vertAlign w:val="subscript"/>
        </w:rPr>
        <w:t>df</w:t>
      </w:r>
      <w:r w:rsidRPr="00F76A6D">
        <w:rPr>
          <w:sz w:val="20"/>
          <w:szCs w:val="20"/>
        </w:rPr>
        <w:t xml:space="preserve"> …”) until the account is immune from counterexamples. It might be that the account of chastity in the workplace here is not immune to occasional but peripheral counterexamples. 3) A search for a “metaphysically fundamental” attitude, virtue, or state. It might be that chastity worth having is defined functionally and spans across multiple more-fundamental attitudes, dispositions, or states. 4) An examination of religious texts to determine which kinds of attitudes or behaviors described as ‘chastity’ are encouraged, commended, or commanded. It might be that chastity worth having in the workplace is not specifically addressed in religious texts, though the hope is that chastity as it is articulated in the conclusion of this paper is compatible with religious views on chastity.</w:t>
      </w:r>
    </w:p>
  </w:endnote>
  <w:endnote w:id="7">
    <w:p w14:paraId="20AB0DAD" w14:textId="0BA08C4A" w:rsidR="007F037D" w:rsidRPr="00F76A6D" w:rsidRDefault="007F037D" w:rsidP="004640E0">
      <w:pPr>
        <w:pStyle w:val="EndnoteText"/>
        <w:rPr>
          <w:sz w:val="20"/>
          <w:szCs w:val="20"/>
        </w:rPr>
      </w:pPr>
      <w:r w:rsidRPr="00F76A6D">
        <w:rPr>
          <w:rStyle w:val="EndnoteReference"/>
          <w:sz w:val="20"/>
          <w:szCs w:val="20"/>
        </w:rPr>
        <w:endnoteRef/>
      </w:r>
      <w:r>
        <w:rPr>
          <w:sz w:val="20"/>
          <w:szCs w:val="20"/>
        </w:rPr>
        <w:t xml:space="preserve"> See, for example, Aquinas (1265/1947, </w:t>
      </w:r>
      <w:r w:rsidRPr="00F76A6D">
        <w:rPr>
          <w:sz w:val="20"/>
          <w:szCs w:val="20"/>
        </w:rPr>
        <w:t>II-II.151</w:t>
      </w:r>
      <w:r>
        <w:rPr>
          <w:sz w:val="20"/>
          <w:szCs w:val="20"/>
        </w:rPr>
        <w:t xml:space="preserve">), Augustine (1988, </w:t>
      </w:r>
      <w:r w:rsidRPr="001E78A3">
        <w:rPr>
          <w:i/>
          <w:sz w:val="20"/>
          <w:szCs w:val="20"/>
        </w:rPr>
        <w:t>Sermon LXXXII</w:t>
      </w:r>
      <w:r>
        <w:rPr>
          <w:sz w:val="20"/>
          <w:szCs w:val="20"/>
        </w:rPr>
        <w:t>)</w:t>
      </w:r>
      <w:r w:rsidRPr="00F76A6D">
        <w:rPr>
          <w:sz w:val="20"/>
          <w:szCs w:val="20"/>
        </w:rPr>
        <w:t>, Hume (1751/19</w:t>
      </w:r>
      <w:r>
        <w:rPr>
          <w:sz w:val="20"/>
          <w:szCs w:val="20"/>
        </w:rPr>
        <w:t>98, 5.2.44), Anscombe, (1972), and other works from this collection</w:t>
      </w:r>
      <w:r w:rsidRPr="00F76A6D">
        <w:rPr>
          <w:sz w:val="20"/>
          <w:szCs w:val="20"/>
        </w:rPr>
        <w:t xml:space="preserve">. </w:t>
      </w:r>
    </w:p>
  </w:endnote>
  <w:endnote w:id="8">
    <w:p w14:paraId="7D7E8A74" w14:textId="4D2FD6A1" w:rsidR="007F037D" w:rsidRPr="00F76A6D" w:rsidRDefault="007F037D">
      <w:pPr>
        <w:pStyle w:val="EndnoteText"/>
        <w:rPr>
          <w:sz w:val="20"/>
          <w:szCs w:val="20"/>
        </w:rPr>
      </w:pPr>
      <w:r w:rsidRPr="00F76A6D">
        <w:rPr>
          <w:rStyle w:val="EndnoteReference"/>
          <w:sz w:val="20"/>
          <w:szCs w:val="20"/>
        </w:rPr>
        <w:endnoteRef/>
      </w:r>
      <w:r w:rsidRPr="00F76A6D">
        <w:rPr>
          <w:sz w:val="20"/>
          <w:szCs w:val="20"/>
        </w:rPr>
        <w:t xml:space="preserve"> For example, NAVEX </w:t>
      </w:r>
      <w:proofErr w:type="spellStart"/>
      <w:r w:rsidRPr="00F76A6D">
        <w:rPr>
          <w:sz w:val="20"/>
          <w:szCs w:val="20"/>
        </w:rPr>
        <w:t>Global’s</w:t>
      </w:r>
      <w:proofErr w:type="spellEnd"/>
      <w:r w:rsidRPr="00F76A6D">
        <w:rPr>
          <w:sz w:val="20"/>
          <w:szCs w:val="20"/>
        </w:rPr>
        <w:t xml:space="preserve"> </w:t>
      </w:r>
      <w:proofErr w:type="spellStart"/>
      <w:r w:rsidRPr="00F76A6D">
        <w:rPr>
          <w:sz w:val="20"/>
          <w:szCs w:val="20"/>
        </w:rPr>
        <w:t>RiskRate</w:t>
      </w:r>
      <w:proofErr w:type="spellEnd"/>
      <w:r>
        <w:rPr>
          <w:sz w:val="20"/>
          <w:szCs w:val="20"/>
        </w:rPr>
        <w:t xml:space="preserve">® </w:t>
      </w:r>
      <w:r w:rsidRPr="00F76A6D">
        <w:rPr>
          <w:sz w:val="20"/>
          <w:szCs w:val="20"/>
        </w:rPr>
        <w:t xml:space="preserve">is a score given to companies to indicate their risk level and the greatest drivers of risk to the company. </w:t>
      </w:r>
      <w:r>
        <w:rPr>
          <w:sz w:val="20"/>
          <w:szCs w:val="20"/>
        </w:rPr>
        <w:t xml:space="preserve">The company will also calculate a business’ return on investment for developing and enforcing ethics and compliance policies. </w:t>
      </w:r>
      <w:r w:rsidRPr="00F76A6D">
        <w:rPr>
          <w:sz w:val="20"/>
          <w:szCs w:val="20"/>
        </w:rPr>
        <w:t xml:space="preserve">(https://www.navexglobal.com/en-us/products/riskrate-third-party-risk-management-software) Accessed July 8, 2019. </w:t>
      </w:r>
    </w:p>
  </w:endnote>
  <w:endnote w:id="9">
    <w:p w14:paraId="6A4C8835" w14:textId="67859C9E" w:rsidR="007F037D" w:rsidRPr="00F76A6D" w:rsidRDefault="007F037D" w:rsidP="00F10740">
      <w:pPr>
        <w:rPr>
          <w:sz w:val="20"/>
          <w:szCs w:val="20"/>
        </w:rPr>
      </w:pPr>
      <w:r w:rsidRPr="00F76A6D">
        <w:rPr>
          <w:rStyle w:val="EndnoteReference"/>
          <w:sz w:val="20"/>
          <w:szCs w:val="20"/>
        </w:rPr>
        <w:endnoteRef/>
      </w:r>
      <w:r w:rsidRPr="00F76A6D">
        <w:rPr>
          <w:sz w:val="20"/>
          <w:szCs w:val="20"/>
        </w:rPr>
        <w:t xml:space="preserve"> In addition to </w:t>
      </w:r>
      <w:r>
        <w:rPr>
          <w:sz w:val="20"/>
          <w:szCs w:val="20"/>
        </w:rPr>
        <w:t xml:space="preserve">Price Waterhouse Cooper (in footnote 4) </w:t>
      </w:r>
      <w:r w:rsidRPr="00F76A6D">
        <w:rPr>
          <w:sz w:val="20"/>
          <w:szCs w:val="20"/>
        </w:rPr>
        <w:t xml:space="preserve">NAVEX Global </w:t>
      </w:r>
      <w:r>
        <w:rPr>
          <w:sz w:val="20"/>
          <w:szCs w:val="20"/>
        </w:rPr>
        <w:t>(in footnote 8)</w:t>
      </w:r>
      <w:r w:rsidRPr="00F76A6D">
        <w:rPr>
          <w:sz w:val="20"/>
          <w:szCs w:val="20"/>
        </w:rPr>
        <w:t>, Deloitte’s ethics and compliance page reads, “</w:t>
      </w:r>
      <w:r w:rsidRPr="00F76A6D">
        <w:rPr>
          <w:rFonts w:eastAsia="Times New Roman"/>
          <w:color w:val="000000"/>
          <w:sz w:val="20"/>
          <w:szCs w:val="20"/>
          <w:shd w:val="clear" w:color="auto" w:fill="FFFFFF"/>
        </w:rPr>
        <w:t xml:space="preserve">At a time when risks are increasing, what are the building blocks upon which to build a world-class ethics and compliance program that not only protects an organization from internal and external threats, but also enhances its brand and strengthens its relationship with all stakeholders?” </w:t>
      </w:r>
      <w:r w:rsidRPr="00F76A6D">
        <w:rPr>
          <w:sz w:val="20"/>
          <w:szCs w:val="20"/>
        </w:rPr>
        <w:t xml:space="preserve">(https://www2.deloitte.com/us/en/pages/risk/articles/building-world-class-ethics-and-compliance-programs-making-a-good-program-great.html) Accessed July 8, 2019. </w:t>
      </w:r>
    </w:p>
    <w:p w14:paraId="5D187DD7" w14:textId="447A9550" w:rsidR="007F037D" w:rsidRPr="00BE2CE4" w:rsidRDefault="007F037D" w:rsidP="00AE74E9">
      <w:pPr>
        <w:rPr>
          <w:sz w:val="20"/>
          <w:szCs w:val="20"/>
        </w:rPr>
      </w:pPr>
      <w:r w:rsidRPr="00F76A6D">
        <w:rPr>
          <w:sz w:val="20"/>
          <w:szCs w:val="20"/>
        </w:rPr>
        <w:t xml:space="preserve">For another example, </w:t>
      </w:r>
      <w:proofErr w:type="spellStart"/>
      <w:r w:rsidRPr="00F76A6D">
        <w:rPr>
          <w:sz w:val="20"/>
          <w:szCs w:val="20"/>
        </w:rPr>
        <w:t>Convercent’s</w:t>
      </w:r>
      <w:proofErr w:type="spellEnd"/>
      <w:r w:rsidRPr="00F76A6D">
        <w:rPr>
          <w:sz w:val="20"/>
          <w:szCs w:val="20"/>
        </w:rPr>
        <w:t xml:space="preserve"> home page advertises that it can help “Identify, Characterize, and Mitigate E&amp;C [ethics and complian</w:t>
      </w:r>
      <w:r>
        <w:rPr>
          <w:sz w:val="20"/>
          <w:szCs w:val="20"/>
        </w:rPr>
        <w:t>ce] risk,” under which a bullet point</w:t>
      </w:r>
      <w:r w:rsidRPr="00F76A6D">
        <w:rPr>
          <w:sz w:val="20"/>
          <w:szCs w:val="20"/>
        </w:rPr>
        <w:t xml:space="preserve"> </w:t>
      </w:r>
      <w:r w:rsidRPr="00F50E5C">
        <w:rPr>
          <w:sz w:val="20"/>
          <w:szCs w:val="20"/>
        </w:rPr>
        <w:t xml:space="preserve">reads, “Reduce your risk and costs associated with fines, penalties, and lawsuits.” (https://www.convercent.com/) </w:t>
      </w:r>
      <w:r w:rsidRPr="00F76A6D">
        <w:rPr>
          <w:sz w:val="20"/>
          <w:szCs w:val="20"/>
        </w:rPr>
        <w:t xml:space="preserve">Accessed July 8, 2019. </w:t>
      </w:r>
    </w:p>
  </w:endnote>
  <w:endnote w:id="10">
    <w:p w14:paraId="56652E31" w14:textId="77777777" w:rsidR="007F037D" w:rsidRPr="00F76A6D" w:rsidRDefault="007F037D" w:rsidP="001C56F7">
      <w:pPr>
        <w:pStyle w:val="EndnoteText"/>
        <w:rPr>
          <w:sz w:val="20"/>
          <w:szCs w:val="20"/>
        </w:rPr>
      </w:pPr>
      <w:r w:rsidRPr="00F76A6D">
        <w:rPr>
          <w:rStyle w:val="EndnoteReference"/>
          <w:sz w:val="20"/>
          <w:szCs w:val="20"/>
        </w:rPr>
        <w:endnoteRef/>
      </w:r>
      <w:r w:rsidRPr="00F76A6D">
        <w:rPr>
          <w:sz w:val="20"/>
          <w:szCs w:val="20"/>
        </w:rPr>
        <w:t xml:space="preserve"> For recent articles with taxonomies of the harms caused by sexual harassment in the workplace, see Shaw et at. (2018) and Hersch (2019).</w:t>
      </w:r>
    </w:p>
  </w:endnote>
  <w:endnote w:id="11">
    <w:p w14:paraId="6D3770E2" w14:textId="6D7EFFD0" w:rsidR="007F037D" w:rsidRPr="00F76A6D" w:rsidRDefault="007F037D">
      <w:pPr>
        <w:pStyle w:val="EndnoteText"/>
        <w:rPr>
          <w:sz w:val="20"/>
          <w:szCs w:val="20"/>
        </w:rPr>
      </w:pPr>
      <w:r w:rsidRPr="00F76A6D">
        <w:rPr>
          <w:rStyle w:val="EndnoteReference"/>
          <w:sz w:val="20"/>
          <w:szCs w:val="20"/>
        </w:rPr>
        <w:endnoteRef/>
      </w:r>
      <w:r w:rsidRPr="00F76A6D">
        <w:rPr>
          <w:sz w:val="20"/>
          <w:szCs w:val="20"/>
        </w:rPr>
        <w:t xml:space="preserve"> See Hersch (2019), 8</w:t>
      </w:r>
      <w:r w:rsidR="00D42364">
        <w:rPr>
          <w:sz w:val="20"/>
          <w:szCs w:val="20"/>
        </w:rPr>
        <w:t>–</w:t>
      </w:r>
      <w:r w:rsidRPr="00F76A6D">
        <w:rPr>
          <w:sz w:val="20"/>
          <w:szCs w:val="20"/>
        </w:rPr>
        <w:t xml:space="preserve">11. </w:t>
      </w:r>
    </w:p>
  </w:endnote>
  <w:endnote w:id="12">
    <w:p w14:paraId="44C0F747" w14:textId="653F85AA" w:rsidR="007F037D" w:rsidRPr="00F76A6D" w:rsidRDefault="007F037D" w:rsidP="005D6060">
      <w:pPr>
        <w:pStyle w:val="EndnoteText"/>
        <w:rPr>
          <w:sz w:val="20"/>
          <w:szCs w:val="20"/>
        </w:rPr>
      </w:pPr>
      <w:r w:rsidRPr="00F76A6D">
        <w:rPr>
          <w:rStyle w:val="EndnoteReference"/>
          <w:sz w:val="20"/>
          <w:szCs w:val="20"/>
        </w:rPr>
        <w:endnoteRef/>
      </w:r>
      <w:r w:rsidRPr="00F76A6D">
        <w:rPr>
          <w:sz w:val="20"/>
          <w:szCs w:val="20"/>
        </w:rPr>
        <w:t xml:space="preserve"> </w:t>
      </w:r>
      <w:r>
        <w:rPr>
          <w:sz w:val="20"/>
          <w:szCs w:val="20"/>
        </w:rPr>
        <w:t xml:space="preserve">Not included here is an example involving exploitation, which </w:t>
      </w:r>
      <w:r w:rsidRPr="00F76A6D">
        <w:rPr>
          <w:sz w:val="20"/>
          <w:szCs w:val="20"/>
        </w:rPr>
        <w:t>is a</w:t>
      </w:r>
      <w:r>
        <w:rPr>
          <w:sz w:val="20"/>
          <w:szCs w:val="20"/>
        </w:rPr>
        <w:t>nother</w:t>
      </w:r>
      <w:r w:rsidRPr="00F76A6D">
        <w:rPr>
          <w:sz w:val="20"/>
          <w:szCs w:val="20"/>
        </w:rPr>
        <w:t xml:space="preserve"> example of wronging without harming, as in </w:t>
      </w:r>
      <w:proofErr w:type="spellStart"/>
      <w:r w:rsidRPr="00F76A6D">
        <w:rPr>
          <w:sz w:val="20"/>
          <w:szCs w:val="20"/>
        </w:rPr>
        <w:t>Valdman</w:t>
      </w:r>
      <w:proofErr w:type="spellEnd"/>
      <w:r w:rsidRPr="00F76A6D">
        <w:rPr>
          <w:sz w:val="20"/>
          <w:szCs w:val="20"/>
        </w:rPr>
        <w:t xml:space="preserve"> (2009). </w:t>
      </w:r>
    </w:p>
  </w:endnote>
  <w:endnote w:id="13">
    <w:p w14:paraId="2C527664" w14:textId="142EB78E" w:rsidR="007F037D" w:rsidRPr="00E008CB" w:rsidRDefault="007F037D">
      <w:pPr>
        <w:pStyle w:val="EndnoteText"/>
        <w:rPr>
          <w:sz w:val="20"/>
          <w:szCs w:val="20"/>
        </w:rPr>
      </w:pPr>
      <w:r w:rsidRPr="00E008CB">
        <w:rPr>
          <w:rStyle w:val="EndnoteReference"/>
          <w:sz w:val="20"/>
          <w:szCs w:val="20"/>
        </w:rPr>
        <w:endnoteRef/>
      </w:r>
      <w:r w:rsidRPr="00E008CB">
        <w:rPr>
          <w:sz w:val="20"/>
          <w:szCs w:val="20"/>
        </w:rPr>
        <w:t xml:space="preserve"> See Smith </w:t>
      </w:r>
      <w:r>
        <w:rPr>
          <w:sz w:val="20"/>
          <w:szCs w:val="20"/>
        </w:rPr>
        <w:t>(</w:t>
      </w:r>
      <w:r w:rsidRPr="00E008CB">
        <w:rPr>
          <w:sz w:val="20"/>
          <w:szCs w:val="20"/>
        </w:rPr>
        <w:t>2004</w:t>
      </w:r>
      <w:r>
        <w:rPr>
          <w:sz w:val="20"/>
          <w:szCs w:val="20"/>
        </w:rPr>
        <w:t>)</w:t>
      </w:r>
      <w:r w:rsidRPr="00E008CB">
        <w:rPr>
          <w:sz w:val="20"/>
          <w:szCs w:val="20"/>
        </w:rPr>
        <w:t xml:space="preserve"> for a defense of this claim. </w:t>
      </w:r>
    </w:p>
  </w:endnote>
  <w:endnote w:id="14">
    <w:p w14:paraId="07C6A27E" w14:textId="0E3D194E" w:rsidR="007F037D" w:rsidRPr="00767842" w:rsidRDefault="007F037D">
      <w:pPr>
        <w:pStyle w:val="EndnoteText"/>
        <w:rPr>
          <w:sz w:val="20"/>
          <w:szCs w:val="20"/>
        </w:rPr>
      </w:pPr>
      <w:r w:rsidRPr="00767842">
        <w:rPr>
          <w:rStyle w:val="EndnoteReference"/>
          <w:sz w:val="20"/>
          <w:szCs w:val="20"/>
        </w:rPr>
        <w:endnoteRef/>
      </w:r>
      <w:r w:rsidRPr="00767842">
        <w:rPr>
          <w:sz w:val="20"/>
          <w:szCs w:val="20"/>
        </w:rPr>
        <w:t xml:space="preserve"> Before continuing, I should clarify the terminology used here. ‘Dissent’ here is the opposite of consent. (Non-consent is just not to consent.) As consent is to acceptance, dissent is to rejection. For example, when someone says they wish not to be touched, inappropriate touching is not problematic just because the victim did not consent to the touching—it is worse because of the fact that the victim dissented to it. Similarly, assuming that the spying/stalking employees should obtain consent before spying/stalking, it is still presumably worse for the victims were they to have dissented than if they were simply not to have consented to the spying/stalking employees’ actions had they been made aware of those actions.</w:t>
      </w:r>
    </w:p>
  </w:endnote>
  <w:endnote w:id="15">
    <w:p w14:paraId="3161866A" w14:textId="000B42E8" w:rsidR="007F037D" w:rsidRPr="00F76A6D" w:rsidRDefault="007F037D" w:rsidP="0059215D">
      <w:pPr>
        <w:rPr>
          <w:rFonts w:eastAsia="Times New Roman"/>
          <w:sz w:val="20"/>
          <w:szCs w:val="20"/>
        </w:rPr>
      </w:pPr>
      <w:r w:rsidRPr="00F76A6D">
        <w:rPr>
          <w:rStyle w:val="EndnoteReference"/>
          <w:sz w:val="20"/>
          <w:szCs w:val="20"/>
        </w:rPr>
        <w:endnoteRef/>
      </w:r>
      <w:r w:rsidRPr="00F76A6D">
        <w:rPr>
          <w:sz w:val="20"/>
          <w:szCs w:val="20"/>
        </w:rPr>
        <w:t xml:space="preserve"> This view is shared by those who believe autonomy is a basic human good, including Kantians like, well, Kant (1785/1983)</w:t>
      </w:r>
      <w:r w:rsidRPr="00F76A6D">
        <w:rPr>
          <w:rFonts w:eastAsia="Times New Roman"/>
          <w:sz w:val="20"/>
          <w:szCs w:val="20"/>
        </w:rPr>
        <w:t xml:space="preserve"> </w:t>
      </w:r>
      <w:r>
        <w:rPr>
          <w:sz w:val="20"/>
          <w:szCs w:val="20"/>
        </w:rPr>
        <w:t xml:space="preserve">and </w:t>
      </w:r>
      <w:proofErr w:type="spellStart"/>
      <w:r>
        <w:rPr>
          <w:sz w:val="20"/>
          <w:szCs w:val="20"/>
        </w:rPr>
        <w:t>Korsgaard</w:t>
      </w:r>
      <w:proofErr w:type="spellEnd"/>
      <w:r>
        <w:rPr>
          <w:sz w:val="20"/>
          <w:szCs w:val="20"/>
        </w:rPr>
        <w:t xml:space="preserve"> (1996), and </w:t>
      </w:r>
      <w:proofErr w:type="spellStart"/>
      <w:r>
        <w:rPr>
          <w:sz w:val="20"/>
          <w:szCs w:val="20"/>
        </w:rPr>
        <w:t>U</w:t>
      </w:r>
      <w:r w:rsidRPr="00F76A6D">
        <w:rPr>
          <w:sz w:val="20"/>
          <w:szCs w:val="20"/>
        </w:rPr>
        <w:t>tilit</w:t>
      </w:r>
      <w:r>
        <w:rPr>
          <w:sz w:val="20"/>
          <w:szCs w:val="20"/>
        </w:rPr>
        <w:t>arians</w:t>
      </w:r>
      <w:proofErr w:type="spellEnd"/>
      <w:r>
        <w:rPr>
          <w:sz w:val="20"/>
          <w:szCs w:val="20"/>
        </w:rPr>
        <w:t xml:space="preserve"> like J.S. Mill (1859/1978</w:t>
      </w:r>
      <w:r w:rsidRPr="00F76A6D">
        <w:rPr>
          <w:sz w:val="20"/>
          <w:szCs w:val="20"/>
        </w:rPr>
        <w:t xml:space="preserve">, </w:t>
      </w:r>
      <w:proofErr w:type="spellStart"/>
      <w:r w:rsidRPr="00F76A6D">
        <w:rPr>
          <w:sz w:val="20"/>
          <w:szCs w:val="20"/>
        </w:rPr>
        <w:t>ch.</w:t>
      </w:r>
      <w:proofErr w:type="spellEnd"/>
      <w:r w:rsidRPr="00F76A6D">
        <w:rPr>
          <w:sz w:val="20"/>
          <w:szCs w:val="20"/>
        </w:rPr>
        <w:t xml:space="preserve"> 3</w:t>
      </w:r>
      <w:r>
        <w:rPr>
          <w:sz w:val="20"/>
          <w:szCs w:val="20"/>
        </w:rPr>
        <w:t>)</w:t>
      </w:r>
      <w:r w:rsidRPr="00F76A6D">
        <w:rPr>
          <w:sz w:val="20"/>
          <w:szCs w:val="20"/>
        </w:rPr>
        <w:t xml:space="preserve">. </w:t>
      </w:r>
    </w:p>
    <w:p w14:paraId="0C6323B3" w14:textId="5398980E" w:rsidR="007F037D" w:rsidRPr="00F76A6D" w:rsidRDefault="007F037D">
      <w:pPr>
        <w:pStyle w:val="EndnoteText"/>
        <w:rPr>
          <w:sz w:val="20"/>
          <w:szCs w:val="20"/>
        </w:rPr>
      </w:pPr>
      <w:r w:rsidRPr="00F76A6D">
        <w:rPr>
          <w:sz w:val="20"/>
          <w:szCs w:val="20"/>
        </w:rPr>
        <w:t xml:space="preserve">One can also see the movement from the previous section to this one as a movement from a consequentialist justification for prohibiting unchaste behaviors to a deontological justification for prohibiting those behaviors. Whereas the former appeals to the consequences of displaying unchaste behaviors, the latter appeals to the need to protect a feature inherent to one’s personhood.  This movement will be more apparent by the next section. </w:t>
      </w:r>
    </w:p>
  </w:endnote>
  <w:endnote w:id="16">
    <w:p w14:paraId="1EA53017" w14:textId="478DDFE6" w:rsidR="007F037D" w:rsidRPr="00F76A6D" w:rsidRDefault="007F037D" w:rsidP="000572ED">
      <w:pPr>
        <w:rPr>
          <w:rFonts w:eastAsia="Times New Roman"/>
          <w:sz w:val="20"/>
          <w:szCs w:val="20"/>
        </w:rPr>
      </w:pPr>
      <w:r w:rsidRPr="00F76A6D">
        <w:rPr>
          <w:rStyle w:val="EndnoteReference"/>
          <w:sz w:val="20"/>
          <w:szCs w:val="20"/>
        </w:rPr>
        <w:endnoteRef/>
      </w:r>
      <w:r w:rsidRPr="00F76A6D">
        <w:rPr>
          <w:sz w:val="20"/>
          <w:szCs w:val="20"/>
        </w:rPr>
        <w:t xml:space="preserve"> I take this </w:t>
      </w:r>
      <w:r>
        <w:rPr>
          <w:sz w:val="20"/>
          <w:szCs w:val="20"/>
        </w:rPr>
        <w:t xml:space="preserve">ultimatum </w:t>
      </w:r>
      <w:r w:rsidRPr="00F76A6D">
        <w:rPr>
          <w:sz w:val="20"/>
          <w:szCs w:val="20"/>
        </w:rPr>
        <w:t>to be a threat, because 1) all the alternatives are undesirable to the recipient, 2) the person who makes the threat artificially narrows alternatives for the recipient in order to create unfavorable results for the recipient—the alternatives are not merely natural consequences—and 3) the narrowed options are made known to the recipient. Literature on threats usually reference a baseline for the recipient to which the alternatives are relative, but I take actual baselines not to be relevant to a threat; someone could be threatened even if they weren’t made any worse off by either option, as long as it was unknown to the recipient whether they were being made worse off by the alternatives pres</w:t>
      </w:r>
      <w:r>
        <w:rPr>
          <w:sz w:val="20"/>
          <w:szCs w:val="20"/>
        </w:rPr>
        <w:t>ented to them. See Nozick (1969</w:t>
      </w:r>
      <w:r w:rsidRPr="00F76A6D">
        <w:rPr>
          <w:sz w:val="20"/>
          <w:szCs w:val="20"/>
        </w:rPr>
        <w:t>, 447</w:t>
      </w:r>
      <w:r>
        <w:rPr>
          <w:sz w:val="20"/>
          <w:szCs w:val="20"/>
        </w:rPr>
        <w:t>)</w:t>
      </w:r>
      <w:r>
        <w:rPr>
          <w:rFonts w:eastAsia="Times New Roman"/>
          <w:color w:val="1A1A1A"/>
          <w:sz w:val="20"/>
          <w:szCs w:val="20"/>
          <w:shd w:val="clear" w:color="auto" w:fill="FFFFFF"/>
        </w:rPr>
        <w:t>, Feinberg (198</w:t>
      </w:r>
      <w:r w:rsidR="00241DE3">
        <w:rPr>
          <w:rFonts w:eastAsia="Times New Roman"/>
          <w:color w:val="1A1A1A"/>
          <w:sz w:val="20"/>
          <w:szCs w:val="20"/>
          <w:shd w:val="clear" w:color="auto" w:fill="FFFFFF"/>
        </w:rPr>
        <w:t>9</w:t>
      </w:r>
      <w:r w:rsidRPr="00F76A6D">
        <w:rPr>
          <w:rFonts w:eastAsia="Times New Roman"/>
          <w:color w:val="1A1A1A"/>
          <w:sz w:val="20"/>
          <w:szCs w:val="20"/>
          <w:shd w:val="clear" w:color="auto" w:fill="FFFFFF"/>
        </w:rPr>
        <w:t>, 198</w:t>
      </w:r>
      <w:r>
        <w:rPr>
          <w:rFonts w:eastAsia="Times New Roman"/>
          <w:color w:val="1A1A1A"/>
          <w:sz w:val="20"/>
          <w:szCs w:val="20"/>
          <w:shd w:val="clear" w:color="auto" w:fill="FFFFFF"/>
        </w:rPr>
        <w:t>)</w:t>
      </w:r>
      <w:r w:rsidRPr="00F76A6D">
        <w:rPr>
          <w:rFonts w:eastAsia="Times New Roman"/>
          <w:sz w:val="20"/>
          <w:szCs w:val="20"/>
        </w:rPr>
        <w:t xml:space="preserve">, </w:t>
      </w:r>
      <w:r w:rsidRPr="00F76A6D">
        <w:rPr>
          <w:sz w:val="20"/>
          <w:szCs w:val="20"/>
        </w:rPr>
        <w:t xml:space="preserve">and </w:t>
      </w:r>
      <w:r>
        <w:rPr>
          <w:rFonts w:eastAsia="Times New Roman"/>
          <w:color w:val="1A1A1A"/>
          <w:sz w:val="20"/>
          <w:szCs w:val="20"/>
          <w:shd w:val="clear" w:color="auto" w:fill="FFFFFF"/>
        </w:rPr>
        <w:t>Wertheimer (1987</w:t>
      </w:r>
      <w:r w:rsidRPr="00F76A6D">
        <w:rPr>
          <w:rFonts w:eastAsia="Times New Roman"/>
          <w:color w:val="1A1A1A"/>
          <w:sz w:val="20"/>
          <w:szCs w:val="20"/>
          <w:shd w:val="clear" w:color="auto" w:fill="FFFFFF"/>
        </w:rPr>
        <w:t>, 217</w:t>
      </w:r>
      <w:r>
        <w:rPr>
          <w:rFonts w:eastAsia="Times New Roman"/>
          <w:color w:val="1A1A1A"/>
          <w:sz w:val="20"/>
          <w:szCs w:val="20"/>
          <w:shd w:val="clear" w:color="auto" w:fill="FFFFFF"/>
        </w:rPr>
        <w:t>)</w:t>
      </w:r>
      <w:r w:rsidRPr="00F76A6D">
        <w:rPr>
          <w:rFonts w:eastAsia="Times New Roman"/>
          <w:color w:val="1A1A1A"/>
          <w:sz w:val="20"/>
          <w:szCs w:val="20"/>
          <w:shd w:val="clear" w:color="auto" w:fill="FFFFFF"/>
        </w:rPr>
        <w:t xml:space="preserve">. </w:t>
      </w:r>
    </w:p>
  </w:endnote>
  <w:endnote w:id="17">
    <w:p w14:paraId="0E27E022" w14:textId="49F24011" w:rsidR="007F037D" w:rsidRDefault="007F037D" w:rsidP="000B3801">
      <w:pPr>
        <w:rPr>
          <w:sz w:val="20"/>
          <w:szCs w:val="20"/>
        </w:rPr>
      </w:pPr>
      <w:r w:rsidRPr="00F76A6D">
        <w:rPr>
          <w:rStyle w:val="EndnoteReference"/>
          <w:sz w:val="20"/>
          <w:szCs w:val="20"/>
        </w:rPr>
        <w:endnoteRef/>
      </w:r>
      <w:r w:rsidRPr="00F76A6D">
        <w:rPr>
          <w:rFonts w:eastAsia="Times New Roman"/>
          <w:color w:val="1A1A1A"/>
          <w:sz w:val="20"/>
          <w:szCs w:val="20"/>
          <w:shd w:val="clear" w:color="auto" w:fill="FFFFFF"/>
        </w:rPr>
        <w:t xml:space="preserve"> </w:t>
      </w:r>
      <w:r w:rsidRPr="00F76A6D">
        <w:rPr>
          <w:sz w:val="20"/>
          <w:szCs w:val="20"/>
        </w:rPr>
        <w:t>Alan Wertheimer’s position</w:t>
      </w:r>
      <w:r>
        <w:rPr>
          <w:sz w:val="20"/>
          <w:szCs w:val="20"/>
        </w:rPr>
        <w:t xml:space="preserve"> is an exception to this standard. A</w:t>
      </w:r>
      <w:r w:rsidRPr="00F76A6D">
        <w:rPr>
          <w:sz w:val="20"/>
          <w:szCs w:val="20"/>
        </w:rPr>
        <w:t xml:space="preserve">ccording to </w:t>
      </w:r>
      <w:r>
        <w:rPr>
          <w:sz w:val="20"/>
          <w:szCs w:val="20"/>
        </w:rPr>
        <w:t>Wertheimer,</w:t>
      </w:r>
      <w:r w:rsidRPr="00F76A6D">
        <w:rPr>
          <w:sz w:val="20"/>
          <w:szCs w:val="20"/>
        </w:rPr>
        <w:t xml:space="preserve"> the recipient can </w:t>
      </w:r>
      <w:r>
        <w:rPr>
          <w:sz w:val="20"/>
          <w:szCs w:val="20"/>
        </w:rPr>
        <w:t xml:space="preserve">(validly) </w:t>
      </w:r>
      <w:r w:rsidRPr="00F76A6D">
        <w:rPr>
          <w:sz w:val="20"/>
          <w:szCs w:val="20"/>
        </w:rPr>
        <w:t>consent in the above dat</w:t>
      </w:r>
      <w:r>
        <w:rPr>
          <w:sz w:val="20"/>
          <w:szCs w:val="20"/>
        </w:rPr>
        <w:t>ing threat/ultimatum case (2003</w:t>
      </w:r>
      <w:r w:rsidRPr="00F76A6D">
        <w:rPr>
          <w:sz w:val="20"/>
          <w:szCs w:val="20"/>
        </w:rPr>
        <w:t>, 151, 164, 170</w:t>
      </w:r>
      <w:r>
        <w:rPr>
          <w:sz w:val="20"/>
          <w:szCs w:val="20"/>
        </w:rPr>
        <w:t>)</w:t>
      </w:r>
      <w:r w:rsidRPr="00F76A6D">
        <w:rPr>
          <w:sz w:val="20"/>
          <w:szCs w:val="20"/>
        </w:rPr>
        <w:t>. This is because, on Wertheimer’s view, the threat/ultimatum is not coercive</w:t>
      </w:r>
      <w:r>
        <w:rPr>
          <w:sz w:val="20"/>
          <w:szCs w:val="20"/>
        </w:rPr>
        <w:t>, and it is not coercive</w:t>
      </w:r>
      <w:r w:rsidRPr="00F76A6D">
        <w:rPr>
          <w:sz w:val="20"/>
          <w:szCs w:val="20"/>
        </w:rPr>
        <w:t xml:space="preserve"> since the recipient does not have the </w:t>
      </w:r>
      <w:r w:rsidRPr="00BD7D1F">
        <w:rPr>
          <w:i/>
          <w:sz w:val="20"/>
          <w:szCs w:val="20"/>
        </w:rPr>
        <w:t>right</w:t>
      </w:r>
      <w:r w:rsidRPr="00F76A6D">
        <w:rPr>
          <w:sz w:val="20"/>
          <w:szCs w:val="20"/>
        </w:rPr>
        <w:t xml:space="preserve"> to remain in any relationship with the ultimatum-giver. </w:t>
      </w:r>
      <w:r>
        <w:rPr>
          <w:sz w:val="20"/>
          <w:szCs w:val="20"/>
        </w:rPr>
        <w:t>Here’s a case that tells against Wertheimer’s position:</w:t>
      </w:r>
      <w:r w:rsidRPr="00F76A6D">
        <w:rPr>
          <w:sz w:val="20"/>
          <w:szCs w:val="20"/>
        </w:rPr>
        <w:t xml:space="preserve"> Suppose a man in a very rural area puts fuel in a </w:t>
      </w:r>
      <w:r>
        <w:rPr>
          <w:sz w:val="20"/>
          <w:szCs w:val="20"/>
        </w:rPr>
        <w:t xml:space="preserve">somewhat-absentminded </w:t>
      </w:r>
      <w:r w:rsidRPr="00F76A6D">
        <w:rPr>
          <w:sz w:val="20"/>
          <w:szCs w:val="20"/>
        </w:rPr>
        <w:t>victim’s car each day for years so that the victim loses track of where to get fuel and forgets to pay attention to the fuel gauge. The man, who one day does not put fuel in his victim’s car, follows the victim until she becomes stranded, very far away from any housing, and offers her fuel in exchange for sex</w:t>
      </w:r>
      <w:r>
        <w:rPr>
          <w:sz w:val="20"/>
          <w:szCs w:val="20"/>
        </w:rPr>
        <w:t>, which she desires not to have</w:t>
      </w:r>
      <w:r w:rsidRPr="00F76A6D">
        <w:rPr>
          <w:sz w:val="20"/>
          <w:szCs w:val="20"/>
        </w:rPr>
        <w:t xml:space="preserve">. It does not seem that she could </w:t>
      </w:r>
      <w:r>
        <w:rPr>
          <w:sz w:val="20"/>
          <w:szCs w:val="20"/>
        </w:rPr>
        <w:t xml:space="preserve">offer valid </w:t>
      </w:r>
      <w:r w:rsidRPr="00F76A6D">
        <w:rPr>
          <w:sz w:val="20"/>
          <w:szCs w:val="20"/>
        </w:rPr>
        <w:t xml:space="preserve">consent to sex with him for the fuel, even though she does not have a right to have </w:t>
      </w:r>
      <w:r>
        <w:rPr>
          <w:sz w:val="20"/>
          <w:szCs w:val="20"/>
        </w:rPr>
        <w:t xml:space="preserve">the </w:t>
      </w:r>
      <w:r w:rsidRPr="00F76A6D">
        <w:rPr>
          <w:sz w:val="20"/>
          <w:szCs w:val="20"/>
        </w:rPr>
        <w:t xml:space="preserve">fuel. The dating example is similar—one party has kept the relationship going, and if breaking it off would result in a cataclysmic or traumatic event for the other party, the recipient of the ultimatum seems not to be able to consent to sex with the ultimatum-giver. (Thanks to Raja Halwani for pointing me to </w:t>
      </w:r>
      <w:r>
        <w:rPr>
          <w:sz w:val="20"/>
          <w:szCs w:val="20"/>
        </w:rPr>
        <w:t>Wertheimer’s</w:t>
      </w:r>
      <w:r w:rsidRPr="00F76A6D">
        <w:rPr>
          <w:sz w:val="20"/>
          <w:szCs w:val="20"/>
        </w:rPr>
        <w:t xml:space="preserve"> example.)</w:t>
      </w:r>
    </w:p>
    <w:p w14:paraId="3BBA1312" w14:textId="29A6B83A" w:rsidR="007F037D" w:rsidRPr="00296AD0" w:rsidRDefault="007F037D" w:rsidP="000B3801">
      <w:pPr>
        <w:rPr>
          <w:sz w:val="20"/>
          <w:szCs w:val="20"/>
        </w:rPr>
      </w:pPr>
      <w:r w:rsidRPr="00F76A6D">
        <w:rPr>
          <w:sz w:val="20"/>
          <w:szCs w:val="20"/>
        </w:rPr>
        <w:t xml:space="preserve">Note, however, that even if </w:t>
      </w:r>
      <w:r>
        <w:rPr>
          <w:sz w:val="20"/>
          <w:szCs w:val="20"/>
        </w:rPr>
        <w:t>this</w:t>
      </w:r>
      <w:r w:rsidRPr="00F76A6D">
        <w:rPr>
          <w:sz w:val="20"/>
          <w:szCs w:val="20"/>
        </w:rPr>
        <w:t xml:space="preserve"> </w:t>
      </w:r>
      <w:r>
        <w:rPr>
          <w:sz w:val="20"/>
          <w:szCs w:val="20"/>
        </w:rPr>
        <w:t>objection</w:t>
      </w:r>
      <w:r w:rsidRPr="00F76A6D">
        <w:rPr>
          <w:sz w:val="20"/>
          <w:szCs w:val="20"/>
        </w:rPr>
        <w:t xml:space="preserve"> to Wertheimer</w:t>
      </w:r>
      <w:r>
        <w:rPr>
          <w:sz w:val="20"/>
          <w:szCs w:val="20"/>
        </w:rPr>
        <w:t>’s view</w:t>
      </w:r>
      <w:r w:rsidRPr="00F76A6D">
        <w:rPr>
          <w:sz w:val="20"/>
          <w:szCs w:val="20"/>
        </w:rPr>
        <w:t xml:space="preserve"> is unconvincing, Wertheimer might ultimately agree with </w:t>
      </w:r>
      <w:r>
        <w:rPr>
          <w:sz w:val="20"/>
          <w:szCs w:val="20"/>
        </w:rPr>
        <w:t>the</w:t>
      </w:r>
      <w:r w:rsidRPr="00F76A6D">
        <w:rPr>
          <w:sz w:val="20"/>
          <w:szCs w:val="20"/>
        </w:rPr>
        <w:t xml:space="preserve"> conclusion </w:t>
      </w:r>
      <w:r>
        <w:rPr>
          <w:sz w:val="20"/>
          <w:szCs w:val="20"/>
        </w:rPr>
        <w:t xml:space="preserve">of this section </w:t>
      </w:r>
      <w:r w:rsidRPr="00F76A6D">
        <w:rPr>
          <w:sz w:val="20"/>
          <w:szCs w:val="20"/>
        </w:rPr>
        <w:t xml:space="preserve">that respecting employee </w:t>
      </w:r>
      <w:r>
        <w:rPr>
          <w:sz w:val="20"/>
          <w:szCs w:val="20"/>
        </w:rPr>
        <w:t>dissent</w:t>
      </w:r>
      <w:r w:rsidRPr="00F76A6D">
        <w:rPr>
          <w:sz w:val="20"/>
          <w:szCs w:val="20"/>
        </w:rPr>
        <w:t xml:space="preserve"> is not </w:t>
      </w:r>
      <w:r>
        <w:rPr>
          <w:sz w:val="20"/>
          <w:szCs w:val="20"/>
        </w:rPr>
        <w:t>the primary reason</w:t>
      </w:r>
      <w:r w:rsidRPr="00F76A6D">
        <w:rPr>
          <w:sz w:val="20"/>
          <w:szCs w:val="20"/>
        </w:rPr>
        <w:t xml:space="preserve"> for </w:t>
      </w:r>
      <w:r>
        <w:rPr>
          <w:sz w:val="20"/>
          <w:szCs w:val="20"/>
        </w:rPr>
        <w:t xml:space="preserve">the value of </w:t>
      </w:r>
      <w:r w:rsidRPr="00F76A6D">
        <w:rPr>
          <w:sz w:val="20"/>
          <w:szCs w:val="20"/>
        </w:rPr>
        <w:t>chastity</w:t>
      </w:r>
      <w:r>
        <w:rPr>
          <w:sz w:val="20"/>
          <w:szCs w:val="20"/>
        </w:rPr>
        <w:t xml:space="preserve"> in the workplace</w:t>
      </w:r>
      <w:r w:rsidRPr="00F76A6D">
        <w:rPr>
          <w:sz w:val="20"/>
          <w:szCs w:val="20"/>
        </w:rPr>
        <w:t>, evidenced by Wertheimer’s position that respecting another’s consent is not necessary for initiating morally permissibl</w:t>
      </w:r>
      <w:r>
        <w:rPr>
          <w:sz w:val="20"/>
          <w:szCs w:val="20"/>
        </w:rPr>
        <w:t>e sexual relations (see his 2003, 155</w:t>
      </w:r>
      <w:r w:rsidR="0032019D">
        <w:rPr>
          <w:sz w:val="20"/>
          <w:szCs w:val="20"/>
        </w:rPr>
        <w:t>–</w:t>
      </w:r>
      <w:r>
        <w:rPr>
          <w:sz w:val="20"/>
          <w:szCs w:val="20"/>
        </w:rPr>
        <w:t xml:space="preserve">156). </w:t>
      </w:r>
      <w:r w:rsidRPr="00F76A6D">
        <w:rPr>
          <w:sz w:val="20"/>
          <w:szCs w:val="20"/>
        </w:rPr>
        <w:t xml:space="preserve"> </w:t>
      </w:r>
    </w:p>
  </w:endnote>
  <w:endnote w:id="18">
    <w:p w14:paraId="4B3963FF" w14:textId="0D3B035E" w:rsidR="007F037D" w:rsidRPr="00F76A6D" w:rsidRDefault="007F037D">
      <w:pPr>
        <w:pStyle w:val="EndnoteText"/>
        <w:rPr>
          <w:sz w:val="20"/>
          <w:szCs w:val="20"/>
        </w:rPr>
      </w:pPr>
      <w:r w:rsidRPr="00F76A6D">
        <w:rPr>
          <w:rStyle w:val="EndnoteReference"/>
          <w:sz w:val="20"/>
          <w:szCs w:val="20"/>
        </w:rPr>
        <w:endnoteRef/>
      </w:r>
      <w:r w:rsidRPr="00F76A6D">
        <w:rPr>
          <w:sz w:val="20"/>
          <w:szCs w:val="20"/>
        </w:rPr>
        <w:t xml:space="preserve"> “</w:t>
      </w:r>
      <w:r w:rsidRPr="00F76A6D">
        <w:rPr>
          <w:rFonts w:eastAsia="Times New Roman"/>
          <w:color w:val="1A1A1A"/>
          <w:sz w:val="20"/>
          <w:szCs w:val="20"/>
          <w:shd w:val="clear" w:color="auto" w:fill="FFFFFF"/>
        </w:rPr>
        <w:t>[T]he prevailing medical ethos tends to treat more cases as cases of coercion than this [previous] philosophical definition [of coercion] would suggest. A threat to cause even slight pain unless a patient acquiesces would be taken to invalidate her consent” (</w:t>
      </w:r>
      <w:proofErr w:type="spellStart"/>
      <w:r w:rsidRPr="00F76A6D">
        <w:rPr>
          <w:rFonts w:eastAsia="Times New Roman"/>
          <w:color w:val="1A1A1A"/>
          <w:sz w:val="20"/>
          <w:szCs w:val="20"/>
          <w:shd w:val="clear" w:color="auto" w:fill="FFFFFF"/>
        </w:rPr>
        <w:t>Eyal</w:t>
      </w:r>
      <w:proofErr w:type="spellEnd"/>
      <w:r>
        <w:rPr>
          <w:rFonts w:eastAsia="Times New Roman"/>
          <w:color w:val="1A1A1A"/>
          <w:sz w:val="20"/>
          <w:szCs w:val="20"/>
          <w:shd w:val="clear" w:color="auto" w:fill="FFFFFF"/>
        </w:rPr>
        <w:t>,</w:t>
      </w:r>
      <w:r w:rsidRPr="00F76A6D">
        <w:rPr>
          <w:rFonts w:eastAsia="Times New Roman"/>
          <w:color w:val="1A1A1A"/>
          <w:sz w:val="20"/>
          <w:szCs w:val="20"/>
          <w:shd w:val="clear" w:color="auto" w:fill="FFFFFF"/>
        </w:rPr>
        <w:t xml:space="preserve"> 2019)</w:t>
      </w:r>
      <w:r w:rsidR="009E65A1">
        <w:rPr>
          <w:rFonts w:eastAsia="Times New Roman"/>
          <w:color w:val="1A1A1A"/>
          <w:sz w:val="20"/>
          <w:szCs w:val="20"/>
          <w:shd w:val="clear" w:color="auto" w:fill="FFFFFF"/>
        </w:rPr>
        <w:t>.</w:t>
      </w:r>
    </w:p>
  </w:endnote>
  <w:endnote w:id="19">
    <w:p w14:paraId="141EB42B" w14:textId="1B22CC1B" w:rsidR="007F037D" w:rsidRPr="00F76A6D" w:rsidRDefault="007F037D" w:rsidP="00C82CC0">
      <w:pPr>
        <w:pStyle w:val="EndnoteText"/>
        <w:rPr>
          <w:sz w:val="20"/>
          <w:szCs w:val="20"/>
        </w:rPr>
      </w:pPr>
      <w:r w:rsidRPr="00F76A6D">
        <w:rPr>
          <w:rStyle w:val="EndnoteReference"/>
          <w:sz w:val="20"/>
          <w:szCs w:val="20"/>
        </w:rPr>
        <w:endnoteRef/>
      </w:r>
      <w:r w:rsidRPr="00F76A6D">
        <w:rPr>
          <w:sz w:val="20"/>
          <w:szCs w:val="20"/>
        </w:rPr>
        <w:t xml:space="preserve"> The</w:t>
      </w:r>
      <w:r>
        <w:rPr>
          <w:sz w:val="20"/>
          <w:szCs w:val="20"/>
        </w:rPr>
        <w:t xml:space="preserve"> specific</w:t>
      </w:r>
      <w:r w:rsidRPr="00F76A6D">
        <w:rPr>
          <w:sz w:val="20"/>
          <w:szCs w:val="20"/>
        </w:rPr>
        <w:t xml:space="preserve"> account </w:t>
      </w:r>
      <w:r>
        <w:rPr>
          <w:sz w:val="20"/>
          <w:szCs w:val="20"/>
        </w:rPr>
        <w:t xml:space="preserve">articulated </w:t>
      </w:r>
      <w:r w:rsidRPr="00F76A6D">
        <w:rPr>
          <w:sz w:val="20"/>
          <w:szCs w:val="20"/>
        </w:rPr>
        <w:t>here is very similar to that given by Rachels (1975), with some additions later i</w:t>
      </w:r>
      <w:r>
        <w:rPr>
          <w:sz w:val="20"/>
          <w:szCs w:val="20"/>
        </w:rPr>
        <w:t xml:space="preserve">n the paragraph, though the position described here is also compatible with views held by some others who hold that privacy violations violate one’s right to be able to maintain boundaries essential to forming certain kinds of relationships, e.g. Bloustein (1964), Fried (1970), Gerstein (1978), </w:t>
      </w:r>
      <w:proofErr w:type="spellStart"/>
      <w:r>
        <w:rPr>
          <w:sz w:val="20"/>
          <w:szCs w:val="20"/>
        </w:rPr>
        <w:t>Shoeman</w:t>
      </w:r>
      <w:proofErr w:type="spellEnd"/>
      <w:r>
        <w:rPr>
          <w:sz w:val="20"/>
          <w:szCs w:val="20"/>
        </w:rPr>
        <w:t xml:space="preserve"> (1984), Inness (1992), Bok (1982), </w:t>
      </w:r>
      <w:proofErr w:type="spellStart"/>
      <w:r>
        <w:rPr>
          <w:sz w:val="20"/>
          <w:szCs w:val="20"/>
        </w:rPr>
        <w:t>Gavison</w:t>
      </w:r>
      <w:proofErr w:type="spellEnd"/>
      <w:r>
        <w:rPr>
          <w:sz w:val="20"/>
          <w:szCs w:val="20"/>
        </w:rPr>
        <w:t xml:space="preserve"> (1980), and Moore (2003). </w:t>
      </w:r>
    </w:p>
    <w:p w14:paraId="5510B90C" w14:textId="2D45695D" w:rsidR="007F037D" w:rsidRPr="00F76A6D" w:rsidRDefault="007F037D" w:rsidP="00C82CC0">
      <w:pPr>
        <w:pStyle w:val="EndnoteText"/>
        <w:rPr>
          <w:sz w:val="20"/>
          <w:szCs w:val="20"/>
        </w:rPr>
      </w:pPr>
      <w:r w:rsidRPr="00F76A6D">
        <w:rPr>
          <w:sz w:val="20"/>
          <w:szCs w:val="20"/>
        </w:rPr>
        <w:t>It is worth noting that dignity violations are not the only reason for every worthwhile company policy. Often workplace policies are worthwhile to comply with legal regulations or to protect others from harm. The point here is that chastity does not merely satisfy policies that are intended only to protect others from harm</w:t>
      </w:r>
      <w:r>
        <w:rPr>
          <w:sz w:val="20"/>
          <w:szCs w:val="20"/>
        </w:rPr>
        <w:t xml:space="preserve"> and respect dissent</w:t>
      </w:r>
      <w:r w:rsidRPr="00F76A6D">
        <w:rPr>
          <w:sz w:val="20"/>
          <w:szCs w:val="20"/>
        </w:rPr>
        <w:t xml:space="preserve">. </w:t>
      </w:r>
    </w:p>
  </w:endnote>
  <w:endnote w:id="20">
    <w:p w14:paraId="72EE17D5" w14:textId="4C97B307" w:rsidR="007F037D" w:rsidRPr="00F76A6D" w:rsidRDefault="007F037D" w:rsidP="00613695">
      <w:pPr>
        <w:pStyle w:val="EndnoteText"/>
        <w:rPr>
          <w:sz w:val="20"/>
          <w:szCs w:val="20"/>
        </w:rPr>
      </w:pPr>
      <w:r w:rsidRPr="00F76A6D">
        <w:rPr>
          <w:rStyle w:val="EndnoteReference"/>
          <w:sz w:val="20"/>
          <w:szCs w:val="20"/>
        </w:rPr>
        <w:endnoteRef/>
      </w:r>
      <w:r w:rsidRPr="00F76A6D">
        <w:rPr>
          <w:sz w:val="20"/>
          <w:szCs w:val="20"/>
        </w:rPr>
        <w:t xml:space="preserve"> If some spouses are unable to curb their sexual interests at work, that might be a reason to prohibit the couple from working together, just as coworkers are often prohibited from entering into dating or romantic relationships for the same reason.</w:t>
      </w:r>
    </w:p>
  </w:endnote>
  <w:endnote w:id="21">
    <w:p w14:paraId="5308C986" w14:textId="1BB147D3" w:rsidR="007F037D" w:rsidRPr="005E7B4A" w:rsidRDefault="007F037D">
      <w:pPr>
        <w:pStyle w:val="EndnoteText"/>
        <w:rPr>
          <w:sz w:val="20"/>
          <w:szCs w:val="20"/>
        </w:rPr>
      </w:pPr>
      <w:r w:rsidRPr="005E7B4A">
        <w:rPr>
          <w:rStyle w:val="EndnoteReference"/>
          <w:sz w:val="20"/>
          <w:szCs w:val="20"/>
        </w:rPr>
        <w:endnoteRef/>
      </w:r>
      <w:r w:rsidRPr="005E7B4A">
        <w:rPr>
          <w:sz w:val="20"/>
          <w:szCs w:val="20"/>
        </w:rPr>
        <w:t xml:space="preserve"> Likewise, if married couples saw each other as satisfiers of sexual interest while at work, such a way of relating would be a reason for an organization to require the couple not to work together.</w:t>
      </w:r>
    </w:p>
  </w:endnote>
  <w:endnote w:id="22">
    <w:p w14:paraId="46851CAD" w14:textId="7A587784" w:rsidR="007F037D" w:rsidRPr="00AF31A6" w:rsidRDefault="007F037D">
      <w:pPr>
        <w:pStyle w:val="EndnoteText"/>
        <w:rPr>
          <w:sz w:val="20"/>
          <w:szCs w:val="20"/>
        </w:rPr>
      </w:pPr>
      <w:r w:rsidRPr="00AF31A6">
        <w:rPr>
          <w:rStyle w:val="EndnoteReference"/>
          <w:sz w:val="20"/>
          <w:szCs w:val="20"/>
        </w:rPr>
        <w:endnoteRef/>
      </w:r>
      <w:r w:rsidRPr="00AF31A6">
        <w:rPr>
          <w:sz w:val="20"/>
          <w:szCs w:val="20"/>
        </w:rPr>
        <w:t xml:space="preserve"> </w:t>
      </w:r>
      <w:r>
        <w:rPr>
          <w:sz w:val="20"/>
          <w:szCs w:val="20"/>
        </w:rPr>
        <w:t xml:space="preserve">The usage here conflicts with Harry Frankfurt’s (1971), 8, use of ‘will’, according to which ‘will’ refers to the agent’s effective first-order desire. Similarly, my usage of ‘volition’ below differs from Frankfurt’s. It’s worth noting that Frankfurt uses those terms as terms of art, and such uses are nonstandard. </w:t>
      </w:r>
    </w:p>
  </w:endnote>
  <w:endnote w:id="23">
    <w:p w14:paraId="758A5AEB" w14:textId="5D11AD68" w:rsidR="007F037D" w:rsidRPr="00F76A6D" w:rsidRDefault="007F037D">
      <w:pPr>
        <w:pStyle w:val="EndnoteText"/>
        <w:rPr>
          <w:sz w:val="20"/>
          <w:szCs w:val="20"/>
        </w:rPr>
      </w:pPr>
      <w:r w:rsidRPr="00AF31A6">
        <w:rPr>
          <w:rStyle w:val="EndnoteReference"/>
          <w:sz w:val="20"/>
          <w:szCs w:val="20"/>
        </w:rPr>
        <w:endnoteRef/>
      </w:r>
      <w:r w:rsidRPr="00AF31A6">
        <w:rPr>
          <w:sz w:val="20"/>
          <w:szCs w:val="20"/>
        </w:rPr>
        <w:t xml:space="preserve"> Two</w:t>
      </w:r>
      <w:r>
        <w:rPr>
          <w:sz w:val="20"/>
          <w:szCs w:val="20"/>
        </w:rPr>
        <w:t xml:space="preserve"> notes: </w:t>
      </w:r>
      <w:r w:rsidR="0073755E">
        <w:rPr>
          <w:sz w:val="20"/>
          <w:szCs w:val="20"/>
        </w:rPr>
        <w:t>(</w:t>
      </w:r>
      <w:r>
        <w:rPr>
          <w:sz w:val="20"/>
          <w:szCs w:val="20"/>
        </w:rPr>
        <w:t>1</w:t>
      </w:r>
      <w:r w:rsidR="0073755E">
        <w:rPr>
          <w:sz w:val="20"/>
          <w:szCs w:val="20"/>
        </w:rPr>
        <w:t>)</w:t>
      </w:r>
      <w:r>
        <w:rPr>
          <w:sz w:val="20"/>
          <w:szCs w:val="20"/>
        </w:rPr>
        <w:t xml:space="preserve"> </w:t>
      </w:r>
      <w:r w:rsidRPr="00F76A6D">
        <w:rPr>
          <w:sz w:val="20"/>
          <w:szCs w:val="20"/>
        </w:rPr>
        <w:t>Chastity is not framed positively (e.g. seeing another as a coworker), because one could be chaste without seeing another in any particular way. For example, a chaste person might see a coworker as an obstacle to their own ends and not as a coworker, but since they do not see their coworker as a satisfier of sexual interest, they are chaste, even if they also see others in less-than-desirable ways.</w:t>
      </w:r>
      <w:r>
        <w:rPr>
          <w:sz w:val="20"/>
          <w:szCs w:val="20"/>
        </w:rPr>
        <w:t xml:space="preserve"> </w:t>
      </w:r>
      <w:r w:rsidR="0073755E">
        <w:rPr>
          <w:sz w:val="20"/>
          <w:szCs w:val="20"/>
        </w:rPr>
        <w:t>(</w:t>
      </w:r>
      <w:r>
        <w:rPr>
          <w:sz w:val="20"/>
          <w:szCs w:val="20"/>
        </w:rPr>
        <w:t>2</w:t>
      </w:r>
      <w:r w:rsidR="0073755E">
        <w:rPr>
          <w:sz w:val="20"/>
          <w:szCs w:val="20"/>
        </w:rPr>
        <w:t>)</w:t>
      </w:r>
      <w:r>
        <w:rPr>
          <w:sz w:val="20"/>
          <w:szCs w:val="20"/>
        </w:rPr>
        <w:t xml:space="preserve"> It might be that a full virtue of chastity </w:t>
      </w:r>
      <w:r w:rsidR="0073755E">
        <w:rPr>
          <w:sz w:val="20"/>
          <w:szCs w:val="20"/>
        </w:rPr>
        <w:t xml:space="preserve">that </w:t>
      </w:r>
      <w:r>
        <w:rPr>
          <w:sz w:val="20"/>
          <w:szCs w:val="20"/>
        </w:rPr>
        <w:t xml:space="preserve">includes a positive direction of sexual dispositions expresses itself as a negative virtue in the workplace. (Thanks to Eric Silverman for making this point.) </w:t>
      </w:r>
    </w:p>
  </w:endnote>
  <w:endnote w:id="24">
    <w:p w14:paraId="0DEB77D3" w14:textId="05E2B162" w:rsidR="007F037D" w:rsidRPr="00F76A6D" w:rsidRDefault="007F037D">
      <w:pPr>
        <w:pStyle w:val="EndnoteText"/>
        <w:rPr>
          <w:sz w:val="20"/>
          <w:szCs w:val="20"/>
        </w:rPr>
      </w:pPr>
      <w:r w:rsidRPr="00F76A6D">
        <w:rPr>
          <w:rStyle w:val="EndnoteReference"/>
          <w:sz w:val="20"/>
          <w:szCs w:val="20"/>
        </w:rPr>
        <w:endnoteRef/>
      </w:r>
      <w:r w:rsidRPr="00F76A6D">
        <w:rPr>
          <w:sz w:val="20"/>
          <w:szCs w:val="20"/>
        </w:rPr>
        <w:t xml:space="preserve"> This situation is rare, as is indicated by the current consensus that sexual harassment training is ineffective</w:t>
      </w:r>
      <w:r>
        <w:rPr>
          <w:sz w:val="20"/>
          <w:szCs w:val="20"/>
        </w:rPr>
        <w:t xml:space="preserve"> at reducing harassment</w:t>
      </w:r>
      <w:r w:rsidRPr="00F76A6D">
        <w:rPr>
          <w:sz w:val="20"/>
          <w:szCs w:val="20"/>
        </w:rPr>
        <w:t xml:space="preserve">. (See Hersch 2019, 11.) </w:t>
      </w:r>
    </w:p>
  </w:endnote>
  <w:endnote w:id="25">
    <w:p w14:paraId="726A6C11" w14:textId="77C0C1B5" w:rsidR="001345B3" w:rsidRPr="007F037D" w:rsidRDefault="007F037D" w:rsidP="007F037D">
      <w:pPr>
        <w:pStyle w:val="EndnoteText"/>
        <w:rPr>
          <w:sz w:val="20"/>
          <w:szCs w:val="20"/>
        </w:rPr>
      </w:pPr>
      <w:r w:rsidRPr="00FC6C29">
        <w:rPr>
          <w:rStyle w:val="EndnoteReference"/>
          <w:sz w:val="20"/>
          <w:szCs w:val="20"/>
        </w:rPr>
        <w:endnoteRef/>
      </w:r>
      <w:r w:rsidRPr="00FC6C29">
        <w:rPr>
          <w:sz w:val="20"/>
          <w:szCs w:val="20"/>
        </w:rPr>
        <w:t xml:space="preserve"> Thank you to Eric Silverman for his comments on several previous drafts.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27D64" w14:textId="77777777" w:rsidR="00495323" w:rsidRDefault="00495323" w:rsidP="00F14C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40FDB8" w14:textId="77777777" w:rsidR="00495323" w:rsidRDefault="00495323" w:rsidP="00880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AB7C" w14:textId="7FBD5EA7" w:rsidR="00495323" w:rsidRPr="00D12D39" w:rsidRDefault="00495323" w:rsidP="00F14C0F">
    <w:pPr>
      <w:pStyle w:val="Footer"/>
      <w:framePr w:wrap="none" w:vAnchor="text" w:hAnchor="margin" w:xAlign="right" w:y="1"/>
      <w:rPr>
        <w:rStyle w:val="PageNumber"/>
      </w:rPr>
    </w:pPr>
    <w:r w:rsidRPr="00D12D39">
      <w:rPr>
        <w:rStyle w:val="PageNumber"/>
      </w:rPr>
      <w:fldChar w:fldCharType="begin"/>
    </w:r>
    <w:r w:rsidRPr="00D12D39">
      <w:rPr>
        <w:rStyle w:val="PageNumber"/>
      </w:rPr>
      <w:instrText xml:space="preserve">PAGE  </w:instrText>
    </w:r>
    <w:r w:rsidRPr="00D12D39">
      <w:rPr>
        <w:rStyle w:val="PageNumber"/>
      </w:rPr>
      <w:fldChar w:fldCharType="separate"/>
    </w:r>
    <w:r w:rsidR="001E0B1B">
      <w:rPr>
        <w:rStyle w:val="PageNumber"/>
        <w:noProof/>
      </w:rPr>
      <w:t>1</w:t>
    </w:r>
    <w:r w:rsidRPr="00D12D39">
      <w:rPr>
        <w:rStyle w:val="PageNumber"/>
      </w:rPr>
      <w:fldChar w:fldCharType="end"/>
    </w:r>
  </w:p>
  <w:p w14:paraId="2B144054" w14:textId="77777777" w:rsidR="00495323" w:rsidRDefault="00495323" w:rsidP="00880E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C2A5C" w14:textId="77777777" w:rsidR="0038590A" w:rsidRDefault="0038590A" w:rsidP="00880E28">
      <w:r>
        <w:separator/>
      </w:r>
    </w:p>
  </w:footnote>
  <w:footnote w:type="continuationSeparator" w:id="0">
    <w:p w14:paraId="0BDAAD8C" w14:textId="77777777" w:rsidR="0038590A" w:rsidRDefault="0038590A" w:rsidP="0088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543BF"/>
    <w:multiLevelType w:val="hybridMultilevel"/>
    <w:tmpl w:val="01A67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B5005"/>
    <w:multiLevelType w:val="multilevel"/>
    <w:tmpl w:val="1E6E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01063"/>
    <w:multiLevelType w:val="multilevel"/>
    <w:tmpl w:val="B044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70256"/>
    <w:multiLevelType w:val="multilevel"/>
    <w:tmpl w:val="7740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60841"/>
    <w:multiLevelType w:val="multilevel"/>
    <w:tmpl w:val="A108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E076B"/>
    <w:multiLevelType w:val="multilevel"/>
    <w:tmpl w:val="844A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930A2"/>
    <w:multiLevelType w:val="multilevel"/>
    <w:tmpl w:val="0868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0385E"/>
    <w:multiLevelType w:val="multilevel"/>
    <w:tmpl w:val="6B8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20"/>
    <w:rsid w:val="00001391"/>
    <w:rsid w:val="00001C84"/>
    <w:rsid w:val="00001E99"/>
    <w:rsid w:val="00002A24"/>
    <w:rsid w:val="00003566"/>
    <w:rsid w:val="0000626B"/>
    <w:rsid w:val="000073BE"/>
    <w:rsid w:val="00010D76"/>
    <w:rsid w:val="00011ED9"/>
    <w:rsid w:val="00012C40"/>
    <w:rsid w:val="000152E2"/>
    <w:rsid w:val="000159BE"/>
    <w:rsid w:val="00020118"/>
    <w:rsid w:val="000209C0"/>
    <w:rsid w:val="00022642"/>
    <w:rsid w:val="00022CC3"/>
    <w:rsid w:val="000232A3"/>
    <w:rsid w:val="00026409"/>
    <w:rsid w:val="000270D7"/>
    <w:rsid w:val="00027B37"/>
    <w:rsid w:val="000301E2"/>
    <w:rsid w:val="00030A13"/>
    <w:rsid w:val="00031145"/>
    <w:rsid w:val="00032F8B"/>
    <w:rsid w:val="00033847"/>
    <w:rsid w:val="0003566E"/>
    <w:rsid w:val="00035B18"/>
    <w:rsid w:val="000362B4"/>
    <w:rsid w:val="00037278"/>
    <w:rsid w:val="00043125"/>
    <w:rsid w:val="00043D26"/>
    <w:rsid w:val="000468CB"/>
    <w:rsid w:val="000508BA"/>
    <w:rsid w:val="000527EE"/>
    <w:rsid w:val="00052DD5"/>
    <w:rsid w:val="00053896"/>
    <w:rsid w:val="00053F01"/>
    <w:rsid w:val="00053FCC"/>
    <w:rsid w:val="0005510C"/>
    <w:rsid w:val="00055290"/>
    <w:rsid w:val="000572ED"/>
    <w:rsid w:val="00057D96"/>
    <w:rsid w:val="00062019"/>
    <w:rsid w:val="0006209F"/>
    <w:rsid w:val="000624D4"/>
    <w:rsid w:val="00062C03"/>
    <w:rsid w:val="00064C81"/>
    <w:rsid w:val="000708DC"/>
    <w:rsid w:val="00071DEE"/>
    <w:rsid w:val="000729BA"/>
    <w:rsid w:val="00073A44"/>
    <w:rsid w:val="00074727"/>
    <w:rsid w:val="0007503A"/>
    <w:rsid w:val="00077174"/>
    <w:rsid w:val="00081397"/>
    <w:rsid w:val="0008179C"/>
    <w:rsid w:val="00083AC0"/>
    <w:rsid w:val="00084E1D"/>
    <w:rsid w:val="00086AA7"/>
    <w:rsid w:val="000871E1"/>
    <w:rsid w:val="00087CBF"/>
    <w:rsid w:val="00087EC0"/>
    <w:rsid w:val="00090806"/>
    <w:rsid w:val="00090F5A"/>
    <w:rsid w:val="000916CB"/>
    <w:rsid w:val="000931DF"/>
    <w:rsid w:val="0009631B"/>
    <w:rsid w:val="000978E0"/>
    <w:rsid w:val="000A0BD5"/>
    <w:rsid w:val="000A12CF"/>
    <w:rsid w:val="000A278F"/>
    <w:rsid w:val="000A308F"/>
    <w:rsid w:val="000A4143"/>
    <w:rsid w:val="000A619E"/>
    <w:rsid w:val="000B01EF"/>
    <w:rsid w:val="000B0FAA"/>
    <w:rsid w:val="000B24E7"/>
    <w:rsid w:val="000B2678"/>
    <w:rsid w:val="000B3801"/>
    <w:rsid w:val="000B39B8"/>
    <w:rsid w:val="000B3FF4"/>
    <w:rsid w:val="000B4CA3"/>
    <w:rsid w:val="000B6381"/>
    <w:rsid w:val="000B7796"/>
    <w:rsid w:val="000C100E"/>
    <w:rsid w:val="000C3294"/>
    <w:rsid w:val="000C3ECC"/>
    <w:rsid w:val="000C55FB"/>
    <w:rsid w:val="000D12A8"/>
    <w:rsid w:val="000D1480"/>
    <w:rsid w:val="000D1E9E"/>
    <w:rsid w:val="000D22CC"/>
    <w:rsid w:val="000D4D11"/>
    <w:rsid w:val="000D5C5B"/>
    <w:rsid w:val="000D69BF"/>
    <w:rsid w:val="000E16BF"/>
    <w:rsid w:val="000E2251"/>
    <w:rsid w:val="000E2C99"/>
    <w:rsid w:val="000E3491"/>
    <w:rsid w:val="000E438A"/>
    <w:rsid w:val="000E4C6D"/>
    <w:rsid w:val="000E6801"/>
    <w:rsid w:val="000F3414"/>
    <w:rsid w:val="000F6243"/>
    <w:rsid w:val="000F64A8"/>
    <w:rsid w:val="000F6D3B"/>
    <w:rsid w:val="000F76AB"/>
    <w:rsid w:val="000F79AE"/>
    <w:rsid w:val="00100803"/>
    <w:rsid w:val="00101C68"/>
    <w:rsid w:val="00103FFF"/>
    <w:rsid w:val="001071BF"/>
    <w:rsid w:val="00112B15"/>
    <w:rsid w:val="0011371D"/>
    <w:rsid w:val="0011453D"/>
    <w:rsid w:val="001167E5"/>
    <w:rsid w:val="00121DD1"/>
    <w:rsid w:val="001221E4"/>
    <w:rsid w:val="00122E9C"/>
    <w:rsid w:val="00123811"/>
    <w:rsid w:val="00123FDC"/>
    <w:rsid w:val="001250C2"/>
    <w:rsid w:val="0012705E"/>
    <w:rsid w:val="0013194F"/>
    <w:rsid w:val="001327CA"/>
    <w:rsid w:val="00132827"/>
    <w:rsid w:val="001345B3"/>
    <w:rsid w:val="001355CA"/>
    <w:rsid w:val="00135646"/>
    <w:rsid w:val="0014226B"/>
    <w:rsid w:val="00144554"/>
    <w:rsid w:val="00144998"/>
    <w:rsid w:val="00145665"/>
    <w:rsid w:val="0015442C"/>
    <w:rsid w:val="00160184"/>
    <w:rsid w:val="001633D4"/>
    <w:rsid w:val="00163E59"/>
    <w:rsid w:val="00163FC7"/>
    <w:rsid w:val="00167546"/>
    <w:rsid w:val="001675F5"/>
    <w:rsid w:val="00170BF4"/>
    <w:rsid w:val="00171604"/>
    <w:rsid w:val="00171D39"/>
    <w:rsid w:val="00173595"/>
    <w:rsid w:val="00174591"/>
    <w:rsid w:val="00176D58"/>
    <w:rsid w:val="0018014F"/>
    <w:rsid w:val="001829D6"/>
    <w:rsid w:val="00182BF0"/>
    <w:rsid w:val="00183A17"/>
    <w:rsid w:val="0018599E"/>
    <w:rsid w:val="0019070E"/>
    <w:rsid w:val="0019128E"/>
    <w:rsid w:val="00191E27"/>
    <w:rsid w:val="00191F13"/>
    <w:rsid w:val="00192604"/>
    <w:rsid w:val="001A6820"/>
    <w:rsid w:val="001B145A"/>
    <w:rsid w:val="001B17A3"/>
    <w:rsid w:val="001B5814"/>
    <w:rsid w:val="001B7A53"/>
    <w:rsid w:val="001C01F0"/>
    <w:rsid w:val="001C12C8"/>
    <w:rsid w:val="001C15CE"/>
    <w:rsid w:val="001C3A34"/>
    <w:rsid w:val="001C46D2"/>
    <w:rsid w:val="001C56F7"/>
    <w:rsid w:val="001C6A96"/>
    <w:rsid w:val="001D23D7"/>
    <w:rsid w:val="001D3E8C"/>
    <w:rsid w:val="001D45AB"/>
    <w:rsid w:val="001D45DA"/>
    <w:rsid w:val="001D5A84"/>
    <w:rsid w:val="001E0B1B"/>
    <w:rsid w:val="001E0C64"/>
    <w:rsid w:val="001E195A"/>
    <w:rsid w:val="001E2300"/>
    <w:rsid w:val="001E2BFC"/>
    <w:rsid w:val="001E4DA3"/>
    <w:rsid w:val="001E6E6F"/>
    <w:rsid w:val="001E78A3"/>
    <w:rsid w:val="001E7E32"/>
    <w:rsid w:val="001E7E80"/>
    <w:rsid w:val="001F0964"/>
    <w:rsid w:val="001F0A6A"/>
    <w:rsid w:val="001F126A"/>
    <w:rsid w:val="001F29FF"/>
    <w:rsid w:val="001F4855"/>
    <w:rsid w:val="001F52B3"/>
    <w:rsid w:val="001F61DA"/>
    <w:rsid w:val="001F6C97"/>
    <w:rsid w:val="001F756C"/>
    <w:rsid w:val="00201127"/>
    <w:rsid w:val="00203607"/>
    <w:rsid w:val="00206257"/>
    <w:rsid w:val="002067C5"/>
    <w:rsid w:val="00210E1C"/>
    <w:rsid w:val="00212BFB"/>
    <w:rsid w:val="00215CFA"/>
    <w:rsid w:val="0022027B"/>
    <w:rsid w:val="00220795"/>
    <w:rsid w:val="00221B78"/>
    <w:rsid w:val="002257DF"/>
    <w:rsid w:val="00226001"/>
    <w:rsid w:val="00230984"/>
    <w:rsid w:val="00231470"/>
    <w:rsid w:val="002315A0"/>
    <w:rsid w:val="002316FA"/>
    <w:rsid w:val="00233B50"/>
    <w:rsid w:val="00236A15"/>
    <w:rsid w:val="00237A8B"/>
    <w:rsid w:val="00241DE3"/>
    <w:rsid w:val="00245607"/>
    <w:rsid w:val="00247D3E"/>
    <w:rsid w:val="00250516"/>
    <w:rsid w:val="00250AEC"/>
    <w:rsid w:val="00251321"/>
    <w:rsid w:val="00254931"/>
    <w:rsid w:val="00254DDD"/>
    <w:rsid w:val="002559F6"/>
    <w:rsid w:val="00256776"/>
    <w:rsid w:val="00256F4F"/>
    <w:rsid w:val="00256F94"/>
    <w:rsid w:val="0025742D"/>
    <w:rsid w:val="002602A8"/>
    <w:rsid w:val="0026085E"/>
    <w:rsid w:val="0026315D"/>
    <w:rsid w:val="002633E2"/>
    <w:rsid w:val="00263E36"/>
    <w:rsid w:val="00264035"/>
    <w:rsid w:val="00264EEC"/>
    <w:rsid w:val="0026587A"/>
    <w:rsid w:val="0027222A"/>
    <w:rsid w:val="00273BC7"/>
    <w:rsid w:val="00277E7A"/>
    <w:rsid w:val="002801DC"/>
    <w:rsid w:val="002818F2"/>
    <w:rsid w:val="0028333F"/>
    <w:rsid w:val="0028555F"/>
    <w:rsid w:val="00285C8C"/>
    <w:rsid w:val="00287D86"/>
    <w:rsid w:val="00290349"/>
    <w:rsid w:val="002932AA"/>
    <w:rsid w:val="0029343B"/>
    <w:rsid w:val="00293A36"/>
    <w:rsid w:val="00296AD0"/>
    <w:rsid w:val="00297315"/>
    <w:rsid w:val="002A165D"/>
    <w:rsid w:val="002A2392"/>
    <w:rsid w:val="002A30CD"/>
    <w:rsid w:val="002A3292"/>
    <w:rsid w:val="002A386C"/>
    <w:rsid w:val="002A3ECC"/>
    <w:rsid w:val="002A4921"/>
    <w:rsid w:val="002A757E"/>
    <w:rsid w:val="002B0169"/>
    <w:rsid w:val="002B165E"/>
    <w:rsid w:val="002B3B8C"/>
    <w:rsid w:val="002B43EA"/>
    <w:rsid w:val="002B5427"/>
    <w:rsid w:val="002B5952"/>
    <w:rsid w:val="002B6093"/>
    <w:rsid w:val="002B6133"/>
    <w:rsid w:val="002C03A6"/>
    <w:rsid w:val="002C5DDF"/>
    <w:rsid w:val="002D00BE"/>
    <w:rsid w:val="002D078A"/>
    <w:rsid w:val="002D1A6A"/>
    <w:rsid w:val="002D2A08"/>
    <w:rsid w:val="002D2E7C"/>
    <w:rsid w:val="002D309D"/>
    <w:rsid w:val="002D48A8"/>
    <w:rsid w:val="002D5414"/>
    <w:rsid w:val="002D5A03"/>
    <w:rsid w:val="002D60F3"/>
    <w:rsid w:val="002D654A"/>
    <w:rsid w:val="002E1633"/>
    <w:rsid w:val="002E3536"/>
    <w:rsid w:val="002E3984"/>
    <w:rsid w:val="002E61C9"/>
    <w:rsid w:val="002F1A75"/>
    <w:rsid w:val="002F2C3A"/>
    <w:rsid w:val="002F506D"/>
    <w:rsid w:val="002F641F"/>
    <w:rsid w:val="002F64FB"/>
    <w:rsid w:val="002F79FF"/>
    <w:rsid w:val="0030157A"/>
    <w:rsid w:val="00301A30"/>
    <w:rsid w:val="00301F05"/>
    <w:rsid w:val="0030339A"/>
    <w:rsid w:val="00304243"/>
    <w:rsid w:val="0030440C"/>
    <w:rsid w:val="003051F1"/>
    <w:rsid w:val="0030554C"/>
    <w:rsid w:val="00310379"/>
    <w:rsid w:val="0031197C"/>
    <w:rsid w:val="00311E85"/>
    <w:rsid w:val="00312A9D"/>
    <w:rsid w:val="00313884"/>
    <w:rsid w:val="00316E64"/>
    <w:rsid w:val="0031739C"/>
    <w:rsid w:val="0032019D"/>
    <w:rsid w:val="00321C48"/>
    <w:rsid w:val="00323474"/>
    <w:rsid w:val="003237F2"/>
    <w:rsid w:val="00325852"/>
    <w:rsid w:val="00326771"/>
    <w:rsid w:val="00327D5E"/>
    <w:rsid w:val="00330155"/>
    <w:rsid w:val="00330568"/>
    <w:rsid w:val="003307A0"/>
    <w:rsid w:val="00332A8D"/>
    <w:rsid w:val="00333356"/>
    <w:rsid w:val="00334669"/>
    <w:rsid w:val="00336D06"/>
    <w:rsid w:val="003375ED"/>
    <w:rsid w:val="003407CB"/>
    <w:rsid w:val="00344159"/>
    <w:rsid w:val="00344CBF"/>
    <w:rsid w:val="0034579E"/>
    <w:rsid w:val="00347A96"/>
    <w:rsid w:val="00350AFD"/>
    <w:rsid w:val="00353019"/>
    <w:rsid w:val="0035361E"/>
    <w:rsid w:val="00354790"/>
    <w:rsid w:val="00355124"/>
    <w:rsid w:val="003552AA"/>
    <w:rsid w:val="00355603"/>
    <w:rsid w:val="00357C4B"/>
    <w:rsid w:val="00360D58"/>
    <w:rsid w:val="00362B69"/>
    <w:rsid w:val="00366371"/>
    <w:rsid w:val="003700F2"/>
    <w:rsid w:val="0037306A"/>
    <w:rsid w:val="00373E88"/>
    <w:rsid w:val="00375404"/>
    <w:rsid w:val="0038590A"/>
    <w:rsid w:val="00386667"/>
    <w:rsid w:val="0038747A"/>
    <w:rsid w:val="003904B7"/>
    <w:rsid w:val="00393116"/>
    <w:rsid w:val="00394CDD"/>
    <w:rsid w:val="00397E53"/>
    <w:rsid w:val="003A1762"/>
    <w:rsid w:val="003A1C84"/>
    <w:rsid w:val="003A4C08"/>
    <w:rsid w:val="003A7083"/>
    <w:rsid w:val="003A74ED"/>
    <w:rsid w:val="003B067C"/>
    <w:rsid w:val="003B2A78"/>
    <w:rsid w:val="003B4C23"/>
    <w:rsid w:val="003B5494"/>
    <w:rsid w:val="003B59A4"/>
    <w:rsid w:val="003B67C6"/>
    <w:rsid w:val="003B6A1F"/>
    <w:rsid w:val="003B7228"/>
    <w:rsid w:val="003C47F2"/>
    <w:rsid w:val="003C6DD2"/>
    <w:rsid w:val="003C7571"/>
    <w:rsid w:val="003D3F34"/>
    <w:rsid w:val="003D4E96"/>
    <w:rsid w:val="003D50A1"/>
    <w:rsid w:val="003D5DBE"/>
    <w:rsid w:val="003D7E47"/>
    <w:rsid w:val="003E6E16"/>
    <w:rsid w:val="003F03C2"/>
    <w:rsid w:val="003F2A44"/>
    <w:rsid w:val="003F4151"/>
    <w:rsid w:val="003F469C"/>
    <w:rsid w:val="003F5882"/>
    <w:rsid w:val="00401A77"/>
    <w:rsid w:val="004053FD"/>
    <w:rsid w:val="004070EF"/>
    <w:rsid w:val="0040756C"/>
    <w:rsid w:val="00411BFD"/>
    <w:rsid w:val="004122EC"/>
    <w:rsid w:val="00413E29"/>
    <w:rsid w:val="00414AF1"/>
    <w:rsid w:val="00416694"/>
    <w:rsid w:val="004168E1"/>
    <w:rsid w:val="00416AB8"/>
    <w:rsid w:val="00416E14"/>
    <w:rsid w:val="00416FE4"/>
    <w:rsid w:val="00423ECC"/>
    <w:rsid w:val="004260C9"/>
    <w:rsid w:val="00426131"/>
    <w:rsid w:val="0042696C"/>
    <w:rsid w:val="00430DAD"/>
    <w:rsid w:val="00430E98"/>
    <w:rsid w:val="004311F9"/>
    <w:rsid w:val="00433717"/>
    <w:rsid w:val="0043500C"/>
    <w:rsid w:val="004377F6"/>
    <w:rsid w:val="004404AE"/>
    <w:rsid w:val="004430EC"/>
    <w:rsid w:val="00444BFD"/>
    <w:rsid w:val="004453C7"/>
    <w:rsid w:val="004474A5"/>
    <w:rsid w:val="0044767E"/>
    <w:rsid w:val="0045069F"/>
    <w:rsid w:val="004507F3"/>
    <w:rsid w:val="00451016"/>
    <w:rsid w:val="004516B4"/>
    <w:rsid w:val="00452248"/>
    <w:rsid w:val="004529BA"/>
    <w:rsid w:val="00454A54"/>
    <w:rsid w:val="00455811"/>
    <w:rsid w:val="00456AAC"/>
    <w:rsid w:val="004570A8"/>
    <w:rsid w:val="00457167"/>
    <w:rsid w:val="004575C6"/>
    <w:rsid w:val="00462460"/>
    <w:rsid w:val="00463218"/>
    <w:rsid w:val="004640E0"/>
    <w:rsid w:val="0046555A"/>
    <w:rsid w:val="0046719D"/>
    <w:rsid w:val="00467D43"/>
    <w:rsid w:val="004716DF"/>
    <w:rsid w:val="0047361D"/>
    <w:rsid w:val="00480ABD"/>
    <w:rsid w:val="00480AF1"/>
    <w:rsid w:val="004810F2"/>
    <w:rsid w:val="00481C32"/>
    <w:rsid w:val="00484B8D"/>
    <w:rsid w:val="004851F4"/>
    <w:rsid w:val="0048530D"/>
    <w:rsid w:val="0049306D"/>
    <w:rsid w:val="00493847"/>
    <w:rsid w:val="00495323"/>
    <w:rsid w:val="004956B7"/>
    <w:rsid w:val="00496D75"/>
    <w:rsid w:val="004A00AE"/>
    <w:rsid w:val="004A4767"/>
    <w:rsid w:val="004A51C9"/>
    <w:rsid w:val="004A5300"/>
    <w:rsid w:val="004B11AF"/>
    <w:rsid w:val="004B2895"/>
    <w:rsid w:val="004B4756"/>
    <w:rsid w:val="004B560B"/>
    <w:rsid w:val="004B5C02"/>
    <w:rsid w:val="004C0F7E"/>
    <w:rsid w:val="004C218C"/>
    <w:rsid w:val="004C2CAD"/>
    <w:rsid w:val="004D0057"/>
    <w:rsid w:val="004D00CB"/>
    <w:rsid w:val="004D09CC"/>
    <w:rsid w:val="004D15E3"/>
    <w:rsid w:val="004D1B34"/>
    <w:rsid w:val="004D222E"/>
    <w:rsid w:val="004D4D0D"/>
    <w:rsid w:val="004D56F9"/>
    <w:rsid w:val="004D58E0"/>
    <w:rsid w:val="004E059C"/>
    <w:rsid w:val="004E5775"/>
    <w:rsid w:val="004E5777"/>
    <w:rsid w:val="004E7CCE"/>
    <w:rsid w:val="004E7E5C"/>
    <w:rsid w:val="004F09DE"/>
    <w:rsid w:val="004F16C5"/>
    <w:rsid w:val="004F1F25"/>
    <w:rsid w:val="004F3660"/>
    <w:rsid w:val="004F40B4"/>
    <w:rsid w:val="004F67BF"/>
    <w:rsid w:val="00502498"/>
    <w:rsid w:val="0050321F"/>
    <w:rsid w:val="00504638"/>
    <w:rsid w:val="00511C03"/>
    <w:rsid w:val="00512816"/>
    <w:rsid w:val="00515017"/>
    <w:rsid w:val="00516372"/>
    <w:rsid w:val="0052284B"/>
    <w:rsid w:val="00523FA5"/>
    <w:rsid w:val="005241E5"/>
    <w:rsid w:val="005271B5"/>
    <w:rsid w:val="005300D1"/>
    <w:rsid w:val="00530BF0"/>
    <w:rsid w:val="00533562"/>
    <w:rsid w:val="00540070"/>
    <w:rsid w:val="00543264"/>
    <w:rsid w:val="00543DBE"/>
    <w:rsid w:val="00544C6B"/>
    <w:rsid w:val="005477CD"/>
    <w:rsid w:val="00551108"/>
    <w:rsid w:val="0055250E"/>
    <w:rsid w:val="005553EA"/>
    <w:rsid w:val="00555BE2"/>
    <w:rsid w:val="0055655F"/>
    <w:rsid w:val="00567AE0"/>
    <w:rsid w:val="0057321B"/>
    <w:rsid w:val="005733BC"/>
    <w:rsid w:val="005774FC"/>
    <w:rsid w:val="0058156B"/>
    <w:rsid w:val="00582B78"/>
    <w:rsid w:val="00583765"/>
    <w:rsid w:val="005850A3"/>
    <w:rsid w:val="005876A9"/>
    <w:rsid w:val="005907C9"/>
    <w:rsid w:val="0059215D"/>
    <w:rsid w:val="0059264B"/>
    <w:rsid w:val="00592DDC"/>
    <w:rsid w:val="00595937"/>
    <w:rsid w:val="00596670"/>
    <w:rsid w:val="00597BB3"/>
    <w:rsid w:val="005A6095"/>
    <w:rsid w:val="005A690C"/>
    <w:rsid w:val="005A7112"/>
    <w:rsid w:val="005A72C8"/>
    <w:rsid w:val="005B00CD"/>
    <w:rsid w:val="005B2CCF"/>
    <w:rsid w:val="005B3D89"/>
    <w:rsid w:val="005B60E7"/>
    <w:rsid w:val="005C089E"/>
    <w:rsid w:val="005C52BB"/>
    <w:rsid w:val="005C67DF"/>
    <w:rsid w:val="005C682A"/>
    <w:rsid w:val="005D099E"/>
    <w:rsid w:val="005D0C68"/>
    <w:rsid w:val="005D2BD8"/>
    <w:rsid w:val="005D31AA"/>
    <w:rsid w:val="005D3FF7"/>
    <w:rsid w:val="005D4C14"/>
    <w:rsid w:val="005D4E76"/>
    <w:rsid w:val="005D6060"/>
    <w:rsid w:val="005E0800"/>
    <w:rsid w:val="005E2111"/>
    <w:rsid w:val="005E29E5"/>
    <w:rsid w:val="005E35C0"/>
    <w:rsid w:val="005E3B8E"/>
    <w:rsid w:val="005E63F1"/>
    <w:rsid w:val="005E7864"/>
    <w:rsid w:val="005E7B4A"/>
    <w:rsid w:val="005F15FD"/>
    <w:rsid w:val="005F2033"/>
    <w:rsid w:val="005F3E8E"/>
    <w:rsid w:val="005F4E1C"/>
    <w:rsid w:val="005F5283"/>
    <w:rsid w:val="005F5298"/>
    <w:rsid w:val="005F62BC"/>
    <w:rsid w:val="005F662C"/>
    <w:rsid w:val="005F6C23"/>
    <w:rsid w:val="005F7569"/>
    <w:rsid w:val="00600EA2"/>
    <w:rsid w:val="006020C6"/>
    <w:rsid w:val="0060290A"/>
    <w:rsid w:val="0060437C"/>
    <w:rsid w:val="00605E18"/>
    <w:rsid w:val="00613695"/>
    <w:rsid w:val="00615C6D"/>
    <w:rsid w:val="006163CE"/>
    <w:rsid w:val="00617A64"/>
    <w:rsid w:val="00617E55"/>
    <w:rsid w:val="00620383"/>
    <w:rsid w:val="00620CE5"/>
    <w:rsid w:val="006223CE"/>
    <w:rsid w:val="006248CD"/>
    <w:rsid w:val="0062548F"/>
    <w:rsid w:val="00631DE2"/>
    <w:rsid w:val="00632C13"/>
    <w:rsid w:val="0063304C"/>
    <w:rsid w:val="00634B26"/>
    <w:rsid w:val="0063607D"/>
    <w:rsid w:val="0063772F"/>
    <w:rsid w:val="00641005"/>
    <w:rsid w:val="0064371A"/>
    <w:rsid w:val="00644626"/>
    <w:rsid w:val="00645F51"/>
    <w:rsid w:val="0065243D"/>
    <w:rsid w:val="006524F6"/>
    <w:rsid w:val="006526EF"/>
    <w:rsid w:val="00652D2E"/>
    <w:rsid w:val="006545CC"/>
    <w:rsid w:val="00656C0D"/>
    <w:rsid w:val="0065782F"/>
    <w:rsid w:val="006605AD"/>
    <w:rsid w:val="00660AFA"/>
    <w:rsid w:val="006625D8"/>
    <w:rsid w:val="00667C3B"/>
    <w:rsid w:val="00670511"/>
    <w:rsid w:val="006732B3"/>
    <w:rsid w:val="006733AF"/>
    <w:rsid w:val="00674E01"/>
    <w:rsid w:val="006801B4"/>
    <w:rsid w:val="00681416"/>
    <w:rsid w:val="0068275E"/>
    <w:rsid w:val="006830C2"/>
    <w:rsid w:val="00683B8C"/>
    <w:rsid w:val="00690EE3"/>
    <w:rsid w:val="00691DF9"/>
    <w:rsid w:val="00691F93"/>
    <w:rsid w:val="006949D0"/>
    <w:rsid w:val="00695E5A"/>
    <w:rsid w:val="0069642D"/>
    <w:rsid w:val="0069661F"/>
    <w:rsid w:val="006A0A80"/>
    <w:rsid w:val="006A1A03"/>
    <w:rsid w:val="006A1E6F"/>
    <w:rsid w:val="006A23F5"/>
    <w:rsid w:val="006A3CDB"/>
    <w:rsid w:val="006A5963"/>
    <w:rsid w:val="006A7267"/>
    <w:rsid w:val="006A7347"/>
    <w:rsid w:val="006A7917"/>
    <w:rsid w:val="006B0B98"/>
    <w:rsid w:val="006B1222"/>
    <w:rsid w:val="006B24CB"/>
    <w:rsid w:val="006B29D3"/>
    <w:rsid w:val="006B454C"/>
    <w:rsid w:val="006B4B86"/>
    <w:rsid w:val="006B5535"/>
    <w:rsid w:val="006C021A"/>
    <w:rsid w:val="006C3983"/>
    <w:rsid w:val="006C3BC5"/>
    <w:rsid w:val="006C48A9"/>
    <w:rsid w:val="006C4CB1"/>
    <w:rsid w:val="006C4FB5"/>
    <w:rsid w:val="006C538B"/>
    <w:rsid w:val="006C5EE5"/>
    <w:rsid w:val="006D4276"/>
    <w:rsid w:val="006D6E0D"/>
    <w:rsid w:val="006D7A1F"/>
    <w:rsid w:val="006E18DF"/>
    <w:rsid w:val="006E2509"/>
    <w:rsid w:val="006E2C0D"/>
    <w:rsid w:val="006E2ECC"/>
    <w:rsid w:val="006E66BA"/>
    <w:rsid w:val="006F0BB1"/>
    <w:rsid w:val="006F616A"/>
    <w:rsid w:val="006F6FAF"/>
    <w:rsid w:val="00700C06"/>
    <w:rsid w:val="00700FA8"/>
    <w:rsid w:val="00704703"/>
    <w:rsid w:val="00707C01"/>
    <w:rsid w:val="007106F2"/>
    <w:rsid w:val="00713333"/>
    <w:rsid w:val="0071537C"/>
    <w:rsid w:val="00715B30"/>
    <w:rsid w:val="0071713C"/>
    <w:rsid w:val="00717225"/>
    <w:rsid w:val="007172BB"/>
    <w:rsid w:val="00720412"/>
    <w:rsid w:val="007224AF"/>
    <w:rsid w:val="007224FB"/>
    <w:rsid w:val="007238D3"/>
    <w:rsid w:val="007244D4"/>
    <w:rsid w:val="007257CF"/>
    <w:rsid w:val="00726329"/>
    <w:rsid w:val="00731BDD"/>
    <w:rsid w:val="00733DBF"/>
    <w:rsid w:val="007358B9"/>
    <w:rsid w:val="0073625C"/>
    <w:rsid w:val="0073755E"/>
    <w:rsid w:val="00737C03"/>
    <w:rsid w:val="00737C36"/>
    <w:rsid w:val="00741006"/>
    <w:rsid w:val="00743A73"/>
    <w:rsid w:val="00743ED8"/>
    <w:rsid w:val="00744F31"/>
    <w:rsid w:val="007454BA"/>
    <w:rsid w:val="00745D46"/>
    <w:rsid w:val="00750171"/>
    <w:rsid w:val="007529DD"/>
    <w:rsid w:val="007556FF"/>
    <w:rsid w:val="00756E60"/>
    <w:rsid w:val="00762FAD"/>
    <w:rsid w:val="00766E76"/>
    <w:rsid w:val="00767842"/>
    <w:rsid w:val="007730EB"/>
    <w:rsid w:val="0077477D"/>
    <w:rsid w:val="0077539D"/>
    <w:rsid w:val="00775E68"/>
    <w:rsid w:val="00781124"/>
    <w:rsid w:val="00782C46"/>
    <w:rsid w:val="00783D90"/>
    <w:rsid w:val="00783F0A"/>
    <w:rsid w:val="007868F1"/>
    <w:rsid w:val="0079242E"/>
    <w:rsid w:val="00793BBD"/>
    <w:rsid w:val="0079479A"/>
    <w:rsid w:val="00796FF6"/>
    <w:rsid w:val="00797AA6"/>
    <w:rsid w:val="007A05DF"/>
    <w:rsid w:val="007A4AAB"/>
    <w:rsid w:val="007A6087"/>
    <w:rsid w:val="007A6BB5"/>
    <w:rsid w:val="007B0D1B"/>
    <w:rsid w:val="007B187E"/>
    <w:rsid w:val="007B212C"/>
    <w:rsid w:val="007B51B6"/>
    <w:rsid w:val="007B5AF9"/>
    <w:rsid w:val="007B6256"/>
    <w:rsid w:val="007B7357"/>
    <w:rsid w:val="007C13FB"/>
    <w:rsid w:val="007C1BD7"/>
    <w:rsid w:val="007C4477"/>
    <w:rsid w:val="007C477B"/>
    <w:rsid w:val="007C53B3"/>
    <w:rsid w:val="007C5520"/>
    <w:rsid w:val="007D1DDA"/>
    <w:rsid w:val="007D237E"/>
    <w:rsid w:val="007D6A08"/>
    <w:rsid w:val="007D7849"/>
    <w:rsid w:val="007E1934"/>
    <w:rsid w:val="007E4865"/>
    <w:rsid w:val="007E5204"/>
    <w:rsid w:val="007E6C63"/>
    <w:rsid w:val="007E7460"/>
    <w:rsid w:val="007F037D"/>
    <w:rsid w:val="007F5F29"/>
    <w:rsid w:val="007F638B"/>
    <w:rsid w:val="007F7665"/>
    <w:rsid w:val="007F7B3D"/>
    <w:rsid w:val="008011ED"/>
    <w:rsid w:val="008028DE"/>
    <w:rsid w:val="00806577"/>
    <w:rsid w:val="008117EF"/>
    <w:rsid w:val="00811C8F"/>
    <w:rsid w:val="008125D6"/>
    <w:rsid w:val="00816282"/>
    <w:rsid w:val="00816889"/>
    <w:rsid w:val="00817868"/>
    <w:rsid w:val="00821CAA"/>
    <w:rsid w:val="00821E3D"/>
    <w:rsid w:val="00823A5D"/>
    <w:rsid w:val="0082595F"/>
    <w:rsid w:val="008275F5"/>
    <w:rsid w:val="0083091E"/>
    <w:rsid w:val="00830B68"/>
    <w:rsid w:val="00831995"/>
    <w:rsid w:val="0083263A"/>
    <w:rsid w:val="00834908"/>
    <w:rsid w:val="00834928"/>
    <w:rsid w:val="00840447"/>
    <w:rsid w:val="008404D5"/>
    <w:rsid w:val="008409FA"/>
    <w:rsid w:val="00841FEA"/>
    <w:rsid w:val="00844F8E"/>
    <w:rsid w:val="008459A3"/>
    <w:rsid w:val="008513CF"/>
    <w:rsid w:val="0085308B"/>
    <w:rsid w:val="0085362A"/>
    <w:rsid w:val="00854F51"/>
    <w:rsid w:val="0086056E"/>
    <w:rsid w:val="008608B0"/>
    <w:rsid w:val="008611F5"/>
    <w:rsid w:val="008618A1"/>
    <w:rsid w:val="00861E33"/>
    <w:rsid w:val="00862912"/>
    <w:rsid w:val="00864AD3"/>
    <w:rsid w:val="008657B8"/>
    <w:rsid w:val="00866DD9"/>
    <w:rsid w:val="00873BF2"/>
    <w:rsid w:val="00875E45"/>
    <w:rsid w:val="00880BB4"/>
    <w:rsid w:val="00880E28"/>
    <w:rsid w:val="00880F03"/>
    <w:rsid w:val="0088145F"/>
    <w:rsid w:val="00891B83"/>
    <w:rsid w:val="00893FDC"/>
    <w:rsid w:val="008944F8"/>
    <w:rsid w:val="008948DD"/>
    <w:rsid w:val="0089519C"/>
    <w:rsid w:val="00895BFB"/>
    <w:rsid w:val="008A2985"/>
    <w:rsid w:val="008A42E8"/>
    <w:rsid w:val="008A47C0"/>
    <w:rsid w:val="008A5346"/>
    <w:rsid w:val="008A677F"/>
    <w:rsid w:val="008A7A71"/>
    <w:rsid w:val="008B3D51"/>
    <w:rsid w:val="008B47C3"/>
    <w:rsid w:val="008B4980"/>
    <w:rsid w:val="008B5D83"/>
    <w:rsid w:val="008B76F5"/>
    <w:rsid w:val="008B7904"/>
    <w:rsid w:val="008B7DA7"/>
    <w:rsid w:val="008C04CB"/>
    <w:rsid w:val="008C0C79"/>
    <w:rsid w:val="008C192B"/>
    <w:rsid w:val="008C30EB"/>
    <w:rsid w:val="008C56C3"/>
    <w:rsid w:val="008C679A"/>
    <w:rsid w:val="008C6846"/>
    <w:rsid w:val="008C6AA5"/>
    <w:rsid w:val="008C7766"/>
    <w:rsid w:val="008D0A26"/>
    <w:rsid w:val="008D2478"/>
    <w:rsid w:val="008D2674"/>
    <w:rsid w:val="008D2768"/>
    <w:rsid w:val="008D5832"/>
    <w:rsid w:val="008D69FD"/>
    <w:rsid w:val="008D75BA"/>
    <w:rsid w:val="008D76A5"/>
    <w:rsid w:val="008E0270"/>
    <w:rsid w:val="008E13F4"/>
    <w:rsid w:val="008E2584"/>
    <w:rsid w:val="008E2FF8"/>
    <w:rsid w:val="008E5120"/>
    <w:rsid w:val="008F1C93"/>
    <w:rsid w:val="008F23B9"/>
    <w:rsid w:val="008F42A8"/>
    <w:rsid w:val="008F4583"/>
    <w:rsid w:val="008F5574"/>
    <w:rsid w:val="008F5E63"/>
    <w:rsid w:val="008F5E7D"/>
    <w:rsid w:val="008F73A4"/>
    <w:rsid w:val="008F745A"/>
    <w:rsid w:val="009029BB"/>
    <w:rsid w:val="009030A6"/>
    <w:rsid w:val="009036B8"/>
    <w:rsid w:val="00907A5B"/>
    <w:rsid w:val="00910829"/>
    <w:rsid w:val="00910CA2"/>
    <w:rsid w:val="00916020"/>
    <w:rsid w:val="0092049C"/>
    <w:rsid w:val="0092202A"/>
    <w:rsid w:val="00922A4D"/>
    <w:rsid w:val="00922BD4"/>
    <w:rsid w:val="00923B8A"/>
    <w:rsid w:val="00924BFB"/>
    <w:rsid w:val="00924DF2"/>
    <w:rsid w:val="00926154"/>
    <w:rsid w:val="0093107F"/>
    <w:rsid w:val="00931D00"/>
    <w:rsid w:val="009324CC"/>
    <w:rsid w:val="0093313B"/>
    <w:rsid w:val="00934272"/>
    <w:rsid w:val="00936349"/>
    <w:rsid w:val="00940CF6"/>
    <w:rsid w:val="00944AD4"/>
    <w:rsid w:val="00945531"/>
    <w:rsid w:val="009455E0"/>
    <w:rsid w:val="00945F0E"/>
    <w:rsid w:val="009464A9"/>
    <w:rsid w:val="009478E5"/>
    <w:rsid w:val="00952269"/>
    <w:rsid w:val="00954191"/>
    <w:rsid w:val="00954691"/>
    <w:rsid w:val="00954D0A"/>
    <w:rsid w:val="00956026"/>
    <w:rsid w:val="00956E65"/>
    <w:rsid w:val="00960E6D"/>
    <w:rsid w:val="00961E55"/>
    <w:rsid w:val="00963EB2"/>
    <w:rsid w:val="0096605B"/>
    <w:rsid w:val="00966CEB"/>
    <w:rsid w:val="00967AC9"/>
    <w:rsid w:val="00972436"/>
    <w:rsid w:val="00973E60"/>
    <w:rsid w:val="00974FE8"/>
    <w:rsid w:val="009813F5"/>
    <w:rsid w:val="00981FC6"/>
    <w:rsid w:val="00983187"/>
    <w:rsid w:val="00985664"/>
    <w:rsid w:val="00985733"/>
    <w:rsid w:val="0098583D"/>
    <w:rsid w:val="00986132"/>
    <w:rsid w:val="009931A2"/>
    <w:rsid w:val="00993238"/>
    <w:rsid w:val="00993541"/>
    <w:rsid w:val="00996CD0"/>
    <w:rsid w:val="00997898"/>
    <w:rsid w:val="009A35FD"/>
    <w:rsid w:val="009B0BC2"/>
    <w:rsid w:val="009B2192"/>
    <w:rsid w:val="009B4252"/>
    <w:rsid w:val="009B49EB"/>
    <w:rsid w:val="009B4A74"/>
    <w:rsid w:val="009B56C2"/>
    <w:rsid w:val="009B5823"/>
    <w:rsid w:val="009C06F4"/>
    <w:rsid w:val="009C0A9C"/>
    <w:rsid w:val="009C33B1"/>
    <w:rsid w:val="009C7448"/>
    <w:rsid w:val="009C7BBD"/>
    <w:rsid w:val="009D1501"/>
    <w:rsid w:val="009D35D2"/>
    <w:rsid w:val="009D3856"/>
    <w:rsid w:val="009D77E9"/>
    <w:rsid w:val="009E1C5A"/>
    <w:rsid w:val="009E3AFD"/>
    <w:rsid w:val="009E534F"/>
    <w:rsid w:val="009E567A"/>
    <w:rsid w:val="009E65A1"/>
    <w:rsid w:val="009F2FBA"/>
    <w:rsid w:val="009F4F63"/>
    <w:rsid w:val="009F5701"/>
    <w:rsid w:val="009F73AD"/>
    <w:rsid w:val="009F7969"/>
    <w:rsid w:val="00A024C1"/>
    <w:rsid w:val="00A05188"/>
    <w:rsid w:val="00A05E8C"/>
    <w:rsid w:val="00A062D1"/>
    <w:rsid w:val="00A10646"/>
    <w:rsid w:val="00A111C1"/>
    <w:rsid w:val="00A125BD"/>
    <w:rsid w:val="00A146FD"/>
    <w:rsid w:val="00A14863"/>
    <w:rsid w:val="00A15F98"/>
    <w:rsid w:val="00A22AC4"/>
    <w:rsid w:val="00A2460D"/>
    <w:rsid w:val="00A24A1D"/>
    <w:rsid w:val="00A24DBD"/>
    <w:rsid w:val="00A2648F"/>
    <w:rsid w:val="00A27653"/>
    <w:rsid w:val="00A34FB2"/>
    <w:rsid w:val="00A36140"/>
    <w:rsid w:val="00A40426"/>
    <w:rsid w:val="00A404A1"/>
    <w:rsid w:val="00A4120B"/>
    <w:rsid w:val="00A42FA3"/>
    <w:rsid w:val="00A46740"/>
    <w:rsid w:val="00A46DA8"/>
    <w:rsid w:val="00A47B86"/>
    <w:rsid w:val="00A521BD"/>
    <w:rsid w:val="00A55321"/>
    <w:rsid w:val="00A55B17"/>
    <w:rsid w:val="00A562CD"/>
    <w:rsid w:val="00A601A4"/>
    <w:rsid w:val="00A61F0F"/>
    <w:rsid w:val="00A65F19"/>
    <w:rsid w:val="00A676D8"/>
    <w:rsid w:val="00A72338"/>
    <w:rsid w:val="00A750C1"/>
    <w:rsid w:val="00A8351E"/>
    <w:rsid w:val="00A8676E"/>
    <w:rsid w:val="00A874EE"/>
    <w:rsid w:val="00A87549"/>
    <w:rsid w:val="00A93F06"/>
    <w:rsid w:val="00A940E2"/>
    <w:rsid w:val="00A94B75"/>
    <w:rsid w:val="00A94C5E"/>
    <w:rsid w:val="00A95894"/>
    <w:rsid w:val="00A9631A"/>
    <w:rsid w:val="00A966D0"/>
    <w:rsid w:val="00AA1908"/>
    <w:rsid w:val="00AA50D4"/>
    <w:rsid w:val="00AA5850"/>
    <w:rsid w:val="00AA649E"/>
    <w:rsid w:val="00AA6B8C"/>
    <w:rsid w:val="00AA7FEC"/>
    <w:rsid w:val="00AB508E"/>
    <w:rsid w:val="00AB5429"/>
    <w:rsid w:val="00AC0121"/>
    <w:rsid w:val="00AC0152"/>
    <w:rsid w:val="00AC03BA"/>
    <w:rsid w:val="00AC0944"/>
    <w:rsid w:val="00AC0D62"/>
    <w:rsid w:val="00AC393C"/>
    <w:rsid w:val="00AC4336"/>
    <w:rsid w:val="00AC7EF4"/>
    <w:rsid w:val="00AD1584"/>
    <w:rsid w:val="00AD3AE0"/>
    <w:rsid w:val="00AD62A4"/>
    <w:rsid w:val="00AD6368"/>
    <w:rsid w:val="00AD75DC"/>
    <w:rsid w:val="00AE0112"/>
    <w:rsid w:val="00AE149A"/>
    <w:rsid w:val="00AE2F53"/>
    <w:rsid w:val="00AE32A6"/>
    <w:rsid w:val="00AE344B"/>
    <w:rsid w:val="00AE360E"/>
    <w:rsid w:val="00AE74E9"/>
    <w:rsid w:val="00AF13CA"/>
    <w:rsid w:val="00AF2E73"/>
    <w:rsid w:val="00AF31A6"/>
    <w:rsid w:val="00AF37EF"/>
    <w:rsid w:val="00AF3C06"/>
    <w:rsid w:val="00AF59DB"/>
    <w:rsid w:val="00AF5D28"/>
    <w:rsid w:val="00AF78FC"/>
    <w:rsid w:val="00B01DC1"/>
    <w:rsid w:val="00B05C64"/>
    <w:rsid w:val="00B06F8B"/>
    <w:rsid w:val="00B1071C"/>
    <w:rsid w:val="00B116D9"/>
    <w:rsid w:val="00B11DA7"/>
    <w:rsid w:val="00B1500E"/>
    <w:rsid w:val="00B15899"/>
    <w:rsid w:val="00B16927"/>
    <w:rsid w:val="00B16F07"/>
    <w:rsid w:val="00B16FB0"/>
    <w:rsid w:val="00B210A5"/>
    <w:rsid w:val="00B23DCC"/>
    <w:rsid w:val="00B25A79"/>
    <w:rsid w:val="00B26943"/>
    <w:rsid w:val="00B30E56"/>
    <w:rsid w:val="00B323F4"/>
    <w:rsid w:val="00B34B48"/>
    <w:rsid w:val="00B35341"/>
    <w:rsid w:val="00B354A1"/>
    <w:rsid w:val="00B355B9"/>
    <w:rsid w:val="00B3639A"/>
    <w:rsid w:val="00B3754B"/>
    <w:rsid w:val="00B377E6"/>
    <w:rsid w:val="00B40AC7"/>
    <w:rsid w:val="00B40F34"/>
    <w:rsid w:val="00B42A4C"/>
    <w:rsid w:val="00B43215"/>
    <w:rsid w:val="00B4367E"/>
    <w:rsid w:val="00B43B8E"/>
    <w:rsid w:val="00B457B1"/>
    <w:rsid w:val="00B46B97"/>
    <w:rsid w:val="00B47F7E"/>
    <w:rsid w:val="00B502FE"/>
    <w:rsid w:val="00B50AFB"/>
    <w:rsid w:val="00B50BD0"/>
    <w:rsid w:val="00B518ED"/>
    <w:rsid w:val="00B533AE"/>
    <w:rsid w:val="00B537E2"/>
    <w:rsid w:val="00B56C71"/>
    <w:rsid w:val="00B572D4"/>
    <w:rsid w:val="00B619D8"/>
    <w:rsid w:val="00B620CE"/>
    <w:rsid w:val="00B62867"/>
    <w:rsid w:val="00B628A4"/>
    <w:rsid w:val="00B628B7"/>
    <w:rsid w:val="00B64E78"/>
    <w:rsid w:val="00B66550"/>
    <w:rsid w:val="00B67006"/>
    <w:rsid w:val="00B70A1C"/>
    <w:rsid w:val="00B70F98"/>
    <w:rsid w:val="00B71095"/>
    <w:rsid w:val="00B733B6"/>
    <w:rsid w:val="00B85E2B"/>
    <w:rsid w:val="00B87FE4"/>
    <w:rsid w:val="00B90718"/>
    <w:rsid w:val="00B90916"/>
    <w:rsid w:val="00B91BC7"/>
    <w:rsid w:val="00B91BD2"/>
    <w:rsid w:val="00B9240F"/>
    <w:rsid w:val="00B936B5"/>
    <w:rsid w:val="00B9384D"/>
    <w:rsid w:val="00B93B23"/>
    <w:rsid w:val="00B9538B"/>
    <w:rsid w:val="00B9652F"/>
    <w:rsid w:val="00BA0010"/>
    <w:rsid w:val="00BA0D2B"/>
    <w:rsid w:val="00BA140C"/>
    <w:rsid w:val="00BA22B5"/>
    <w:rsid w:val="00BA2692"/>
    <w:rsid w:val="00BA2A73"/>
    <w:rsid w:val="00BB2224"/>
    <w:rsid w:val="00BB4D83"/>
    <w:rsid w:val="00BC26B4"/>
    <w:rsid w:val="00BC6EE6"/>
    <w:rsid w:val="00BC708D"/>
    <w:rsid w:val="00BC7D02"/>
    <w:rsid w:val="00BD036F"/>
    <w:rsid w:val="00BD5842"/>
    <w:rsid w:val="00BD5B01"/>
    <w:rsid w:val="00BD66E4"/>
    <w:rsid w:val="00BD7D1F"/>
    <w:rsid w:val="00BE2CE4"/>
    <w:rsid w:val="00BE3047"/>
    <w:rsid w:val="00BE330F"/>
    <w:rsid w:val="00BE3B5C"/>
    <w:rsid w:val="00BE4749"/>
    <w:rsid w:val="00BE590C"/>
    <w:rsid w:val="00BE5FEE"/>
    <w:rsid w:val="00BE6274"/>
    <w:rsid w:val="00BE6B14"/>
    <w:rsid w:val="00BE761D"/>
    <w:rsid w:val="00BF0394"/>
    <w:rsid w:val="00BF0755"/>
    <w:rsid w:val="00BF100E"/>
    <w:rsid w:val="00BF23A9"/>
    <w:rsid w:val="00BF3D8E"/>
    <w:rsid w:val="00BF50BE"/>
    <w:rsid w:val="00BF5700"/>
    <w:rsid w:val="00BF64C7"/>
    <w:rsid w:val="00BF67B5"/>
    <w:rsid w:val="00C01D83"/>
    <w:rsid w:val="00C0468D"/>
    <w:rsid w:val="00C053BB"/>
    <w:rsid w:val="00C10555"/>
    <w:rsid w:val="00C10C5E"/>
    <w:rsid w:val="00C10E98"/>
    <w:rsid w:val="00C119C6"/>
    <w:rsid w:val="00C12B46"/>
    <w:rsid w:val="00C15AD1"/>
    <w:rsid w:val="00C15E69"/>
    <w:rsid w:val="00C16BA4"/>
    <w:rsid w:val="00C2040E"/>
    <w:rsid w:val="00C212BC"/>
    <w:rsid w:val="00C229E5"/>
    <w:rsid w:val="00C22C5A"/>
    <w:rsid w:val="00C23F42"/>
    <w:rsid w:val="00C25149"/>
    <w:rsid w:val="00C30E6B"/>
    <w:rsid w:val="00C31CE6"/>
    <w:rsid w:val="00C34B2B"/>
    <w:rsid w:val="00C34EEC"/>
    <w:rsid w:val="00C35597"/>
    <w:rsid w:val="00C36863"/>
    <w:rsid w:val="00C3767A"/>
    <w:rsid w:val="00C41249"/>
    <w:rsid w:val="00C42C7F"/>
    <w:rsid w:val="00C45E3B"/>
    <w:rsid w:val="00C46746"/>
    <w:rsid w:val="00C468D7"/>
    <w:rsid w:val="00C471DC"/>
    <w:rsid w:val="00C51294"/>
    <w:rsid w:val="00C5740A"/>
    <w:rsid w:val="00C61C26"/>
    <w:rsid w:val="00C63A10"/>
    <w:rsid w:val="00C64EB1"/>
    <w:rsid w:val="00C65F2A"/>
    <w:rsid w:val="00C70360"/>
    <w:rsid w:val="00C71D31"/>
    <w:rsid w:val="00C72797"/>
    <w:rsid w:val="00C727F7"/>
    <w:rsid w:val="00C73677"/>
    <w:rsid w:val="00C73BC0"/>
    <w:rsid w:val="00C75002"/>
    <w:rsid w:val="00C765BB"/>
    <w:rsid w:val="00C773D6"/>
    <w:rsid w:val="00C80AA8"/>
    <w:rsid w:val="00C81395"/>
    <w:rsid w:val="00C82CC0"/>
    <w:rsid w:val="00C83185"/>
    <w:rsid w:val="00C848F1"/>
    <w:rsid w:val="00C86929"/>
    <w:rsid w:val="00C90BBB"/>
    <w:rsid w:val="00C92612"/>
    <w:rsid w:val="00C92F9E"/>
    <w:rsid w:val="00C93A1F"/>
    <w:rsid w:val="00C943D3"/>
    <w:rsid w:val="00C955AD"/>
    <w:rsid w:val="00C97570"/>
    <w:rsid w:val="00C978BF"/>
    <w:rsid w:val="00CA3082"/>
    <w:rsid w:val="00CA5B34"/>
    <w:rsid w:val="00CA7A42"/>
    <w:rsid w:val="00CB0530"/>
    <w:rsid w:val="00CB165C"/>
    <w:rsid w:val="00CB1FC2"/>
    <w:rsid w:val="00CB271F"/>
    <w:rsid w:val="00CB6258"/>
    <w:rsid w:val="00CC03F3"/>
    <w:rsid w:val="00CC3356"/>
    <w:rsid w:val="00CC37DE"/>
    <w:rsid w:val="00CC4644"/>
    <w:rsid w:val="00CC4E6B"/>
    <w:rsid w:val="00CC57C0"/>
    <w:rsid w:val="00CC63AD"/>
    <w:rsid w:val="00CC6B60"/>
    <w:rsid w:val="00CD1A0D"/>
    <w:rsid w:val="00CD7BA8"/>
    <w:rsid w:val="00CE0466"/>
    <w:rsid w:val="00CE0D11"/>
    <w:rsid w:val="00CE2BE5"/>
    <w:rsid w:val="00CE43ED"/>
    <w:rsid w:val="00CE6907"/>
    <w:rsid w:val="00CE72D4"/>
    <w:rsid w:val="00CF1B21"/>
    <w:rsid w:val="00CF2AF7"/>
    <w:rsid w:val="00CF2CAD"/>
    <w:rsid w:val="00CF2FCE"/>
    <w:rsid w:val="00CF3D9F"/>
    <w:rsid w:val="00CF41A1"/>
    <w:rsid w:val="00CF6980"/>
    <w:rsid w:val="00CF7305"/>
    <w:rsid w:val="00CF7CED"/>
    <w:rsid w:val="00D003A1"/>
    <w:rsid w:val="00D01352"/>
    <w:rsid w:val="00D069EC"/>
    <w:rsid w:val="00D07CCE"/>
    <w:rsid w:val="00D10172"/>
    <w:rsid w:val="00D102F9"/>
    <w:rsid w:val="00D11319"/>
    <w:rsid w:val="00D12D39"/>
    <w:rsid w:val="00D15DD8"/>
    <w:rsid w:val="00D163B3"/>
    <w:rsid w:val="00D16D20"/>
    <w:rsid w:val="00D1709F"/>
    <w:rsid w:val="00D17459"/>
    <w:rsid w:val="00D209BA"/>
    <w:rsid w:val="00D228EF"/>
    <w:rsid w:val="00D25F38"/>
    <w:rsid w:val="00D2619F"/>
    <w:rsid w:val="00D265E9"/>
    <w:rsid w:val="00D308EB"/>
    <w:rsid w:val="00D30C23"/>
    <w:rsid w:val="00D3159E"/>
    <w:rsid w:val="00D32264"/>
    <w:rsid w:val="00D32BD3"/>
    <w:rsid w:val="00D32F71"/>
    <w:rsid w:val="00D40435"/>
    <w:rsid w:val="00D42364"/>
    <w:rsid w:val="00D43121"/>
    <w:rsid w:val="00D43F19"/>
    <w:rsid w:val="00D44DBC"/>
    <w:rsid w:val="00D4588D"/>
    <w:rsid w:val="00D540B9"/>
    <w:rsid w:val="00D56794"/>
    <w:rsid w:val="00D648BA"/>
    <w:rsid w:val="00D65672"/>
    <w:rsid w:val="00D75A17"/>
    <w:rsid w:val="00D77206"/>
    <w:rsid w:val="00D85300"/>
    <w:rsid w:val="00D90E7D"/>
    <w:rsid w:val="00D92333"/>
    <w:rsid w:val="00D925C0"/>
    <w:rsid w:val="00D9440B"/>
    <w:rsid w:val="00D94F56"/>
    <w:rsid w:val="00D97F92"/>
    <w:rsid w:val="00DA044D"/>
    <w:rsid w:val="00DA1E39"/>
    <w:rsid w:val="00DA3761"/>
    <w:rsid w:val="00DA45D0"/>
    <w:rsid w:val="00DA736E"/>
    <w:rsid w:val="00DB0F1B"/>
    <w:rsid w:val="00DB11EE"/>
    <w:rsid w:val="00DB12E3"/>
    <w:rsid w:val="00DB249C"/>
    <w:rsid w:val="00DB440F"/>
    <w:rsid w:val="00DB53BE"/>
    <w:rsid w:val="00DB7308"/>
    <w:rsid w:val="00DB7365"/>
    <w:rsid w:val="00DC1968"/>
    <w:rsid w:val="00DC1D20"/>
    <w:rsid w:val="00DC23F9"/>
    <w:rsid w:val="00DC47F3"/>
    <w:rsid w:val="00DC4D41"/>
    <w:rsid w:val="00DC7E7D"/>
    <w:rsid w:val="00DD0612"/>
    <w:rsid w:val="00DD2A0B"/>
    <w:rsid w:val="00DD3F80"/>
    <w:rsid w:val="00DD5431"/>
    <w:rsid w:val="00DD6C5B"/>
    <w:rsid w:val="00DE1E04"/>
    <w:rsid w:val="00DE2194"/>
    <w:rsid w:val="00DE367C"/>
    <w:rsid w:val="00DE62C4"/>
    <w:rsid w:val="00DE6423"/>
    <w:rsid w:val="00DE65CF"/>
    <w:rsid w:val="00DF1473"/>
    <w:rsid w:val="00DF39F9"/>
    <w:rsid w:val="00DF60AC"/>
    <w:rsid w:val="00DF6850"/>
    <w:rsid w:val="00DF73E5"/>
    <w:rsid w:val="00E008CB"/>
    <w:rsid w:val="00E01E30"/>
    <w:rsid w:val="00E02A28"/>
    <w:rsid w:val="00E034E7"/>
    <w:rsid w:val="00E0580D"/>
    <w:rsid w:val="00E0580E"/>
    <w:rsid w:val="00E07AB4"/>
    <w:rsid w:val="00E10273"/>
    <w:rsid w:val="00E10DBF"/>
    <w:rsid w:val="00E12724"/>
    <w:rsid w:val="00E12E63"/>
    <w:rsid w:val="00E149EF"/>
    <w:rsid w:val="00E150ED"/>
    <w:rsid w:val="00E151A1"/>
    <w:rsid w:val="00E15363"/>
    <w:rsid w:val="00E1610A"/>
    <w:rsid w:val="00E1784C"/>
    <w:rsid w:val="00E25702"/>
    <w:rsid w:val="00E268EF"/>
    <w:rsid w:val="00E36CCD"/>
    <w:rsid w:val="00E36D5A"/>
    <w:rsid w:val="00E3735F"/>
    <w:rsid w:val="00E40D0D"/>
    <w:rsid w:val="00E4235C"/>
    <w:rsid w:val="00E43472"/>
    <w:rsid w:val="00E44969"/>
    <w:rsid w:val="00E45C91"/>
    <w:rsid w:val="00E4741B"/>
    <w:rsid w:val="00E47EB9"/>
    <w:rsid w:val="00E52380"/>
    <w:rsid w:val="00E52D9D"/>
    <w:rsid w:val="00E567DA"/>
    <w:rsid w:val="00E56983"/>
    <w:rsid w:val="00E56C7B"/>
    <w:rsid w:val="00E576A3"/>
    <w:rsid w:val="00E6115D"/>
    <w:rsid w:val="00E61449"/>
    <w:rsid w:val="00E6323F"/>
    <w:rsid w:val="00E638B3"/>
    <w:rsid w:val="00E649F9"/>
    <w:rsid w:val="00E650D4"/>
    <w:rsid w:val="00E66315"/>
    <w:rsid w:val="00E678C5"/>
    <w:rsid w:val="00E70920"/>
    <w:rsid w:val="00E70BC9"/>
    <w:rsid w:val="00E72A25"/>
    <w:rsid w:val="00E756DC"/>
    <w:rsid w:val="00E7642F"/>
    <w:rsid w:val="00E80B66"/>
    <w:rsid w:val="00E81168"/>
    <w:rsid w:val="00E8405C"/>
    <w:rsid w:val="00E84EDC"/>
    <w:rsid w:val="00E90EC3"/>
    <w:rsid w:val="00E96B70"/>
    <w:rsid w:val="00E979EB"/>
    <w:rsid w:val="00EA0132"/>
    <w:rsid w:val="00EA1082"/>
    <w:rsid w:val="00EA1868"/>
    <w:rsid w:val="00EA32B1"/>
    <w:rsid w:val="00EA32FA"/>
    <w:rsid w:val="00EA608D"/>
    <w:rsid w:val="00EA64BF"/>
    <w:rsid w:val="00EA7ED9"/>
    <w:rsid w:val="00EB1076"/>
    <w:rsid w:val="00EB1617"/>
    <w:rsid w:val="00EB49CC"/>
    <w:rsid w:val="00EB629A"/>
    <w:rsid w:val="00EB68D8"/>
    <w:rsid w:val="00EB7A39"/>
    <w:rsid w:val="00EC04C2"/>
    <w:rsid w:val="00EC0DA6"/>
    <w:rsid w:val="00EC6993"/>
    <w:rsid w:val="00EC733E"/>
    <w:rsid w:val="00EC7985"/>
    <w:rsid w:val="00ED0F1C"/>
    <w:rsid w:val="00ED12B2"/>
    <w:rsid w:val="00ED19C4"/>
    <w:rsid w:val="00ED19FC"/>
    <w:rsid w:val="00ED2654"/>
    <w:rsid w:val="00ED40FE"/>
    <w:rsid w:val="00ED4F32"/>
    <w:rsid w:val="00ED6766"/>
    <w:rsid w:val="00ED68EB"/>
    <w:rsid w:val="00ED7AA8"/>
    <w:rsid w:val="00ED7E51"/>
    <w:rsid w:val="00EE03F1"/>
    <w:rsid w:val="00EE0C81"/>
    <w:rsid w:val="00EE1A9D"/>
    <w:rsid w:val="00EE2C69"/>
    <w:rsid w:val="00EE3A58"/>
    <w:rsid w:val="00EE5ACF"/>
    <w:rsid w:val="00EE5F95"/>
    <w:rsid w:val="00EF023C"/>
    <w:rsid w:val="00EF0EB9"/>
    <w:rsid w:val="00EF31C9"/>
    <w:rsid w:val="00EF3730"/>
    <w:rsid w:val="00EF3B12"/>
    <w:rsid w:val="00EF7E4F"/>
    <w:rsid w:val="00F02273"/>
    <w:rsid w:val="00F07831"/>
    <w:rsid w:val="00F10740"/>
    <w:rsid w:val="00F10C56"/>
    <w:rsid w:val="00F1367B"/>
    <w:rsid w:val="00F14C0F"/>
    <w:rsid w:val="00F159AD"/>
    <w:rsid w:val="00F16AD6"/>
    <w:rsid w:val="00F170CE"/>
    <w:rsid w:val="00F1792B"/>
    <w:rsid w:val="00F17C56"/>
    <w:rsid w:val="00F306CD"/>
    <w:rsid w:val="00F32AA7"/>
    <w:rsid w:val="00F345F7"/>
    <w:rsid w:val="00F42E4B"/>
    <w:rsid w:val="00F43162"/>
    <w:rsid w:val="00F43677"/>
    <w:rsid w:val="00F43AD2"/>
    <w:rsid w:val="00F45438"/>
    <w:rsid w:val="00F5055C"/>
    <w:rsid w:val="00F50E5C"/>
    <w:rsid w:val="00F53EEA"/>
    <w:rsid w:val="00F55ECE"/>
    <w:rsid w:val="00F5796D"/>
    <w:rsid w:val="00F61223"/>
    <w:rsid w:val="00F62319"/>
    <w:rsid w:val="00F64337"/>
    <w:rsid w:val="00F64B8F"/>
    <w:rsid w:val="00F66415"/>
    <w:rsid w:val="00F66C13"/>
    <w:rsid w:val="00F6737B"/>
    <w:rsid w:val="00F70781"/>
    <w:rsid w:val="00F7155F"/>
    <w:rsid w:val="00F725A2"/>
    <w:rsid w:val="00F73FAC"/>
    <w:rsid w:val="00F74069"/>
    <w:rsid w:val="00F741B8"/>
    <w:rsid w:val="00F75688"/>
    <w:rsid w:val="00F76797"/>
    <w:rsid w:val="00F76A6D"/>
    <w:rsid w:val="00F76E34"/>
    <w:rsid w:val="00F7752A"/>
    <w:rsid w:val="00F81C61"/>
    <w:rsid w:val="00F81F25"/>
    <w:rsid w:val="00F84287"/>
    <w:rsid w:val="00F84F12"/>
    <w:rsid w:val="00F8756C"/>
    <w:rsid w:val="00F91552"/>
    <w:rsid w:val="00F917D1"/>
    <w:rsid w:val="00F91D51"/>
    <w:rsid w:val="00F92EE1"/>
    <w:rsid w:val="00F965F0"/>
    <w:rsid w:val="00F97CD5"/>
    <w:rsid w:val="00FA0E19"/>
    <w:rsid w:val="00FA11CE"/>
    <w:rsid w:val="00FA1906"/>
    <w:rsid w:val="00FA1BE9"/>
    <w:rsid w:val="00FA23FC"/>
    <w:rsid w:val="00FA2520"/>
    <w:rsid w:val="00FA264C"/>
    <w:rsid w:val="00FA34D7"/>
    <w:rsid w:val="00FA386F"/>
    <w:rsid w:val="00FA6DF1"/>
    <w:rsid w:val="00FB4123"/>
    <w:rsid w:val="00FB53E9"/>
    <w:rsid w:val="00FC03C5"/>
    <w:rsid w:val="00FC1608"/>
    <w:rsid w:val="00FC5619"/>
    <w:rsid w:val="00FC6C29"/>
    <w:rsid w:val="00FD201C"/>
    <w:rsid w:val="00FD203D"/>
    <w:rsid w:val="00FD5B51"/>
    <w:rsid w:val="00FD5E2C"/>
    <w:rsid w:val="00FE04AF"/>
    <w:rsid w:val="00FE0563"/>
    <w:rsid w:val="00FE0A92"/>
    <w:rsid w:val="00FE276B"/>
    <w:rsid w:val="00FE362C"/>
    <w:rsid w:val="00FE3675"/>
    <w:rsid w:val="00FE3DB3"/>
    <w:rsid w:val="00FE4134"/>
    <w:rsid w:val="00FE4EA4"/>
    <w:rsid w:val="00FE7C8A"/>
    <w:rsid w:val="00FF1AEB"/>
    <w:rsid w:val="00FF22CC"/>
    <w:rsid w:val="00FF293A"/>
    <w:rsid w:val="00FF484C"/>
    <w:rsid w:val="00FF5A56"/>
    <w:rsid w:val="00FF5F1A"/>
    <w:rsid w:val="00FF6465"/>
    <w:rsid w:val="00FF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4E08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132"/>
    <w:rPr>
      <w:rFonts w:ascii="Times New Roman" w:hAnsi="Times New Roman" w:cs="Times New Roman"/>
    </w:rPr>
  </w:style>
  <w:style w:type="paragraph" w:styleId="Heading1">
    <w:name w:val="heading 1"/>
    <w:basedOn w:val="Normal"/>
    <w:link w:val="Heading1Char"/>
    <w:uiPriority w:val="9"/>
    <w:qFormat/>
    <w:rsid w:val="000D148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C9"/>
    <w:pPr>
      <w:ind w:left="720"/>
      <w:contextualSpacing/>
    </w:pPr>
    <w:rPr>
      <w:rFonts w:eastAsiaTheme="minorHAnsi"/>
    </w:rPr>
  </w:style>
  <w:style w:type="paragraph" w:styleId="Footer">
    <w:name w:val="footer"/>
    <w:basedOn w:val="Normal"/>
    <w:link w:val="FooterChar"/>
    <w:uiPriority w:val="99"/>
    <w:unhideWhenUsed/>
    <w:rsid w:val="00880E28"/>
    <w:pPr>
      <w:tabs>
        <w:tab w:val="center" w:pos="4680"/>
        <w:tab w:val="right" w:pos="9360"/>
      </w:tabs>
    </w:pPr>
  </w:style>
  <w:style w:type="character" w:customStyle="1" w:styleId="FooterChar">
    <w:name w:val="Footer Char"/>
    <w:basedOn w:val="DefaultParagraphFont"/>
    <w:link w:val="Footer"/>
    <w:uiPriority w:val="99"/>
    <w:rsid w:val="00880E28"/>
  </w:style>
  <w:style w:type="character" w:styleId="PageNumber">
    <w:name w:val="page number"/>
    <w:basedOn w:val="DefaultParagraphFont"/>
    <w:uiPriority w:val="99"/>
    <w:semiHidden/>
    <w:unhideWhenUsed/>
    <w:rsid w:val="00880E28"/>
  </w:style>
  <w:style w:type="paragraph" w:styleId="FootnoteText">
    <w:name w:val="footnote text"/>
    <w:basedOn w:val="Normal"/>
    <w:link w:val="FootnoteTextChar"/>
    <w:uiPriority w:val="99"/>
    <w:unhideWhenUsed/>
    <w:rsid w:val="00BA0D2B"/>
  </w:style>
  <w:style w:type="character" w:customStyle="1" w:styleId="FootnoteTextChar">
    <w:name w:val="Footnote Text Char"/>
    <w:basedOn w:val="DefaultParagraphFont"/>
    <w:link w:val="FootnoteText"/>
    <w:uiPriority w:val="99"/>
    <w:rsid w:val="00BA0D2B"/>
  </w:style>
  <w:style w:type="character" w:styleId="FootnoteReference">
    <w:name w:val="footnote reference"/>
    <w:basedOn w:val="DefaultParagraphFont"/>
    <w:uiPriority w:val="99"/>
    <w:unhideWhenUsed/>
    <w:rsid w:val="00BA0D2B"/>
    <w:rPr>
      <w:vertAlign w:val="superscript"/>
    </w:rPr>
  </w:style>
  <w:style w:type="character" w:customStyle="1" w:styleId="apple-converted-space">
    <w:name w:val="apple-converted-space"/>
    <w:basedOn w:val="DefaultParagraphFont"/>
    <w:rsid w:val="00100803"/>
  </w:style>
  <w:style w:type="paragraph" w:styleId="Header">
    <w:name w:val="header"/>
    <w:basedOn w:val="Normal"/>
    <w:link w:val="HeaderChar"/>
    <w:uiPriority w:val="99"/>
    <w:unhideWhenUsed/>
    <w:rsid w:val="00D12D39"/>
    <w:pPr>
      <w:tabs>
        <w:tab w:val="center" w:pos="4320"/>
        <w:tab w:val="right" w:pos="8640"/>
      </w:tabs>
    </w:pPr>
  </w:style>
  <w:style w:type="character" w:customStyle="1" w:styleId="HeaderChar">
    <w:name w:val="Header Char"/>
    <w:basedOn w:val="DefaultParagraphFont"/>
    <w:link w:val="Header"/>
    <w:uiPriority w:val="99"/>
    <w:rsid w:val="00D12D39"/>
  </w:style>
  <w:style w:type="character" w:styleId="Emphasis">
    <w:name w:val="Emphasis"/>
    <w:basedOn w:val="DefaultParagraphFont"/>
    <w:uiPriority w:val="20"/>
    <w:qFormat/>
    <w:rsid w:val="002B6093"/>
    <w:rPr>
      <w:i/>
      <w:iCs/>
    </w:rPr>
  </w:style>
  <w:style w:type="character" w:styleId="Hyperlink">
    <w:name w:val="Hyperlink"/>
    <w:basedOn w:val="DefaultParagraphFont"/>
    <w:uiPriority w:val="99"/>
    <w:unhideWhenUsed/>
    <w:rsid w:val="00681416"/>
    <w:rPr>
      <w:color w:val="0000FF" w:themeColor="hyperlink"/>
      <w:u w:val="single"/>
    </w:rPr>
  </w:style>
  <w:style w:type="character" w:styleId="CommentReference">
    <w:name w:val="annotation reference"/>
    <w:basedOn w:val="DefaultParagraphFont"/>
    <w:uiPriority w:val="99"/>
    <w:semiHidden/>
    <w:unhideWhenUsed/>
    <w:rsid w:val="008A2985"/>
    <w:rPr>
      <w:sz w:val="16"/>
      <w:szCs w:val="16"/>
    </w:rPr>
  </w:style>
  <w:style w:type="paragraph" w:styleId="CommentText">
    <w:name w:val="annotation text"/>
    <w:basedOn w:val="Normal"/>
    <w:link w:val="CommentTextChar"/>
    <w:uiPriority w:val="99"/>
    <w:semiHidden/>
    <w:unhideWhenUsed/>
    <w:rsid w:val="008A2985"/>
    <w:rPr>
      <w:sz w:val="20"/>
      <w:szCs w:val="20"/>
    </w:rPr>
  </w:style>
  <w:style w:type="character" w:customStyle="1" w:styleId="CommentTextChar">
    <w:name w:val="Comment Text Char"/>
    <w:basedOn w:val="DefaultParagraphFont"/>
    <w:link w:val="CommentText"/>
    <w:uiPriority w:val="99"/>
    <w:semiHidden/>
    <w:rsid w:val="008A2985"/>
    <w:rPr>
      <w:sz w:val="20"/>
      <w:szCs w:val="20"/>
    </w:rPr>
  </w:style>
  <w:style w:type="paragraph" w:styleId="CommentSubject">
    <w:name w:val="annotation subject"/>
    <w:basedOn w:val="CommentText"/>
    <w:next w:val="CommentText"/>
    <w:link w:val="CommentSubjectChar"/>
    <w:uiPriority w:val="99"/>
    <w:semiHidden/>
    <w:unhideWhenUsed/>
    <w:rsid w:val="008A2985"/>
    <w:rPr>
      <w:b/>
      <w:bCs/>
    </w:rPr>
  </w:style>
  <w:style w:type="character" w:customStyle="1" w:styleId="CommentSubjectChar">
    <w:name w:val="Comment Subject Char"/>
    <w:basedOn w:val="CommentTextChar"/>
    <w:link w:val="CommentSubject"/>
    <w:uiPriority w:val="99"/>
    <w:semiHidden/>
    <w:rsid w:val="008A2985"/>
    <w:rPr>
      <w:b/>
      <w:bCs/>
      <w:sz w:val="20"/>
      <w:szCs w:val="20"/>
    </w:rPr>
  </w:style>
  <w:style w:type="paragraph" w:styleId="BalloonText">
    <w:name w:val="Balloon Text"/>
    <w:basedOn w:val="Normal"/>
    <w:link w:val="BalloonTextChar"/>
    <w:uiPriority w:val="99"/>
    <w:semiHidden/>
    <w:unhideWhenUsed/>
    <w:rsid w:val="008A2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985"/>
    <w:rPr>
      <w:rFonts w:ascii="Segoe UI" w:hAnsi="Segoe UI" w:cs="Segoe UI"/>
      <w:sz w:val="18"/>
      <w:szCs w:val="18"/>
    </w:rPr>
  </w:style>
  <w:style w:type="paragraph" w:styleId="NoSpacing">
    <w:name w:val="No Spacing"/>
    <w:uiPriority w:val="1"/>
    <w:qFormat/>
    <w:rsid w:val="0098583D"/>
  </w:style>
  <w:style w:type="character" w:customStyle="1" w:styleId="Heading1Char">
    <w:name w:val="Heading 1 Char"/>
    <w:basedOn w:val="DefaultParagraphFont"/>
    <w:link w:val="Heading1"/>
    <w:uiPriority w:val="9"/>
    <w:rsid w:val="000D1480"/>
    <w:rPr>
      <w:rFonts w:ascii="Times New Roman" w:hAnsi="Times New Roman" w:cs="Times New Roman"/>
      <w:b/>
      <w:bCs/>
      <w:kern w:val="36"/>
      <w:sz w:val="48"/>
      <w:szCs w:val="48"/>
    </w:rPr>
  </w:style>
  <w:style w:type="paragraph" w:styleId="NormalWeb">
    <w:name w:val="Normal (Web)"/>
    <w:basedOn w:val="Normal"/>
    <w:uiPriority w:val="99"/>
    <w:unhideWhenUsed/>
    <w:rsid w:val="00F45438"/>
    <w:pPr>
      <w:spacing w:before="100" w:beforeAutospacing="1" w:after="100" w:afterAutospacing="1"/>
    </w:pPr>
  </w:style>
  <w:style w:type="paragraph" w:styleId="Revision">
    <w:name w:val="Revision"/>
    <w:hidden/>
    <w:uiPriority w:val="99"/>
    <w:semiHidden/>
    <w:rsid w:val="002316FA"/>
    <w:rPr>
      <w:rFonts w:ascii="Times New Roman" w:hAnsi="Times New Roman" w:cs="Times New Roman"/>
    </w:rPr>
  </w:style>
  <w:style w:type="paragraph" w:styleId="EndnoteText">
    <w:name w:val="endnote text"/>
    <w:basedOn w:val="Normal"/>
    <w:link w:val="EndnoteTextChar"/>
    <w:uiPriority w:val="99"/>
    <w:unhideWhenUsed/>
    <w:rsid w:val="005E0800"/>
  </w:style>
  <w:style w:type="character" w:customStyle="1" w:styleId="EndnoteTextChar">
    <w:name w:val="Endnote Text Char"/>
    <w:basedOn w:val="DefaultParagraphFont"/>
    <w:link w:val="EndnoteText"/>
    <w:uiPriority w:val="99"/>
    <w:rsid w:val="005E0800"/>
    <w:rPr>
      <w:rFonts w:ascii="Times New Roman" w:hAnsi="Times New Roman" w:cs="Times New Roman"/>
    </w:rPr>
  </w:style>
  <w:style w:type="character" w:styleId="EndnoteReference">
    <w:name w:val="endnote reference"/>
    <w:basedOn w:val="DefaultParagraphFont"/>
    <w:uiPriority w:val="99"/>
    <w:unhideWhenUsed/>
    <w:rsid w:val="005E0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7112">
      <w:bodyDiv w:val="1"/>
      <w:marLeft w:val="0"/>
      <w:marRight w:val="0"/>
      <w:marTop w:val="0"/>
      <w:marBottom w:val="0"/>
      <w:divBdr>
        <w:top w:val="none" w:sz="0" w:space="0" w:color="auto"/>
        <w:left w:val="none" w:sz="0" w:space="0" w:color="auto"/>
        <w:bottom w:val="none" w:sz="0" w:space="0" w:color="auto"/>
        <w:right w:val="none" w:sz="0" w:space="0" w:color="auto"/>
      </w:divBdr>
      <w:divsChild>
        <w:div w:id="556362990">
          <w:marLeft w:val="0"/>
          <w:marRight w:val="0"/>
          <w:marTop w:val="0"/>
          <w:marBottom w:val="0"/>
          <w:divBdr>
            <w:top w:val="none" w:sz="0" w:space="0" w:color="auto"/>
            <w:left w:val="none" w:sz="0" w:space="0" w:color="auto"/>
            <w:bottom w:val="none" w:sz="0" w:space="0" w:color="auto"/>
            <w:right w:val="none" w:sz="0" w:space="0" w:color="auto"/>
          </w:divBdr>
          <w:divsChild>
            <w:div w:id="895045985">
              <w:marLeft w:val="0"/>
              <w:marRight w:val="0"/>
              <w:marTop w:val="0"/>
              <w:marBottom w:val="0"/>
              <w:divBdr>
                <w:top w:val="none" w:sz="0" w:space="0" w:color="auto"/>
                <w:left w:val="none" w:sz="0" w:space="0" w:color="auto"/>
                <w:bottom w:val="none" w:sz="0" w:space="0" w:color="auto"/>
                <w:right w:val="none" w:sz="0" w:space="0" w:color="auto"/>
              </w:divBdr>
              <w:divsChild>
                <w:div w:id="414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6350">
      <w:bodyDiv w:val="1"/>
      <w:marLeft w:val="0"/>
      <w:marRight w:val="0"/>
      <w:marTop w:val="0"/>
      <w:marBottom w:val="0"/>
      <w:divBdr>
        <w:top w:val="none" w:sz="0" w:space="0" w:color="auto"/>
        <w:left w:val="none" w:sz="0" w:space="0" w:color="auto"/>
        <w:bottom w:val="none" w:sz="0" w:space="0" w:color="auto"/>
        <w:right w:val="none" w:sz="0" w:space="0" w:color="auto"/>
      </w:divBdr>
      <w:divsChild>
        <w:div w:id="380248937">
          <w:marLeft w:val="0"/>
          <w:marRight w:val="0"/>
          <w:marTop w:val="0"/>
          <w:marBottom w:val="0"/>
          <w:divBdr>
            <w:top w:val="none" w:sz="0" w:space="0" w:color="auto"/>
            <w:left w:val="none" w:sz="0" w:space="0" w:color="auto"/>
            <w:bottom w:val="none" w:sz="0" w:space="0" w:color="auto"/>
            <w:right w:val="none" w:sz="0" w:space="0" w:color="auto"/>
          </w:divBdr>
          <w:divsChild>
            <w:div w:id="1602494450">
              <w:marLeft w:val="0"/>
              <w:marRight w:val="0"/>
              <w:marTop w:val="0"/>
              <w:marBottom w:val="0"/>
              <w:divBdr>
                <w:top w:val="none" w:sz="0" w:space="0" w:color="auto"/>
                <w:left w:val="none" w:sz="0" w:space="0" w:color="auto"/>
                <w:bottom w:val="none" w:sz="0" w:space="0" w:color="auto"/>
                <w:right w:val="none" w:sz="0" w:space="0" w:color="auto"/>
              </w:divBdr>
              <w:divsChild>
                <w:div w:id="2991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717">
      <w:bodyDiv w:val="1"/>
      <w:marLeft w:val="0"/>
      <w:marRight w:val="0"/>
      <w:marTop w:val="0"/>
      <w:marBottom w:val="0"/>
      <w:divBdr>
        <w:top w:val="none" w:sz="0" w:space="0" w:color="auto"/>
        <w:left w:val="none" w:sz="0" w:space="0" w:color="auto"/>
        <w:bottom w:val="none" w:sz="0" w:space="0" w:color="auto"/>
        <w:right w:val="none" w:sz="0" w:space="0" w:color="auto"/>
      </w:divBdr>
    </w:div>
    <w:div w:id="192157924">
      <w:bodyDiv w:val="1"/>
      <w:marLeft w:val="0"/>
      <w:marRight w:val="0"/>
      <w:marTop w:val="0"/>
      <w:marBottom w:val="0"/>
      <w:divBdr>
        <w:top w:val="none" w:sz="0" w:space="0" w:color="auto"/>
        <w:left w:val="none" w:sz="0" w:space="0" w:color="auto"/>
        <w:bottom w:val="none" w:sz="0" w:space="0" w:color="auto"/>
        <w:right w:val="none" w:sz="0" w:space="0" w:color="auto"/>
      </w:divBdr>
    </w:div>
    <w:div w:id="209339657">
      <w:bodyDiv w:val="1"/>
      <w:marLeft w:val="0"/>
      <w:marRight w:val="0"/>
      <w:marTop w:val="0"/>
      <w:marBottom w:val="0"/>
      <w:divBdr>
        <w:top w:val="none" w:sz="0" w:space="0" w:color="auto"/>
        <w:left w:val="none" w:sz="0" w:space="0" w:color="auto"/>
        <w:bottom w:val="none" w:sz="0" w:space="0" w:color="auto"/>
        <w:right w:val="none" w:sz="0" w:space="0" w:color="auto"/>
      </w:divBdr>
    </w:div>
    <w:div w:id="219941479">
      <w:bodyDiv w:val="1"/>
      <w:marLeft w:val="0"/>
      <w:marRight w:val="0"/>
      <w:marTop w:val="0"/>
      <w:marBottom w:val="0"/>
      <w:divBdr>
        <w:top w:val="none" w:sz="0" w:space="0" w:color="auto"/>
        <w:left w:val="none" w:sz="0" w:space="0" w:color="auto"/>
        <w:bottom w:val="none" w:sz="0" w:space="0" w:color="auto"/>
        <w:right w:val="none" w:sz="0" w:space="0" w:color="auto"/>
      </w:divBdr>
    </w:div>
    <w:div w:id="238448211">
      <w:bodyDiv w:val="1"/>
      <w:marLeft w:val="0"/>
      <w:marRight w:val="0"/>
      <w:marTop w:val="0"/>
      <w:marBottom w:val="0"/>
      <w:divBdr>
        <w:top w:val="none" w:sz="0" w:space="0" w:color="auto"/>
        <w:left w:val="none" w:sz="0" w:space="0" w:color="auto"/>
        <w:bottom w:val="none" w:sz="0" w:space="0" w:color="auto"/>
        <w:right w:val="none" w:sz="0" w:space="0" w:color="auto"/>
      </w:divBdr>
    </w:div>
    <w:div w:id="268659885">
      <w:bodyDiv w:val="1"/>
      <w:marLeft w:val="0"/>
      <w:marRight w:val="0"/>
      <w:marTop w:val="0"/>
      <w:marBottom w:val="0"/>
      <w:divBdr>
        <w:top w:val="none" w:sz="0" w:space="0" w:color="auto"/>
        <w:left w:val="none" w:sz="0" w:space="0" w:color="auto"/>
        <w:bottom w:val="none" w:sz="0" w:space="0" w:color="auto"/>
        <w:right w:val="none" w:sz="0" w:space="0" w:color="auto"/>
      </w:divBdr>
    </w:div>
    <w:div w:id="351346048">
      <w:bodyDiv w:val="1"/>
      <w:marLeft w:val="0"/>
      <w:marRight w:val="0"/>
      <w:marTop w:val="0"/>
      <w:marBottom w:val="0"/>
      <w:divBdr>
        <w:top w:val="none" w:sz="0" w:space="0" w:color="auto"/>
        <w:left w:val="none" w:sz="0" w:space="0" w:color="auto"/>
        <w:bottom w:val="none" w:sz="0" w:space="0" w:color="auto"/>
        <w:right w:val="none" w:sz="0" w:space="0" w:color="auto"/>
      </w:divBdr>
    </w:div>
    <w:div w:id="363753730">
      <w:bodyDiv w:val="1"/>
      <w:marLeft w:val="0"/>
      <w:marRight w:val="0"/>
      <w:marTop w:val="0"/>
      <w:marBottom w:val="0"/>
      <w:divBdr>
        <w:top w:val="none" w:sz="0" w:space="0" w:color="auto"/>
        <w:left w:val="none" w:sz="0" w:space="0" w:color="auto"/>
        <w:bottom w:val="none" w:sz="0" w:space="0" w:color="auto"/>
        <w:right w:val="none" w:sz="0" w:space="0" w:color="auto"/>
      </w:divBdr>
    </w:div>
    <w:div w:id="478156375">
      <w:bodyDiv w:val="1"/>
      <w:marLeft w:val="0"/>
      <w:marRight w:val="0"/>
      <w:marTop w:val="0"/>
      <w:marBottom w:val="0"/>
      <w:divBdr>
        <w:top w:val="none" w:sz="0" w:space="0" w:color="auto"/>
        <w:left w:val="none" w:sz="0" w:space="0" w:color="auto"/>
        <w:bottom w:val="none" w:sz="0" w:space="0" w:color="auto"/>
        <w:right w:val="none" w:sz="0" w:space="0" w:color="auto"/>
      </w:divBdr>
    </w:div>
    <w:div w:id="499195079">
      <w:bodyDiv w:val="1"/>
      <w:marLeft w:val="0"/>
      <w:marRight w:val="0"/>
      <w:marTop w:val="0"/>
      <w:marBottom w:val="0"/>
      <w:divBdr>
        <w:top w:val="none" w:sz="0" w:space="0" w:color="auto"/>
        <w:left w:val="none" w:sz="0" w:space="0" w:color="auto"/>
        <w:bottom w:val="none" w:sz="0" w:space="0" w:color="auto"/>
        <w:right w:val="none" w:sz="0" w:space="0" w:color="auto"/>
      </w:divBdr>
    </w:div>
    <w:div w:id="529535852">
      <w:bodyDiv w:val="1"/>
      <w:marLeft w:val="0"/>
      <w:marRight w:val="0"/>
      <w:marTop w:val="0"/>
      <w:marBottom w:val="0"/>
      <w:divBdr>
        <w:top w:val="none" w:sz="0" w:space="0" w:color="auto"/>
        <w:left w:val="none" w:sz="0" w:space="0" w:color="auto"/>
        <w:bottom w:val="none" w:sz="0" w:space="0" w:color="auto"/>
        <w:right w:val="none" w:sz="0" w:space="0" w:color="auto"/>
      </w:divBdr>
    </w:div>
    <w:div w:id="594365017">
      <w:bodyDiv w:val="1"/>
      <w:marLeft w:val="0"/>
      <w:marRight w:val="0"/>
      <w:marTop w:val="0"/>
      <w:marBottom w:val="0"/>
      <w:divBdr>
        <w:top w:val="none" w:sz="0" w:space="0" w:color="auto"/>
        <w:left w:val="none" w:sz="0" w:space="0" w:color="auto"/>
        <w:bottom w:val="none" w:sz="0" w:space="0" w:color="auto"/>
        <w:right w:val="none" w:sz="0" w:space="0" w:color="auto"/>
      </w:divBdr>
      <w:divsChild>
        <w:div w:id="1888451243">
          <w:marLeft w:val="0"/>
          <w:marRight w:val="0"/>
          <w:marTop w:val="0"/>
          <w:marBottom w:val="0"/>
          <w:divBdr>
            <w:top w:val="none" w:sz="0" w:space="0" w:color="auto"/>
            <w:left w:val="none" w:sz="0" w:space="0" w:color="auto"/>
            <w:bottom w:val="none" w:sz="0" w:space="0" w:color="auto"/>
            <w:right w:val="none" w:sz="0" w:space="0" w:color="auto"/>
          </w:divBdr>
          <w:divsChild>
            <w:div w:id="481432770">
              <w:marLeft w:val="0"/>
              <w:marRight w:val="0"/>
              <w:marTop w:val="0"/>
              <w:marBottom w:val="0"/>
              <w:divBdr>
                <w:top w:val="none" w:sz="0" w:space="0" w:color="auto"/>
                <w:left w:val="none" w:sz="0" w:space="0" w:color="auto"/>
                <w:bottom w:val="none" w:sz="0" w:space="0" w:color="auto"/>
                <w:right w:val="none" w:sz="0" w:space="0" w:color="auto"/>
              </w:divBdr>
              <w:divsChild>
                <w:div w:id="14465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8701">
      <w:bodyDiv w:val="1"/>
      <w:marLeft w:val="0"/>
      <w:marRight w:val="0"/>
      <w:marTop w:val="0"/>
      <w:marBottom w:val="0"/>
      <w:divBdr>
        <w:top w:val="none" w:sz="0" w:space="0" w:color="auto"/>
        <w:left w:val="none" w:sz="0" w:space="0" w:color="auto"/>
        <w:bottom w:val="none" w:sz="0" w:space="0" w:color="auto"/>
        <w:right w:val="none" w:sz="0" w:space="0" w:color="auto"/>
      </w:divBdr>
    </w:div>
    <w:div w:id="782114157">
      <w:bodyDiv w:val="1"/>
      <w:marLeft w:val="0"/>
      <w:marRight w:val="0"/>
      <w:marTop w:val="0"/>
      <w:marBottom w:val="0"/>
      <w:divBdr>
        <w:top w:val="none" w:sz="0" w:space="0" w:color="auto"/>
        <w:left w:val="none" w:sz="0" w:space="0" w:color="auto"/>
        <w:bottom w:val="none" w:sz="0" w:space="0" w:color="auto"/>
        <w:right w:val="none" w:sz="0" w:space="0" w:color="auto"/>
      </w:divBdr>
      <w:divsChild>
        <w:div w:id="1486047702">
          <w:marLeft w:val="0"/>
          <w:marRight w:val="0"/>
          <w:marTop w:val="0"/>
          <w:marBottom w:val="0"/>
          <w:divBdr>
            <w:top w:val="none" w:sz="0" w:space="0" w:color="auto"/>
            <w:left w:val="none" w:sz="0" w:space="0" w:color="auto"/>
            <w:bottom w:val="none" w:sz="0" w:space="0" w:color="auto"/>
            <w:right w:val="none" w:sz="0" w:space="0" w:color="auto"/>
          </w:divBdr>
          <w:divsChild>
            <w:div w:id="2129813583">
              <w:marLeft w:val="0"/>
              <w:marRight w:val="0"/>
              <w:marTop w:val="0"/>
              <w:marBottom w:val="0"/>
              <w:divBdr>
                <w:top w:val="none" w:sz="0" w:space="0" w:color="auto"/>
                <w:left w:val="none" w:sz="0" w:space="0" w:color="auto"/>
                <w:bottom w:val="none" w:sz="0" w:space="0" w:color="auto"/>
                <w:right w:val="none" w:sz="0" w:space="0" w:color="auto"/>
              </w:divBdr>
              <w:divsChild>
                <w:div w:id="895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0177">
      <w:bodyDiv w:val="1"/>
      <w:marLeft w:val="0"/>
      <w:marRight w:val="0"/>
      <w:marTop w:val="0"/>
      <w:marBottom w:val="0"/>
      <w:divBdr>
        <w:top w:val="none" w:sz="0" w:space="0" w:color="auto"/>
        <w:left w:val="none" w:sz="0" w:space="0" w:color="auto"/>
        <w:bottom w:val="none" w:sz="0" w:space="0" w:color="auto"/>
        <w:right w:val="none" w:sz="0" w:space="0" w:color="auto"/>
      </w:divBdr>
    </w:div>
    <w:div w:id="858279013">
      <w:bodyDiv w:val="1"/>
      <w:marLeft w:val="0"/>
      <w:marRight w:val="0"/>
      <w:marTop w:val="0"/>
      <w:marBottom w:val="0"/>
      <w:divBdr>
        <w:top w:val="none" w:sz="0" w:space="0" w:color="auto"/>
        <w:left w:val="none" w:sz="0" w:space="0" w:color="auto"/>
        <w:bottom w:val="none" w:sz="0" w:space="0" w:color="auto"/>
        <w:right w:val="none" w:sz="0" w:space="0" w:color="auto"/>
      </w:divBdr>
      <w:divsChild>
        <w:div w:id="643699057">
          <w:marLeft w:val="0"/>
          <w:marRight w:val="0"/>
          <w:marTop w:val="0"/>
          <w:marBottom w:val="0"/>
          <w:divBdr>
            <w:top w:val="none" w:sz="0" w:space="0" w:color="auto"/>
            <w:left w:val="none" w:sz="0" w:space="0" w:color="auto"/>
            <w:bottom w:val="none" w:sz="0" w:space="0" w:color="auto"/>
            <w:right w:val="none" w:sz="0" w:space="0" w:color="auto"/>
          </w:divBdr>
          <w:divsChild>
            <w:div w:id="1324434284">
              <w:marLeft w:val="0"/>
              <w:marRight w:val="0"/>
              <w:marTop w:val="0"/>
              <w:marBottom w:val="0"/>
              <w:divBdr>
                <w:top w:val="none" w:sz="0" w:space="0" w:color="auto"/>
                <w:left w:val="none" w:sz="0" w:space="0" w:color="auto"/>
                <w:bottom w:val="none" w:sz="0" w:space="0" w:color="auto"/>
                <w:right w:val="none" w:sz="0" w:space="0" w:color="auto"/>
              </w:divBdr>
              <w:divsChild>
                <w:div w:id="17814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425">
      <w:bodyDiv w:val="1"/>
      <w:marLeft w:val="0"/>
      <w:marRight w:val="0"/>
      <w:marTop w:val="0"/>
      <w:marBottom w:val="0"/>
      <w:divBdr>
        <w:top w:val="none" w:sz="0" w:space="0" w:color="auto"/>
        <w:left w:val="none" w:sz="0" w:space="0" w:color="auto"/>
        <w:bottom w:val="none" w:sz="0" w:space="0" w:color="auto"/>
        <w:right w:val="none" w:sz="0" w:space="0" w:color="auto"/>
      </w:divBdr>
    </w:div>
    <w:div w:id="1122110764">
      <w:bodyDiv w:val="1"/>
      <w:marLeft w:val="0"/>
      <w:marRight w:val="0"/>
      <w:marTop w:val="0"/>
      <w:marBottom w:val="0"/>
      <w:divBdr>
        <w:top w:val="none" w:sz="0" w:space="0" w:color="auto"/>
        <w:left w:val="none" w:sz="0" w:space="0" w:color="auto"/>
        <w:bottom w:val="none" w:sz="0" w:space="0" w:color="auto"/>
        <w:right w:val="none" w:sz="0" w:space="0" w:color="auto"/>
      </w:divBdr>
    </w:div>
    <w:div w:id="1130829758">
      <w:bodyDiv w:val="1"/>
      <w:marLeft w:val="0"/>
      <w:marRight w:val="0"/>
      <w:marTop w:val="0"/>
      <w:marBottom w:val="0"/>
      <w:divBdr>
        <w:top w:val="none" w:sz="0" w:space="0" w:color="auto"/>
        <w:left w:val="none" w:sz="0" w:space="0" w:color="auto"/>
        <w:bottom w:val="none" w:sz="0" w:space="0" w:color="auto"/>
        <w:right w:val="none" w:sz="0" w:space="0" w:color="auto"/>
      </w:divBdr>
    </w:div>
    <w:div w:id="1138569122">
      <w:bodyDiv w:val="1"/>
      <w:marLeft w:val="0"/>
      <w:marRight w:val="0"/>
      <w:marTop w:val="0"/>
      <w:marBottom w:val="0"/>
      <w:divBdr>
        <w:top w:val="none" w:sz="0" w:space="0" w:color="auto"/>
        <w:left w:val="none" w:sz="0" w:space="0" w:color="auto"/>
        <w:bottom w:val="none" w:sz="0" w:space="0" w:color="auto"/>
        <w:right w:val="none" w:sz="0" w:space="0" w:color="auto"/>
      </w:divBdr>
    </w:div>
    <w:div w:id="1261186348">
      <w:bodyDiv w:val="1"/>
      <w:marLeft w:val="0"/>
      <w:marRight w:val="0"/>
      <w:marTop w:val="0"/>
      <w:marBottom w:val="0"/>
      <w:divBdr>
        <w:top w:val="none" w:sz="0" w:space="0" w:color="auto"/>
        <w:left w:val="none" w:sz="0" w:space="0" w:color="auto"/>
        <w:bottom w:val="none" w:sz="0" w:space="0" w:color="auto"/>
        <w:right w:val="none" w:sz="0" w:space="0" w:color="auto"/>
      </w:divBdr>
    </w:div>
    <w:div w:id="1346712217">
      <w:bodyDiv w:val="1"/>
      <w:marLeft w:val="0"/>
      <w:marRight w:val="0"/>
      <w:marTop w:val="0"/>
      <w:marBottom w:val="0"/>
      <w:divBdr>
        <w:top w:val="none" w:sz="0" w:space="0" w:color="auto"/>
        <w:left w:val="none" w:sz="0" w:space="0" w:color="auto"/>
        <w:bottom w:val="none" w:sz="0" w:space="0" w:color="auto"/>
        <w:right w:val="none" w:sz="0" w:space="0" w:color="auto"/>
      </w:divBdr>
    </w:div>
    <w:div w:id="1412891526">
      <w:bodyDiv w:val="1"/>
      <w:marLeft w:val="0"/>
      <w:marRight w:val="0"/>
      <w:marTop w:val="0"/>
      <w:marBottom w:val="0"/>
      <w:divBdr>
        <w:top w:val="none" w:sz="0" w:space="0" w:color="auto"/>
        <w:left w:val="none" w:sz="0" w:space="0" w:color="auto"/>
        <w:bottom w:val="none" w:sz="0" w:space="0" w:color="auto"/>
        <w:right w:val="none" w:sz="0" w:space="0" w:color="auto"/>
      </w:divBdr>
    </w:div>
    <w:div w:id="1486043804">
      <w:bodyDiv w:val="1"/>
      <w:marLeft w:val="0"/>
      <w:marRight w:val="0"/>
      <w:marTop w:val="0"/>
      <w:marBottom w:val="0"/>
      <w:divBdr>
        <w:top w:val="none" w:sz="0" w:space="0" w:color="auto"/>
        <w:left w:val="none" w:sz="0" w:space="0" w:color="auto"/>
        <w:bottom w:val="none" w:sz="0" w:space="0" w:color="auto"/>
        <w:right w:val="none" w:sz="0" w:space="0" w:color="auto"/>
      </w:divBdr>
    </w:div>
    <w:div w:id="1500999390">
      <w:bodyDiv w:val="1"/>
      <w:marLeft w:val="0"/>
      <w:marRight w:val="0"/>
      <w:marTop w:val="0"/>
      <w:marBottom w:val="0"/>
      <w:divBdr>
        <w:top w:val="none" w:sz="0" w:space="0" w:color="auto"/>
        <w:left w:val="none" w:sz="0" w:space="0" w:color="auto"/>
        <w:bottom w:val="none" w:sz="0" w:space="0" w:color="auto"/>
        <w:right w:val="none" w:sz="0" w:space="0" w:color="auto"/>
      </w:divBdr>
    </w:div>
    <w:div w:id="1547403090">
      <w:bodyDiv w:val="1"/>
      <w:marLeft w:val="0"/>
      <w:marRight w:val="0"/>
      <w:marTop w:val="0"/>
      <w:marBottom w:val="0"/>
      <w:divBdr>
        <w:top w:val="none" w:sz="0" w:space="0" w:color="auto"/>
        <w:left w:val="none" w:sz="0" w:space="0" w:color="auto"/>
        <w:bottom w:val="none" w:sz="0" w:space="0" w:color="auto"/>
        <w:right w:val="none" w:sz="0" w:space="0" w:color="auto"/>
      </w:divBdr>
      <w:divsChild>
        <w:div w:id="1011644427">
          <w:marLeft w:val="0"/>
          <w:marRight w:val="0"/>
          <w:marTop w:val="0"/>
          <w:marBottom w:val="0"/>
          <w:divBdr>
            <w:top w:val="none" w:sz="0" w:space="0" w:color="auto"/>
            <w:left w:val="none" w:sz="0" w:space="0" w:color="auto"/>
            <w:bottom w:val="none" w:sz="0" w:space="0" w:color="auto"/>
            <w:right w:val="none" w:sz="0" w:space="0" w:color="auto"/>
          </w:divBdr>
          <w:divsChild>
            <w:div w:id="771902177">
              <w:marLeft w:val="0"/>
              <w:marRight w:val="0"/>
              <w:marTop w:val="0"/>
              <w:marBottom w:val="0"/>
              <w:divBdr>
                <w:top w:val="none" w:sz="0" w:space="0" w:color="auto"/>
                <w:left w:val="none" w:sz="0" w:space="0" w:color="auto"/>
                <w:bottom w:val="none" w:sz="0" w:space="0" w:color="auto"/>
                <w:right w:val="none" w:sz="0" w:space="0" w:color="auto"/>
              </w:divBdr>
              <w:divsChild>
                <w:div w:id="3438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5546">
      <w:bodyDiv w:val="1"/>
      <w:marLeft w:val="0"/>
      <w:marRight w:val="0"/>
      <w:marTop w:val="0"/>
      <w:marBottom w:val="0"/>
      <w:divBdr>
        <w:top w:val="none" w:sz="0" w:space="0" w:color="auto"/>
        <w:left w:val="none" w:sz="0" w:space="0" w:color="auto"/>
        <w:bottom w:val="none" w:sz="0" w:space="0" w:color="auto"/>
        <w:right w:val="none" w:sz="0" w:space="0" w:color="auto"/>
      </w:divBdr>
      <w:divsChild>
        <w:div w:id="1095370608">
          <w:marLeft w:val="0"/>
          <w:marRight w:val="0"/>
          <w:marTop w:val="0"/>
          <w:marBottom w:val="0"/>
          <w:divBdr>
            <w:top w:val="none" w:sz="0" w:space="0" w:color="auto"/>
            <w:left w:val="none" w:sz="0" w:space="0" w:color="auto"/>
            <w:bottom w:val="none" w:sz="0" w:space="0" w:color="auto"/>
            <w:right w:val="none" w:sz="0" w:space="0" w:color="auto"/>
          </w:divBdr>
          <w:divsChild>
            <w:div w:id="614364590">
              <w:marLeft w:val="0"/>
              <w:marRight w:val="0"/>
              <w:marTop w:val="0"/>
              <w:marBottom w:val="0"/>
              <w:divBdr>
                <w:top w:val="none" w:sz="0" w:space="0" w:color="auto"/>
                <w:left w:val="none" w:sz="0" w:space="0" w:color="auto"/>
                <w:bottom w:val="none" w:sz="0" w:space="0" w:color="auto"/>
                <w:right w:val="none" w:sz="0" w:space="0" w:color="auto"/>
              </w:divBdr>
              <w:divsChild>
                <w:div w:id="1108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599">
      <w:bodyDiv w:val="1"/>
      <w:marLeft w:val="0"/>
      <w:marRight w:val="0"/>
      <w:marTop w:val="0"/>
      <w:marBottom w:val="0"/>
      <w:divBdr>
        <w:top w:val="none" w:sz="0" w:space="0" w:color="auto"/>
        <w:left w:val="none" w:sz="0" w:space="0" w:color="auto"/>
        <w:bottom w:val="none" w:sz="0" w:space="0" w:color="auto"/>
        <w:right w:val="none" w:sz="0" w:space="0" w:color="auto"/>
      </w:divBdr>
      <w:divsChild>
        <w:div w:id="790980207">
          <w:marLeft w:val="0"/>
          <w:marRight w:val="0"/>
          <w:marTop w:val="0"/>
          <w:marBottom w:val="0"/>
          <w:divBdr>
            <w:top w:val="none" w:sz="0" w:space="0" w:color="auto"/>
            <w:left w:val="none" w:sz="0" w:space="0" w:color="auto"/>
            <w:bottom w:val="none" w:sz="0" w:space="0" w:color="auto"/>
            <w:right w:val="none" w:sz="0" w:space="0" w:color="auto"/>
          </w:divBdr>
          <w:divsChild>
            <w:div w:id="78016901">
              <w:marLeft w:val="0"/>
              <w:marRight w:val="0"/>
              <w:marTop w:val="0"/>
              <w:marBottom w:val="0"/>
              <w:divBdr>
                <w:top w:val="none" w:sz="0" w:space="0" w:color="auto"/>
                <w:left w:val="none" w:sz="0" w:space="0" w:color="auto"/>
                <w:bottom w:val="none" w:sz="0" w:space="0" w:color="auto"/>
                <w:right w:val="none" w:sz="0" w:space="0" w:color="auto"/>
              </w:divBdr>
              <w:divsChild>
                <w:div w:id="1184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3186">
      <w:bodyDiv w:val="1"/>
      <w:marLeft w:val="0"/>
      <w:marRight w:val="0"/>
      <w:marTop w:val="0"/>
      <w:marBottom w:val="0"/>
      <w:divBdr>
        <w:top w:val="none" w:sz="0" w:space="0" w:color="auto"/>
        <w:left w:val="none" w:sz="0" w:space="0" w:color="auto"/>
        <w:bottom w:val="none" w:sz="0" w:space="0" w:color="auto"/>
        <w:right w:val="none" w:sz="0" w:space="0" w:color="auto"/>
      </w:divBdr>
      <w:divsChild>
        <w:div w:id="333806170">
          <w:marLeft w:val="0"/>
          <w:marRight w:val="0"/>
          <w:marTop w:val="0"/>
          <w:marBottom w:val="0"/>
          <w:divBdr>
            <w:top w:val="none" w:sz="0" w:space="0" w:color="auto"/>
            <w:left w:val="none" w:sz="0" w:space="0" w:color="auto"/>
            <w:bottom w:val="none" w:sz="0" w:space="0" w:color="auto"/>
            <w:right w:val="none" w:sz="0" w:space="0" w:color="auto"/>
          </w:divBdr>
          <w:divsChild>
            <w:div w:id="1764183703">
              <w:marLeft w:val="0"/>
              <w:marRight w:val="0"/>
              <w:marTop w:val="0"/>
              <w:marBottom w:val="0"/>
              <w:divBdr>
                <w:top w:val="none" w:sz="0" w:space="0" w:color="auto"/>
                <w:left w:val="none" w:sz="0" w:space="0" w:color="auto"/>
                <w:bottom w:val="none" w:sz="0" w:space="0" w:color="auto"/>
                <w:right w:val="none" w:sz="0" w:space="0" w:color="auto"/>
              </w:divBdr>
              <w:divsChild>
                <w:div w:id="18395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31593">
      <w:bodyDiv w:val="1"/>
      <w:marLeft w:val="0"/>
      <w:marRight w:val="0"/>
      <w:marTop w:val="0"/>
      <w:marBottom w:val="0"/>
      <w:divBdr>
        <w:top w:val="none" w:sz="0" w:space="0" w:color="auto"/>
        <w:left w:val="none" w:sz="0" w:space="0" w:color="auto"/>
        <w:bottom w:val="none" w:sz="0" w:space="0" w:color="auto"/>
        <w:right w:val="none" w:sz="0" w:space="0" w:color="auto"/>
      </w:divBdr>
    </w:div>
    <w:div w:id="1873499114">
      <w:bodyDiv w:val="1"/>
      <w:marLeft w:val="0"/>
      <w:marRight w:val="0"/>
      <w:marTop w:val="0"/>
      <w:marBottom w:val="0"/>
      <w:divBdr>
        <w:top w:val="none" w:sz="0" w:space="0" w:color="auto"/>
        <w:left w:val="none" w:sz="0" w:space="0" w:color="auto"/>
        <w:bottom w:val="none" w:sz="0" w:space="0" w:color="auto"/>
        <w:right w:val="none" w:sz="0" w:space="0" w:color="auto"/>
      </w:divBdr>
      <w:divsChild>
        <w:div w:id="1804274365">
          <w:marLeft w:val="0"/>
          <w:marRight w:val="0"/>
          <w:marTop w:val="0"/>
          <w:marBottom w:val="0"/>
          <w:divBdr>
            <w:top w:val="none" w:sz="0" w:space="0" w:color="auto"/>
            <w:left w:val="none" w:sz="0" w:space="0" w:color="auto"/>
            <w:bottom w:val="none" w:sz="0" w:space="0" w:color="auto"/>
            <w:right w:val="none" w:sz="0" w:space="0" w:color="auto"/>
          </w:divBdr>
          <w:divsChild>
            <w:div w:id="513426049">
              <w:marLeft w:val="0"/>
              <w:marRight w:val="0"/>
              <w:marTop w:val="0"/>
              <w:marBottom w:val="0"/>
              <w:divBdr>
                <w:top w:val="none" w:sz="0" w:space="0" w:color="auto"/>
                <w:left w:val="none" w:sz="0" w:space="0" w:color="auto"/>
                <w:bottom w:val="none" w:sz="0" w:space="0" w:color="auto"/>
                <w:right w:val="none" w:sz="0" w:space="0" w:color="auto"/>
              </w:divBdr>
              <w:divsChild>
                <w:div w:id="11334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5780">
      <w:bodyDiv w:val="1"/>
      <w:marLeft w:val="0"/>
      <w:marRight w:val="0"/>
      <w:marTop w:val="0"/>
      <w:marBottom w:val="0"/>
      <w:divBdr>
        <w:top w:val="none" w:sz="0" w:space="0" w:color="auto"/>
        <w:left w:val="none" w:sz="0" w:space="0" w:color="auto"/>
        <w:bottom w:val="none" w:sz="0" w:space="0" w:color="auto"/>
        <w:right w:val="none" w:sz="0" w:space="0" w:color="auto"/>
      </w:divBdr>
    </w:div>
    <w:div w:id="2037150615">
      <w:bodyDiv w:val="1"/>
      <w:marLeft w:val="0"/>
      <w:marRight w:val="0"/>
      <w:marTop w:val="0"/>
      <w:marBottom w:val="0"/>
      <w:divBdr>
        <w:top w:val="none" w:sz="0" w:space="0" w:color="auto"/>
        <w:left w:val="none" w:sz="0" w:space="0" w:color="auto"/>
        <w:bottom w:val="none" w:sz="0" w:space="0" w:color="auto"/>
        <w:right w:val="none" w:sz="0" w:space="0" w:color="auto"/>
      </w:divBdr>
    </w:div>
    <w:div w:id="2052918558">
      <w:bodyDiv w:val="1"/>
      <w:marLeft w:val="0"/>
      <w:marRight w:val="0"/>
      <w:marTop w:val="0"/>
      <w:marBottom w:val="0"/>
      <w:divBdr>
        <w:top w:val="none" w:sz="0" w:space="0" w:color="auto"/>
        <w:left w:val="none" w:sz="0" w:space="0" w:color="auto"/>
        <w:bottom w:val="none" w:sz="0" w:space="0" w:color="auto"/>
        <w:right w:val="none" w:sz="0" w:space="0" w:color="auto"/>
      </w:divBdr>
    </w:div>
    <w:div w:id="2078428935">
      <w:bodyDiv w:val="1"/>
      <w:marLeft w:val="0"/>
      <w:marRight w:val="0"/>
      <w:marTop w:val="0"/>
      <w:marBottom w:val="0"/>
      <w:divBdr>
        <w:top w:val="none" w:sz="0" w:space="0" w:color="auto"/>
        <w:left w:val="none" w:sz="0" w:space="0" w:color="auto"/>
        <w:bottom w:val="none" w:sz="0" w:space="0" w:color="auto"/>
        <w:right w:val="none" w:sz="0" w:space="0" w:color="auto"/>
      </w:divBdr>
      <w:divsChild>
        <w:div w:id="1437940173">
          <w:marLeft w:val="0"/>
          <w:marRight w:val="0"/>
          <w:marTop w:val="0"/>
          <w:marBottom w:val="0"/>
          <w:divBdr>
            <w:top w:val="none" w:sz="0" w:space="0" w:color="auto"/>
            <w:left w:val="none" w:sz="0" w:space="0" w:color="auto"/>
            <w:bottom w:val="none" w:sz="0" w:space="0" w:color="auto"/>
            <w:right w:val="none" w:sz="0" w:space="0" w:color="auto"/>
          </w:divBdr>
          <w:divsChild>
            <w:div w:id="1719013159">
              <w:marLeft w:val="0"/>
              <w:marRight w:val="0"/>
              <w:marTop w:val="0"/>
              <w:marBottom w:val="0"/>
              <w:divBdr>
                <w:top w:val="none" w:sz="0" w:space="0" w:color="auto"/>
                <w:left w:val="none" w:sz="0" w:space="0" w:color="auto"/>
                <w:bottom w:val="none" w:sz="0" w:space="0" w:color="auto"/>
                <w:right w:val="none" w:sz="0" w:space="0" w:color="auto"/>
              </w:divBdr>
              <w:divsChild>
                <w:div w:id="5819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9232">
      <w:bodyDiv w:val="1"/>
      <w:marLeft w:val="0"/>
      <w:marRight w:val="0"/>
      <w:marTop w:val="0"/>
      <w:marBottom w:val="0"/>
      <w:divBdr>
        <w:top w:val="none" w:sz="0" w:space="0" w:color="auto"/>
        <w:left w:val="none" w:sz="0" w:space="0" w:color="auto"/>
        <w:bottom w:val="none" w:sz="0" w:space="0" w:color="auto"/>
        <w:right w:val="none" w:sz="0" w:space="0" w:color="auto"/>
      </w:divBdr>
    </w:div>
    <w:div w:id="2133281813">
      <w:bodyDiv w:val="1"/>
      <w:marLeft w:val="0"/>
      <w:marRight w:val="0"/>
      <w:marTop w:val="0"/>
      <w:marBottom w:val="0"/>
      <w:divBdr>
        <w:top w:val="none" w:sz="0" w:space="0" w:color="auto"/>
        <w:left w:val="none" w:sz="0" w:space="0" w:color="auto"/>
        <w:bottom w:val="none" w:sz="0" w:space="0" w:color="auto"/>
        <w:right w:val="none" w:sz="0" w:space="0" w:color="auto"/>
      </w:divBdr>
    </w:div>
    <w:div w:id="2141681436">
      <w:bodyDiv w:val="1"/>
      <w:marLeft w:val="0"/>
      <w:marRight w:val="0"/>
      <w:marTop w:val="0"/>
      <w:marBottom w:val="0"/>
      <w:divBdr>
        <w:top w:val="none" w:sz="0" w:space="0" w:color="auto"/>
        <w:left w:val="none" w:sz="0" w:space="0" w:color="auto"/>
        <w:bottom w:val="none" w:sz="0" w:space="0" w:color="auto"/>
        <w:right w:val="none" w:sz="0" w:space="0" w:color="auto"/>
      </w:divBdr>
      <w:divsChild>
        <w:div w:id="1289121176">
          <w:marLeft w:val="0"/>
          <w:marRight w:val="0"/>
          <w:marTop w:val="0"/>
          <w:marBottom w:val="0"/>
          <w:divBdr>
            <w:top w:val="none" w:sz="0" w:space="0" w:color="auto"/>
            <w:left w:val="none" w:sz="0" w:space="0" w:color="auto"/>
            <w:bottom w:val="none" w:sz="0" w:space="0" w:color="auto"/>
            <w:right w:val="none" w:sz="0" w:space="0" w:color="auto"/>
          </w:divBdr>
          <w:divsChild>
            <w:div w:id="378284687">
              <w:marLeft w:val="0"/>
              <w:marRight w:val="0"/>
              <w:marTop w:val="0"/>
              <w:marBottom w:val="0"/>
              <w:divBdr>
                <w:top w:val="none" w:sz="0" w:space="0" w:color="auto"/>
                <w:left w:val="none" w:sz="0" w:space="0" w:color="auto"/>
                <w:bottom w:val="none" w:sz="0" w:space="0" w:color="auto"/>
                <w:right w:val="none" w:sz="0" w:space="0" w:color="auto"/>
              </w:divBdr>
              <w:divsChild>
                <w:div w:id="228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9C89BF3-69F6-FB45-AC69-7A19FD6E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6570</Words>
  <Characters>37451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Tweedt</dc:creator>
  <cp:keywords/>
  <dc:description/>
  <cp:lastModifiedBy>Chris Tweedt</cp:lastModifiedBy>
  <cp:revision>43</cp:revision>
  <cp:lastPrinted>2019-07-26T18:08:00Z</cp:lastPrinted>
  <dcterms:created xsi:type="dcterms:W3CDTF">2020-07-23T16:30:00Z</dcterms:created>
  <dcterms:modified xsi:type="dcterms:W3CDTF">2020-12-11T19:16:00Z</dcterms:modified>
</cp:coreProperties>
</file>